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16722">
      <w:pPr>
        <w:pStyle w:val="3"/>
        <w:numPr>
          <w:ilvl w:val="0"/>
          <w:numId w:val="0"/>
        </w:numPr>
        <w:spacing w:before="210" w:after="210" w:line="360" w:lineRule="auto"/>
        <w:ind w:leftChars="0"/>
        <w:jc w:val="center"/>
        <w:rPr>
          <w:rFonts w:hint="default" w:ascii="宋体" w:hAnsi="宋体" w:eastAsia="宋体" w:cs="宋体"/>
          <w:b/>
          <w:bCs w:val="0"/>
          <w:highlight w:val="none"/>
          <w:lang w:val="en-US" w:eastAsia="zh-CN"/>
        </w:rPr>
      </w:pPr>
      <w:r>
        <w:rPr>
          <w:rFonts w:hint="eastAsia" w:ascii="宋体" w:hAnsi="宋体" w:eastAsia="宋体" w:cs="宋体"/>
          <w:b/>
          <w:bCs w:val="0"/>
          <w:highlight w:val="none"/>
        </w:rPr>
        <w:t>合同</w:t>
      </w:r>
      <w:r>
        <w:rPr>
          <w:rFonts w:hint="eastAsia" w:ascii="宋体" w:hAnsi="宋体" w:eastAsia="宋体" w:cs="宋体"/>
          <w:b/>
          <w:bCs w:val="0"/>
          <w:highlight w:val="none"/>
          <w:lang w:val="en-US" w:eastAsia="zh-CN"/>
        </w:rPr>
        <w:t>格式及主要条款</w:t>
      </w:r>
    </w:p>
    <w:p w14:paraId="6D315BE9">
      <w:pPr>
        <w:tabs>
          <w:tab w:val="left" w:pos="210"/>
          <w:tab w:val="left" w:pos="525"/>
        </w:tabs>
        <w:spacing w:line="360" w:lineRule="auto"/>
        <w:jc w:val="center"/>
        <w:outlineLvl w:val="1"/>
        <w:rPr>
          <w:rFonts w:hAnsi="宋体" w:cs="宋体"/>
          <w:sz w:val="32"/>
          <w:szCs w:val="32"/>
        </w:rPr>
      </w:pPr>
      <w:bookmarkStart w:id="0" w:name="_Toc20005"/>
      <w:bookmarkStart w:id="1" w:name="_Toc32476"/>
      <w:bookmarkStart w:id="2" w:name="_Toc24218"/>
      <w:bookmarkStart w:id="3" w:name="_Toc3424"/>
      <w:bookmarkStart w:id="4" w:name="_Toc23705"/>
      <w:r>
        <w:rPr>
          <w:rFonts w:hint="eastAsia" w:hAnsi="宋体" w:cs="宋体"/>
          <w:b/>
          <w:bCs/>
          <w:sz w:val="32"/>
          <w:szCs w:val="32"/>
        </w:rPr>
        <w:t>合同前附表</w:t>
      </w:r>
      <w:bookmarkEnd w:id="0"/>
      <w:bookmarkEnd w:id="1"/>
      <w:bookmarkEnd w:id="2"/>
      <w:bookmarkEnd w:id="3"/>
      <w:bookmarkEnd w:id="4"/>
    </w:p>
    <w:p w14:paraId="69F40F86">
      <w:pPr>
        <w:rPr>
          <w:rFonts w:hAnsi="宋体" w:cs="宋体"/>
        </w:rPr>
      </w:pPr>
    </w:p>
    <w:p w14:paraId="09E9ABC6">
      <w:pPr>
        <w:rPr>
          <w:rFonts w:hAnsi="宋体" w:cs="宋体"/>
          <w:szCs w:val="24"/>
        </w:rPr>
      </w:pPr>
      <w:r>
        <w:rPr>
          <w:rFonts w:hint="eastAsia" w:hAnsi="宋体" w:cs="宋体"/>
          <w:szCs w:val="24"/>
        </w:rPr>
        <w:t>本表是对合同条款的具体补充和修改，如有矛盾，应以本资料表为准。</w:t>
      </w:r>
    </w:p>
    <w:tbl>
      <w:tblPr>
        <w:tblStyle w:val="8"/>
        <w:tblW w:w="93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71"/>
        <w:gridCol w:w="8181"/>
      </w:tblGrid>
      <w:tr w14:paraId="76DF0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3" w:hRule="atLeast"/>
        </w:trPr>
        <w:tc>
          <w:tcPr>
            <w:tcW w:w="1171" w:type="dxa"/>
            <w:vAlign w:val="center"/>
          </w:tcPr>
          <w:p w14:paraId="3B3E20DA">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条款号</w:t>
            </w:r>
          </w:p>
        </w:tc>
        <w:tc>
          <w:tcPr>
            <w:tcW w:w="8181" w:type="dxa"/>
            <w:vAlign w:val="center"/>
          </w:tcPr>
          <w:p w14:paraId="60623F27">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内      容</w:t>
            </w:r>
          </w:p>
        </w:tc>
      </w:tr>
      <w:tr w14:paraId="42AFB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73" w:hRule="exact"/>
        </w:trPr>
        <w:tc>
          <w:tcPr>
            <w:tcW w:w="1171" w:type="dxa"/>
            <w:vAlign w:val="center"/>
          </w:tcPr>
          <w:p w14:paraId="40991BE9">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w:t>
            </w:r>
          </w:p>
        </w:tc>
        <w:tc>
          <w:tcPr>
            <w:tcW w:w="8181" w:type="dxa"/>
            <w:vAlign w:val="center"/>
          </w:tcPr>
          <w:p w14:paraId="7682C291">
            <w:pPr>
              <w:spacing w:line="360" w:lineRule="auto"/>
              <w:rPr>
                <w:rFonts w:hint="eastAsia" w:hAnsi="宋体" w:cs="宋体" w:eastAsiaTheme="minorEastAsia"/>
                <w:color w:val="000000" w:themeColor="text1"/>
                <w:szCs w:val="24"/>
                <w:lang w:eastAsia="zh-CN"/>
                <w14:textFill>
                  <w14:solidFill>
                    <w14:schemeClr w14:val="tx1"/>
                  </w14:solidFill>
                </w14:textFill>
              </w:rPr>
            </w:pPr>
            <w:r>
              <w:rPr>
                <w:rFonts w:hint="eastAsia" w:hAnsi="宋体" w:cs="宋体"/>
                <w:color w:val="000000" w:themeColor="text1"/>
                <w:szCs w:val="24"/>
                <w14:textFill>
                  <w14:solidFill>
                    <w14:schemeClr w14:val="tx1"/>
                  </w14:solidFill>
                </w14:textFill>
              </w:rPr>
              <w:t>采购人名称：</w:t>
            </w:r>
            <w:r>
              <w:rPr>
                <w:rFonts w:hint="eastAsia" w:hAnsi="宋体" w:cs="宋体"/>
                <w:color w:val="000000" w:themeColor="text1"/>
                <w:szCs w:val="24"/>
                <w:lang w:val="en-US" w:eastAsia="zh-CN"/>
                <w14:textFill>
                  <w14:solidFill>
                    <w14:schemeClr w14:val="tx1"/>
                  </w14:solidFill>
                </w14:textFill>
              </w:rPr>
              <w:t>商洛市林业科学研究所</w:t>
            </w:r>
          </w:p>
          <w:p w14:paraId="3D5166B8">
            <w:pPr>
              <w:spacing w:line="360" w:lineRule="auto"/>
              <w:rPr>
                <w:rFonts w:hint="eastAsia" w:hAnsi="宋体" w:cs="宋体" w:eastAsiaTheme="minorEastAsia"/>
                <w:color w:val="000000" w:themeColor="text1"/>
                <w:szCs w:val="24"/>
                <w:lang w:eastAsia="zh-CN"/>
                <w14:textFill>
                  <w14:solidFill>
                    <w14:schemeClr w14:val="tx1"/>
                  </w14:solidFill>
                </w14:textFill>
              </w:rPr>
            </w:pPr>
            <w:r>
              <w:rPr>
                <w:rFonts w:hint="eastAsia" w:hAnsi="宋体" w:cs="宋体"/>
                <w:color w:val="000000" w:themeColor="text1"/>
                <w:szCs w:val="24"/>
                <w14:textFill>
                  <w14:solidFill>
                    <w14:schemeClr w14:val="tx1"/>
                  </w14:solidFill>
                </w14:textFill>
              </w:rPr>
              <w:t>地      址：</w:t>
            </w:r>
            <w:r>
              <w:rPr>
                <w:rFonts w:hint="eastAsia" w:hAnsi="宋体" w:cs="宋体"/>
                <w:color w:val="000000" w:themeColor="text1"/>
                <w:szCs w:val="24"/>
                <w:lang w:val="en-US" w:eastAsia="zh-CN"/>
                <w14:textFill>
                  <w14:solidFill>
                    <w14:schemeClr w14:val="tx1"/>
                  </w14:solidFill>
                </w14:textFill>
              </w:rPr>
              <w:t>商洛市高新区（商丹园区）张峪沟口</w:t>
            </w:r>
          </w:p>
          <w:p w14:paraId="1B1656D1">
            <w:pPr>
              <w:spacing w:line="360" w:lineRule="auto"/>
              <w:ind w:left="1200" w:hanging="1200" w:hangingChars="5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项目名称：</w:t>
            </w:r>
            <w:r>
              <w:rPr>
                <w:rFonts w:hint="eastAsia" w:hAnsi="宋体" w:cs="宋体"/>
                <w:color w:val="000000" w:themeColor="text1"/>
                <w:szCs w:val="24"/>
                <w:lang w:eastAsia="zh-CN"/>
                <w14:textFill>
                  <w14:solidFill>
                    <w14:schemeClr w14:val="tx1"/>
                  </w14:solidFill>
                </w14:textFill>
              </w:rPr>
              <w:t>陕西省商洛市2026年中央财政国土绿化项目作业设计</w:t>
            </w:r>
          </w:p>
        </w:tc>
      </w:tr>
      <w:tr w14:paraId="717AD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8" w:hRule="exact"/>
        </w:trPr>
        <w:tc>
          <w:tcPr>
            <w:tcW w:w="1171" w:type="dxa"/>
            <w:vAlign w:val="center"/>
          </w:tcPr>
          <w:p w14:paraId="4D7D27DC">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w:t>
            </w:r>
          </w:p>
        </w:tc>
        <w:tc>
          <w:tcPr>
            <w:tcW w:w="8181" w:type="dxa"/>
            <w:vAlign w:val="center"/>
          </w:tcPr>
          <w:p w14:paraId="095B7E07">
            <w:pPr>
              <w:spacing w:line="360" w:lineRule="auto"/>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项目实施地点：</w:t>
            </w:r>
            <w:r>
              <w:rPr>
                <w:rFonts w:hint="eastAsia" w:hAnsi="宋体" w:cs="宋体"/>
                <w:color w:val="000000" w:themeColor="text1"/>
                <w:szCs w:val="24"/>
                <w:lang w:val="en-US" w:eastAsia="zh-CN"/>
                <w14:textFill>
                  <w14:solidFill>
                    <w14:schemeClr w14:val="tx1"/>
                  </w14:solidFill>
                </w14:textFill>
              </w:rPr>
              <w:t>采购人</w:t>
            </w:r>
            <w:r>
              <w:rPr>
                <w:rFonts w:hint="eastAsia" w:hAnsi="宋体" w:cs="宋体"/>
                <w:color w:val="000000" w:themeColor="text1"/>
                <w:szCs w:val="24"/>
                <w14:textFill>
                  <w14:solidFill>
                    <w14:schemeClr w14:val="tx1"/>
                  </w14:solidFill>
                </w14:textFill>
              </w:rPr>
              <w:t>指定地点</w:t>
            </w:r>
          </w:p>
        </w:tc>
      </w:tr>
      <w:tr w14:paraId="1AA2E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10" w:hRule="exact"/>
        </w:trPr>
        <w:tc>
          <w:tcPr>
            <w:tcW w:w="1171" w:type="dxa"/>
            <w:vAlign w:val="center"/>
          </w:tcPr>
          <w:p w14:paraId="2BEAD703">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3</w:t>
            </w:r>
          </w:p>
        </w:tc>
        <w:tc>
          <w:tcPr>
            <w:tcW w:w="8181" w:type="dxa"/>
            <w:vAlign w:val="center"/>
          </w:tcPr>
          <w:p w14:paraId="213A4F23">
            <w:pPr>
              <w:pStyle w:val="4"/>
              <w:ind w:firstLine="0" w:firstLineChars="0"/>
              <w:rPr>
                <w:rFonts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w:t>
            </w:r>
            <w:r>
              <w:rPr>
                <w:rFonts w:hint="eastAsia" w:ascii="宋体" w:hAnsi="宋体" w:cs="宋体"/>
                <w:color w:val="000000" w:themeColor="text1"/>
                <w:sz w:val="24"/>
                <w:highlight w:val="none"/>
                <w14:textFill>
                  <w14:solidFill>
                    <w14:schemeClr w14:val="tx1"/>
                  </w14:solidFill>
                </w14:textFill>
              </w:rPr>
              <w:t>限：合同签订之日起</w:t>
            </w:r>
            <w:r>
              <w:rPr>
                <w:rFonts w:hint="eastAsia" w:ascii="宋体" w:hAnsi="宋体" w:cs="宋体"/>
                <w:color w:val="000000" w:themeColor="text1"/>
                <w:sz w:val="24"/>
                <w:highlight w:val="none"/>
                <w:lang w:val="en-US" w:eastAsia="zh-CN"/>
                <w14:textFill>
                  <w14:solidFill>
                    <w14:schemeClr w14:val="tx1"/>
                  </w14:solidFill>
                </w14:textFill>
              </w:rPr>
              <w:t>30</w:t>
            </w:r>
            <w:r>
              <w:rPr>
                <w:rFonts w:hint="eastAsia" w:ascii="宋体" w:hAnsi="宋体" w:cs="宋体"/>
                <w:color w:val="000000" w:themeColor="text1"/>
                <w:sz w:val="24"/>
                <w:highlight w:val="none"/>
                <w14:textFill>
                  <w14:solidFill>
                    <w14:schemeClr w14:val="tx1"/>
                  </w14:solidFill>
                </w14:textFill>
              </w:rPr>
              <w:t>个日历日提交成果。</w:t>
            </w:r>
          </w:p>
        </w:tc>
      </w:tr>
      <w:tr w14:paraId="12E06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02" w:hRule="atLeast"/>
        </w:trPr>
        <w:tc>
          <w:tcPr>
            <w:tcW w:w="1171" w:type="dxa"/>
            <w:vAlign w:val="center"/>
          </w:tcPr>
          <w:p w14:paraId="11081AC4">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4</w:t>
            </w:r>
          </w:p>
        </w:tc>
        <w:tc>
          <w:tcPr>
            <w:tcW w:w="8181" w:type="dxa"/>
            <w:vAlign w:val="center"/>
          </w:tcPr>
          <w:p w14:paraId="7FE07E03">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付款：</w:t>
            </w:r>
          </w:p>
          <w:p w14:paraId="48070CD5">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1.合同总价即成交价，不受市场价变化或实际工作量变化的影响。供应商应在</w:t>
            </w:r>
            <w:r>
              <w:rPr>
                <w:rFonts w:hint="eastAsia" w:hAnsi="宋体" w:cs="宋体"/>
                <w:color w:val="000000" w:themeColor="text1"/>
                <w:szCs w:val="24"/>
                <w:lang w:val="en-US" w:eastAsia="zh-CN"/>
                <w14:textFill>
                  <w14:solidFill>
                    <w14:schemeClr w14:val="tx1"/>
                  </w14:solidFill>
                </w14:textFill>
              </w:rPr>
              <w:t>投标</w:t>
            </w:r>
            <w:r>
              <w:rPr>
                <w:rFonts w:hint="eastAsia" w:hAnsi="宋体" w:cs="宋体"/>
                <w:color w:val="000000" w:themeColor="text1"/>
                <w:szCs w:val="24"/>
                <w14:textFill>
                  <w14:solidFill>
                    <w14:schemeClr w14:val="tx1"/>
                  </w14:solidFill>
                </w14:textFill>
              </w:rPr>
              <w:t>报价表中标明完成本次</w:t>
            </w:r>
            <w:r>
              <w:rPr>
                <w:rFonts w:hint="eastAsia" w:hAnsi="宋体" w:cs="宋体"/>
                <w:color w:val="000000" w:themeColor="text1"/>
                <w:szCs w:val="24"/>
                <w:lang w:val="en-US" w:eastAsia="zh-CN"/>
                <w14:textFill>
                  <w14:solidFill>
                    <w14:schemeClr w14:val="tx1"/>
                  </w14:solidFill>
                </w14:textFill>
              </w:rPr>
              <w:t>招标</w:t>
            </w:r>
            <w:r>
              <w:rPr>
                <w:rFonts w:hint="eastAsia" w:hAnsi="宋体" w:cs="宋体"/>
                <w:color w:val="000000" w:themeColor="text1"/>
                <w:szCs w:val="24"/>
                <w14:textFill>
                  <w14:solidFill>
                    <w14:schemeClr w14:val="tx1"/>
                  </w14:solidFill>
                </w14:textFill>
              </w:rPr>
              <w:t>所要求的全部服务的所有费用。</w:t>
            </w:r>
          </w:p>
          <w:p w14:paraId="7C5F9F13">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2.付款方式和程序：</w:t>
            </w:r>
          </w:p>
          <w:p w14:paraId="2D157ACD">
            <w:pPr>
              <w:keepNext w:val="0"/>
              <w:keepLines w:val="0"/>
              <w:pageBreakBefore w:val="0"/>
              <w:kinsoku/>
              <w:overflowPunct/>
              <w:topLinePunct w:val="0"/>
              <w:autoSpaceDE/>
              <w:autoSpaceDN/>
              <w:bidi w:val="0"/>
              <w:adjustRightInd/>
              <w:spacing w:line="360" w:lineRule="auto"/>
              <w:ind w:firstLine="480" w:firstLineChars="200"/>
              <w:textAlignment w:val="auto"/>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2.1</w:t>
            </w:r>
            <w:r>
              <w:rPr>
                <w:rFonts w:hint="eastAsia" w:hAnsi="宋体" w:cs="宋体"/>
                <w:color w:val="000000" w:themeColor="text1"/>
                <w:szCs w:val="24"/>
                <w:highlight w:val="none"/>
                <w:lang w:val="en-US" w:eastAsia="zh-CN"/>
                <w14:textFill>
                  <w14:solidFill>
                    <w14:schemeClr w14:val="tx1"/>
                  </w14:solidFill>
                </w14:textFill>
              </w:rPr>
              <w:t>招标完成后，</w:t>
            </w:r>
            <w:r>
              <w:rPr>
                <w:rFonts w:hint="eastAsia" w:hAnsi="宋体" w:cs="宋体"/>
                <w:color w:val="000000" w:themeColor="text1"/>
                <w:szCs w:val="24"/>
                <w:highlight w:val="none"/>
                <w14:textFill>
                  <w14:solidFill>
                    <w14:schemeClr w14:val="tx1"/>
                  </w14:solidFill>
                </w14:textFill>
              </w:rPr>
              <w:t>签订三方协议（</w:t>
            </w:r>
            <w:r>
              <w:rPr>
                <w:rFonts w:hint="eastAsia" w:hAnsi="宋体" w:cs="宋体"/>
                <w:color w:val="000000" w:themeColor="text1"/>
                <w:szCs w:val="24"/>
                <w:highlight w:val="none"/>
                <w:lang w:val="en-US" w:eastAsia="zh-CN"/>
                <w14:textFill>
                  <w14:solidFill>
                    <w14:schemeClr w14:val="tx1"/>
                  </w14:solidFill>
                </w14:textFill>
              </w:rPr>
              <w:t>采购人</w:t>
            </w:r>
            <w:r>
              <w:rPr>
                <w:rFonts w:hint="eastAsia" w:hAnsi="宋体" w:cs="宋体"/>
                <w:color w:val="000000" w:themeColor="text1"/>
                <w:szCs w:val="24"/>
                <w:highlight w:val="none"/>
                <w14:textFill>
                  <w14:solidFill>
                    <w14:schemeClr w14:val="tx1"/>
                  </w14:solidFill>
                </w14:textFill>
              </w:rPr>
              <w:t>、</w:t>
            </w:r>
            <w:r>
              <w:rPr>
                <w:rFonts w:hint="eastAsia" w:hAnsi="宋体" w:cs="宋体"/>
                <w:color w:val="000000" w:themeColor="text1"/>
                <w:szCs w:val="24"/>
                <w:highlight w:val="none"/>
                <w:lang w:val="en-US" w:eastAsia="zh-CN"/>
                <w14:textFill>
                  <w14:solidFill>
                    <w14:schemeClr w14:val="tx1"/>
                  </w14:solidFill>
                </w14:textFill>
              </w:rPr>
              <w:t>各</w:t>
            </w:r>
            <w:r>
              <w:rPr>
                <w:rFonts w:hint="eastAsia" w:hAnsi="宋体" w:cs="宋体"/>
                <w:color w:val="000000" w:themeColor="text1"/>
                <w:szCs w:val="24"/>
                <w:highlight w:val="none"/>
                <w14:textFill>
                  <w14:solidFill>
                    <w14:schemeClr w14:val="tx1"/>
                  </w14:solidFill>
                </w14:textFill>
              </w:rPr>
              <w:t>项目县林业局、中标单位），由各项目县支付作业设计编制费用，具体支付金额根据项目建设内容及任务量按比例确定。</w:t>
            </w:r>
          </w:p>
          <w:p w14:paraId="46867C56">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2.2付款方式：</w:t>
            </w:r>
          </w:p>
          <w:p w14:paraId="34E0B7EE">
            <w:pPr>
              <w:spacing w:line="360" w:lineRule="auto"/>
              <w:ind w:firstLine="480" w:firstLineChars="200"/>
              <w:rPr>
                <w:rFonts w:hAnsi="宋体" w:cs="宋体"/>
                <w:color w:val="000000" w:themeColor="text1"/>
                <w:szCs w:val="24"/>
                <w:highlight w:val="none"/>
                <w14:textFill>
                  <w14:solidFill>
                    <w14:schemeClr w14:val="tx1"/>
                  </w14:solidFill>
                </w14:textFill>
              </w:rPr>
            </w:pPr>
            <w:r>
              <w:rPr>
                <w:rFonts w:hint="eastAsia" w:hAnsi="宋体" w:cs="宋体"/>
                <w:color w:val="000000" w:themeColor="text1"/>
                <w:szCs w:val="24"/>
                <w:highlight w:val="none"/>
                <w14:textFill>
                  <w14:solidFill>
                    <w14:schemeClr w14:val="tx1"/>
                  </w14:solidFill>
                </w14:textFill>
              </w:rPr>
              <w:t>供应商提供票据并申请，经采购人</w:t>
            </w:r>
            <w:r>
              <w:rPr>
                <w:rFonts w:hint="eastAsia" w:hAnsi="宋体" w:cs="宋体"/>
                <w:color w:val="000000" w:themeColor="text1"/>
                <w:szCs w:val="24"/>
                <w:highlight w:val="none"/>
                <w:lang w:val="en-US" w:eastAsia="zh-CN"/>
                <w14:textFill>
                  <w14:solidFill>
                    <w14:schemeClr w14:val="tx1"/>
                  </w14:solidFill>
                </w14:textFill>
              </w:rPr>
              <w:t>及各县林业局</w:t>
            </w:r>
            <w:r>
              <w:rPr>
                <w:rFonts w:hint="eastAsia" w:hAnsi="宋体" w:cs="宋体"/>
                <w:color w:val="000000" w:themeColor="text1"/>
                <w:szCs w:val="24"/>
                <w:highlight w:val="none"/>
                <w14:textFill>
                  <w14:solidFill>
                    <w14:schemeClr w14:val="tx1"/>
                  </w14:solidFill>
                </w14:textFill>
              </w:rPr>
              <w:t>签字同意后支付（具体</w:t>
            </w:r>
            <w:r>
              <w:rPr>
                <w:rFonts w:hint="eastAsia" w:hAnsi="宋体" w:cs="宋体"/>
                <w:color w:val="000000" w:themeColor="text1"/>
                <w:szCs w:val="24"/>
                <w:highlight w:val="none"/>
                <w:lang w:val="en-US" w:eastAsia="zh-CN"/>
                <w14:textFill>
                  <w14:solidFill>
                    <w14:schemeClr w14:val="tx1"/>
                  </w14:solidFill>
                </w14:textFill>
              </w:rPr>
              <w:t>付款时间及比例</w:t>
            </w:r>
            <w:r>
              <w:rPr>
                <w:rFonts w:hint="eastAsia" w:hAnsi="宋体" w:cs="宋体"/>
                <w:color w:val="000000" w:themeColor="text1"/>
                <w:szCs w:val="24"/>
                <w:highlight w:val="none"/>
                <w14:textFill>
                  <w14:solidFill>
                    <w14:schemeClr w14:val="tx1"/>
                  </w14:solidFill>
                </w14:textFill>
              </w:rPr>
              <w:t>以签订合同为准）。</w:t>
            </w:r>
          </w:p>
          <w:p w14:paraId="4ED0A8AD">
            <w:pPr>
              <w:spacing w:line="360" w:lineRule="auto"/>
              <w:ind w:firstLine="482" w:firstLineChars="200"/>
              <w:rPr>
                <w:rFonts w:hAnsi="宋体" w:cs="宋体"/>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2.3支付方式：银行转账</w:t>
            </w:r>
          </w:p>
        </w:tc>
      </w:tr>
      <w:tr w14:paraId="57999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03260BB1">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5</w:t>
            </w:r>
          </w:p>
        </w:tc>
        <w:tc>
          <w:tcPr>
            <w:tcW w:w="8181" w:type="dxa"/>
            <w:vAlign w:val="center"/>
          </w:tcPr>
          <w:p w14:paraId="651FE04C">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服务支持：</w:t>
            </w:r>
          </w:p>
          <w:p w14:paraId="60371C50">
            <w:pPr>
              <w:spacing w:line="360" w:lineRule="auto"/>
              <w:ind w:firstLine="480" w:firstLineChars="200"/>
              <w:jc w:val="left"/>
              <w:rPr>
                <w:rFonts w:hAnsi="宋体" w:cs="宋体"/>
                <w:color w:val="000000" w:themeColor="text1"/>
                <w:szCs w:val="24"/>
                <w14:textFill>
                  <w14:solidFill>
                    <w14:schemeClr w14:val="tx1"/>
                  </w14:solidFill>
                </w14:textFill>
              </w:rPr>
            </w:pPr>
            <w:r>
              <w:rPr>
                <w:rFonts w:hint="eastAsia" w:hAnsi="宋体" w:cs="宋体"/>
                <w:bCs/>
                <w:color w:val="000000" w:themeColor="text1"/>
                <w:szCs w:val="24"/>
                <w14:textFill>
                  <w14:solidFill>
                    <w14:schemeClr w14:val="tx1"/>
                  </w14:solidFill>
                </w14:textFill>
              </w:rPr>
              <w:t>供应商在项目实施过程中，质量保障人员、资源不足或者执行不力，给项目质量带来的风险超出采购人认定的允许范围时，采购人可终止本项目的合作并进行索赔。</w:t>
            </w:r>
          </w:p>
        </w:tc>
      </w:tr>
      <w:tr w14:paraId="78353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3C847A24">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6</w:t>
            </w:r>
          </w:p>
        </w:tc>
        <w:tc>
          <w:tcPr>
            <w:tcW w:w="8181" w:type="dxa"/>
            <w:vAlign w:val="center"/>
          </w:tcPr>
          <w:p w14:paraId="5BEBEB07">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知识产权、专利权：</w:t>
            </w:r>
          </w:p>
          <w:p w14:paraId="6644BA2D">
            <w:pPr>
              <w:tabs>
                <w:tab w:val="left" w:pos="498"/>
              </w:tabs>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供应商应对所提供的文稿及图像、影像材料，已取得合法知识产权或其使用权，供应商应保证所提供的服务不会出现因第三方提出侵犯其版权、商标权或其他知识产权而引发法律或经济纠纷，否则由供应商负责解决并承担全部责任；如因此影响到采购人的正常使用，采购人有权单方解除本合同，供应商应无条件向采购人退回已收取的全部合同价款。</w:t>
            </w:r>
          </w:p>
        </w:tc>
      </w:tr>
      <w:tr w14:paraId="73B44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741CC533">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7</w:t>
            </w:r>
          </w:p>
        </w:tc>
        <w:tc>
          <w:tcPr>
            <w:tcW w:w="8181" w:type="dxa"/>
            <w:vAlign w:val="center"/>
          </w:tcPr>
          <w:p w14:paraId="0C495A63">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违约责任：</w:t>
            </w:r>
          </w:p>
          <w:p w14:paraId="58118F30">
            <w:pPr>
              <w:tabs>
                <w:tab w:val="left" w:pos="152"/>
              </w:tabs>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1、按《中华人民共和国民法典》中的相关条款执行。</w:t>
            </w:r>
          </w:p>
          <w:p w14:paraId="2CF09242">
            <w:pPr>
              <w:snapToGrid w:val="0"/>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w:t>
            </w:r>
            <w:r>
              <w:rPr>
                <w:rFonts w:hint="eastAsia" w:hAnsi="宋体" w:cs="宋体"/>
                <w:color w:val="000000" w:themeColor="text1"/>
                <w:szCs w:val="24"/>
                <w:lang w:eastAsia="zh-CN"/>
                <w14:textFill>
                  <w14:solidFill>
                    <w14:schemeClr w14:val="tx1"/>
                  </w14:solidFill>
                </w14:textFill>
              </w:rPr>
              <w:t>中华人民共和国政府采购法</w:t>
            </w:r>
            <w:r>
              <w:rPr>
                <w:rFonts w:hint="eastAsia" w:hAnsi="宋体" w:cs="宋体"/>
                <w:color w:val="000000" w:themeColor="text1"/>
                <w:szCs w:val="24"/>
                <w14:textFill>
                  <w14:solidFill>
                    <w14:schemeClr w14:val="tx1"/>
                  </w14:solidFill>
                </w14:textFill>
              </w:rPr>
              <w:t>》及相关法律法规对服务商的违法行为进行相应的处罚。</w:t>
            </w:r>
          </w:p>
        </w:tc>
      </w:tr>
      <w:tr w14:paraId="53A13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79DDC151">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8</w:t>
            </w:r>
          </w:p>
        </w:tc>
        <w:tc>
          <w:tcPr>
            <w:tcW w:w="8181" w:type="dxa"/>
            <w:vAlign w:val="center"/>
          </w:tcPr>
          <w:p w14:paraId="36AB3482">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政府采购合同：</w:t>
            </w:r>
          </w:p>
          <w:p w14:paraId="0B62880B">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政府采购合同适用中华人民共和国民法典。采购人和供应商之间的权利和义务，应当按照平等、自愿的原则以合同方式约定。</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采购人可以委托采购代理机构代表其与供应商签订政府采购合同。由采购代理机构以采购人名义签订合同的，应当提交采购人的授权委托书，作为合同附件。</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采购人与中标、成交供应商应当在中标、成交通知书发出之日起二十五日内，按照采购文件确定的事项签订政府采购合同。</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中标、成交通知书对采购人和中标、成交供应商均具有法律效力。中标、成交通知书发出后，采购人改变中标、成交结果的，或者中标、成交供应商放弃中标、成交项目的，应当依法承担法律责任。</w:t>
            </w:r>
          </w:p>
          <w:p w14:paraId="7582E490">
            <w:pPr>
              <w:pStyle w:val="6"/>
              <w:spacing w:line="360" w:lineRule="auto"/>
              <w:ind w:firstLine="480" w:firstLineChars="200"/>
              <w:rPr>
                <w:rFonts w:hAnsi="宋体" w:cs="宋体"/>
                <w:color w:val="000000" w:themeColor="text1"/>
                <w:kern w:val="0"/>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经采购人同意，中标、成交供应商可以依法采取分包方式履行合同。政府采购合同分包履行的，中标、成交供应商就采购项目和分包项目向采购人负责，分包供应商就分包项目承担责任。</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 xml:space="preserve">    政府采购合同履行中，采购人需追加与合同标的相同的货物、工程或者服务的，在不改变合同其他条款的前提下，可以与供应商协商签订补充合同，但所有补充合同的采购金额不得超过原合同采购金额的百分之十。</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 xml:space="preserve">    政府采购合同的双方当事人不得擅自变更、中止或者终止合同。</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tc>
      </w:tr>
    </w:tbl>
    <w:p w14:paraId="71AF9AD9">
      <w:pPr>
        <w:rPr>
          <w:rFonts w:hint="eastAsia" w:ascii="宋体" w:hAnsi="宋体" w:cs="宋体"/>
          <w:b/>
          <w:bCs/>
          <w:sz w:val="24"/>
          <w:lang w:val="en-US" w:eastAsia="zh-CN"/>
        </w:rPr>
      </w:pPr>
      <w:r>
        <w:rPr>
          <w:rFonts w:hint="eastAsia" w:ascii="宋体" w:hAnsi="宋体" w:cs="宋体"/>
          <w:b/>
          <w:bCs/>
          <w:color w:val="000000" w:themeColor="text1"/>
          <w:sz w:val="24"/>
          <w:lang w:val="en-US" w:eastAsia="zh-CN"/>
          <w14:textFill>
            <w14:solidFill>
              <w14:schemeClr w14:val="tx1"/>
            </w14:solidFill>
          </w14:textFill>
        </w:rPr>
        <w:br w:type="page"/>
      </w:r>
    </w:p>
    <w:p w14:paraId="425B8C14">
      <w:pPr>
        <w:outlineLvl w:val="1"/>
        <w:rPr>
          <w:rFonts w:hAnsi="宋体" w:cs="宋体"/>
          <w:b/>
          <w:color w:val="000000" w:themeColor="text1"/>
          <w:sz w:val="32"/>
          <w:szCs w:val="32"/>
          <w14:textFill>
            <w14:solidFill>
              <w14:schemeClr w14:val="tx1"/>
            </w14:solidFill>
          </w14:textFill>
        </w:rPr>
      </w:pPr>
      <w:bookmarkStart w:id="5" w:name="_Toc5216"/>
      <w:bookmarkStart w:id="6" w:name="_Toc18120"/>
      <w:bookmarkStart w:id="7" w:name="_Toc1362"/>
      <w:bookmarkStart w:id="8" w:name="_Toc24004"/>
      <w:bookmarkStart w:id="9" w:name="_Toc7874"/>
      <w:r>
        <w:rPr>
          <w:rFonts w:hint="eastAsia" w:hAnsi="宋体" w:cs="宋体"/>
          <w:b/>
          <w:color w:val="000000" w:themeColor="text1"/>
          <w:sz w:val="32"/>
          <w:szCs w:val="32"/>
          <w14:textFill>
            <w14:solidFill>
              <w14:schemeClr w14:val="tx1"/>
            </w14:solidFill>
          </w14:textFill>
        </w:rPr>
        <w:t>政府采购项目</w:t>
      </w:r>
      <w:r>
        <w:rPr>
          <w:rFonts w:hint="eastAsia" w:hAnsi="宋体" w:cs="宋体"/>
          <w:b/>
          <w:bCs/>
          <w:color w:val="000000" w:themeColor="text1"/>
          <w:sz w:val="28"/>
          <w:szCs w:val="28"/>
          <w14:textFill>
            <w14:solidFill>
              <w14:schemeClr w14:val="tx1"/>
            </w14:solidFill>
          </w14:textFill>
        </w:rPr>
        <w:t>（</w:t>
      </w:r>
      <w:r>
        <w:rPr>
          <w:rFonts w:hint="eastAsia" w:hAnsi="宋体" w:cs="宋体"/>
          <w:b/>
          <w:color w:val="000000" w:themeColor="text1"/>
          <w:sz w:val="32"/>
          <w:szCs w:val="32"/>
          <w14:textFill>
            <w14:solidFill>
              <w14:schemeClr w14:val="tx1"/>
            </w14:solidFill>
          </w14:textFill>
        </w:rPr>
        <w:t>仅供参考）</w:t>
      </w:r>
      <w:bookmarkEnd w:id="5"/>
      <w:bookmarkEnd w:id="6"/>
      <w:bookmarkEnd w:id="7"/>
      <w:bookmarkEnd w:id="8"/>
      <w:bookmarkEnd w:id="9"/>
      <w:r>
        <w:rPr>
          <w:rFonts w:hint="eastAsia" w:hAnsi="宋体" w:cs="宋体"/>
          <w:b/>
          <w:color w:val="000000" w:themeColor="text1"/>
          <w:sz w:val="32"/>
          <w:szCs w:val="32"/>
          <w14:textFill>
            <w14:solidFill>
              <w14:schemeClr w14:val="tx1"/>
            </w14:solidFill>
          </w14:textFill>
        </w:rPr>
        <w:t xml:space="preserve">                  </w:t>
      </w:r>
    </w:p>
    <w:p w14:paraId="111DB756">
      <w:pPr>
        <w:rPr>
          <w:rFonts w:hAnsi="宋体" w:cs="宋体"/>
          <w:b/>
          <w:color w:val="000000" w:themeColor="text1"/>
          <w:sz w:val="32"/>
          <w:szCs w:val="32"/>
          <w14:textFill>
            <w14:solidFill>
              <w14:schemeClr w14:val="tx1"/>
            </w14:solidFill>
          </w14:textFill>
        </w:rPr>
      </w:pPr>
      <w:r>
        <w:rPr>
          <w:rFonts w:hint="eastAsia" w:hAnsi="宋体" w:cs="宋体"/>
          <w:b/>
          <w:color w:val="000000" w:themeColor="text1"/>
          <w:sz w:val="32"/>
          <w:szCs w:val="32"/>
          <w14:textFill>
            <w14:solidFill>
              <w14:schemeClr w14:val="tx1"/>
            </w14:solidFill>
          </w14:textFill>
        </w:rPr>
        <w:t xml:space="preserve">          </w:t>
      </w:r>
    </w:p>
    <w:p w14:paraId="6A2E43F8">
      <w:pPr>
        <w:jc w:val="center"/>
        <w:rPr>
          <w:rFonts w:hAnsi="宋体" w:cs="宋体"/>
          <w:color w:val="000000" w:themeColor="text1"/>
          <w:sz w:val="52"/>
          <w:szCs w:val="52"/>
          <w14:textFill>
            <w14:solidFill>
              <w14:schemeClr w14:val="tx1"/>
            </w14:solidFill>
          </w14:textFill>
        </w:rPr>
      </w:pPr>
    </w:p>
    <w:p w14:paraId="292C81A6">
      <w:pPr>
        <w:jc w:val="center"/>
        <w:rPr>
          <w:rFonts w:hAnsi="宋体" w:cs="宋体"/>
          <w:color w:val="000000" w:themeColor="text1"/>
          <w:sz w:val="52"/>
          <w:szCs w:val="52"/>
          <w14:textFill>
            <w14:solidFill>
              <w14:schemeClr w14:val="tx1"/>
            </w14:solidFill>
          </w14:textFill>
        </w:rPr>
      </w:pPr>
    </w:p>
    <w:p w14:paraId="533572B3">
      <w:pPr>
        <w:jc w:val="center"/>
        <w:rPr>
          <w:rFonts w:hAnsi="宋体" w:cs="宋体"/>
          <w:b/>
          <w:snapToGrid w:val="0"/>
          <w:color w:val="000000" w:themeColor="text1"/>
          <w:sz w:val="48"/>
          <w:szCs w:val="48"/>
          <w:u w:val="single"/>
          <w14:textFill>
            <w14:solidFill>
              <w14:schemeClr w14:val="tx1"/>
            </w14:solidFill>
          </w14:textFill>
        </w:rPr>
      </w:pPr>
      <w:r>
        <w:rPr>
          <w:rFonts w:hint="eastAsia" w:hAnsi="宋体" w:cs="宋体"/>
          <w:b/>
          <w:snapToGrid w:val="0"/>
          <w:color w:val="000000" w:themeColor="text1"/>
          <w:sz w:val="48"/>
          <w:szCs w:val="48"/>
          <w:u w:val="single"/>
          <w14:textFill>
            <w14:solidFill>
              <w14:schemeClr w14:val="tx1"/>
            </w14:solidFill>
          </w14:textFill>
        </w:rPr>
        <w:t>(项目名称)</w:t>
      </w:r>
    </w:p>
    <w:p w14:paraId="09C76A2A">
      <w:pPr>
        <w:jc w:val="center"/>
        <w:rPr>
          <w:rFonts w:hAnsi="宋体" w:cs="宋体"/>
          <w:b/>
          <w:color w:val="000000" w:themeColor="text1"/>
          <w:sz w:val="72"/>
          <w:szCs w:val="72"/>
          <w14:textFill>
            <w14:solidFill>
              <w14:schemeClr w14:val="tx1"/>
            </w14:solidFill>
          </w14:textFill>
        </w:rPr>
      </w:pPr>
      <w:r>
        <w:rPr>
          <w:rFonts w:hint="eastAsia" w:hAnsi="宋体" w:cs="宋体"/>
          <w:b/>
          <w:color w:val="000000" w:themeColor="text1"/>
          <w:sz w:val="72"/>
          <w:szCs w:val="72"/>
          <w14:textFill>
            <w14:solidFill>
              <w14:schemeClr w14:val="tx1"/>
            </w14:solidFill>
          </w14:textFill>
        </w:rPr>
        <w:t>服 务 合 同</w:t>
      </w:r>
    </w:p>
    <w:p w14:paraId="74A84DFE">
      <w:pPr>
        <w:jc w:val="center"/>
        <w:rPr>
          <w:rFonts w:hAnsi="宋体" w:cs="宋体"/>
          <w:color w:val="000000" w:themeColor="text1"/>
          <w:sz w:val="30"/>
          <w:szCs w:val="30"/>
          <w14:textFill>
            <w14:solidFill>
              <w14:schemeClr w14:val="tx1"/>
            </w14:solidFill>
          </w14:textFill>
        </w:rPr>
      </w:pPr>
      <w:r>
        <w:rPr>
          <w:rFonts w:hint="eastAsia" w:hAnsi="宋体" w:cs="宋体"/>
          <w:color w:val="000000" w:themeColor="text1"/>
          <w:sz w:val="30"/>
          <w:szCs w:val="30"/>
          <w14:textFill>
            <w14:solidFill>
              <w14:schemeClr w14:val="tx1"/>
            </w14:solidFill>
          </w14:textFill>
        </w:rPr>
        <w:t xml:space="preserve">（项目编号：      </w:t>
      </w:r>
      <w:r>
        <w:rPr>
          <w:rFonts w:hint="eastAsia" w:hAnsi="宋体" w:cs="宋体"/>
          <w:color w:val="000000" w:themeColor="text1"/>
          <w:sz w:val="28"/>
          <w:szCs w:val="28"/>
          <w14:textFill>
            <w14:solidFill>
              <w14:schemeClr w14:val="tx1"/>
            </w14:solidFill>
          </w14:textFill>
        </w:rPr>
        <w:t>）</w:t>
      </w:r>
    </w:p>
    <w:p w14:paraId="79D0E1C2">
      <w:pPr>
        <w:pStyle w:val="10"/>
        <w:rPr>
          <w:rFonts w:hAnsi="宋体" w:cs="宋体"/>
          <w:color w:val="000000" w:themeColor="text1"/>
          <w:sz w:val="30"/>
          <w:szCs w:val="30"/>
          <w14:textFill>
            <w14:solidFill>
              <w14:schemeClr w14:val="tx1"/>
            </w14:solidFill>
          </w14:textFill>
        </w:rPr>
      </w:pPr>
    </w:p>
    <w:p w14:paraId="7987B2F5">
      <w:pPr>
        <w:pStyle w:val="10"/>
        <w:rPr>
          <w:rFonts w:hAnsi="宋体" w:cs="宋体"/>
          <w:color w:val="000000" w:themeColor="text1"/>
          <w:sz w:val="30"/>
          <w:szCs w:val="30"/>
          <w14:textFill>
            <w14:solidFill>
              <w14:schemeClr w14:val="tx1"/>
            </w14:solidFill>
          </w14:textFill>
        </w:rPr>
      </w:pPr>
    </w:p>
    <w:p w14:paraId="2BFFB081">
      <w:pPr>
        <w:pStyle w:val="10"/>
        <w:rPr>
          <w:rFonts w:hAnsi="宋体" w:cs="宋体"/>
          <w:color w:val="000000" w:themeColor="text1"/>
          <w:sz w:val="30"/>
          <w:szCs w:val="30"/>
          <w14:textFill>
            <w14:solidFill>
              <w14:schemeClr w14:val="tx1"/>
            </w14:solidFill>
          </w14:textFill>
        </w:rPr>
      </w:pPr>
    </w:p>
    <w:p w14:paraId="27ADE212">
      <w:pPr>
        <w:pStyle w:val="10"/>
        <w:rPr>
          <w:rFonts w:hAnsi="宋体" w:cs="宋体"/>
          <w:color w:val="000000" w:themeColor="text1"/>
          <w:sz w:val="30"/>
          <w:szCs w:val="30"/>
          <w14:textFill>
            <w14:solidFill>
              <w14:schemeClr w14:val="tx1"/>
            </w14:solidFill>
          </w14:textFill>
        </w:rPr>
      </w:pPr>
    </w:p>
    <w:p w14:paraId="2C28A2F6">
      <w:pPr>
        <w:pStyle w:val="10"/>
        <w:rPr>
          <w:rFonts w:hAnsi="宋体" w:cs="宋体"/>
          <w:color w:val="000000" w:themeColor="text1"/>
          <w:sz w:val="30"/>
          <w:szCs w:val="30"/>
          <w14:textFill>
            <w14:solidFill>
              <w14:schemeClr w14:val="tx1"/>
            </w14:solidFill>
          </w14:textFill>
        </w:rPr>
      </w:pPr>
    </w:p>
    <w:p w14:paraId="40DBE929">
      <w:pPr>
        <w:pStyle w:val="10"/>
        <w:rPr>
          <w:rFonts w:hAnsi="宋体" w:cs="宋体"/>
          <w:color w:val="000000" w:themeColor="text1"/>
          <w:sz w:val="30"/>
          <w:szCs w:val="30"/>
          <w14:textFill>
            <w14:solidFill>
              <w14:schemeClr w14:val="tx1"/>
            </w14:solidFill>
          </w14:textFill>
        </w:rPr>
      </w:pPr>
    </w:p>
    <w:p w14:paraId="547CC6C1">
      <w:pPr>
        <w:jc w:val="center"/>
        <w:rPr>
          <w:rFonts w:hAnsi="宋体" w:cs="宋体"/>
          <w:color w:val="000000" w:themeColor="text1"/>
          <w:sz w:val="30"/>
          <w:szCs w:val="30"/>
          <w14:textFill>
            <w14:solidFill>
              <w14:schemeClr w14:val="tx1"/>
            </w14:solidFill>
          </w14:textFill>
        </w:rPr>
      </w:pPr>
    </w:p>
    <w:p w14:paraId="59EF519C">
      <w:pPr>
        <w:ind w:firstLine="2080" w:firstLineChars="650"/>
        <w:rPr>
          <w:rFonts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甲  方： </w:t>
      </w:r>
    </w:p>
    <w:p w14:paraId="67266C60">
      <w:pPr>
        <w:tabs>
          <w:tab w:val="left" w:pos="480"/>
        </w:tabs>
        <w:ind w:firstLine="640" w:firstLineChars="200"/>
        <w:rPr>
          <w:rFonts w:hint="eastAsia"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         乙  方：</w:t>
      </w:r>
    </w:p>
    <w:p w14:paraId="4FE49E52">
      <w:pPr>
        <w:pStyle w:val="10"/>
        <w:ind w:left="0" w:leftChars="0" w:firstLine="2160" w:firstLineChars="675"/>
        <w:rPr>
          <w:rFonts w:hint="eastAsia" w:eastAsia="宋体"/>
          <w:color w:val="000000" w:themeColor="text1"/>
          <w:lang w:val="en-US" w:eastAsia="zh-CN"/>
          <w14:textFill>
            <w14:solidFill>
              <w14:schemeClr w14:val="tx1"/>
            </w14:solidFill>
          </w14:textFill>
        </w:rPr>
      </w:pPr>
      <w:r>
        <w:rPr>
          <w:rFonts w:hint="eastAsia" w:hAnsi="宋体" w:cs="宋体"/>
          <w:color w:val="000000" w:themeColor="text1"/>
          <w:sz w:val="32"/>
          <w:szCs w:val="32"/>
          <w:lang w:val="en-US" w:eastAsia="zh-CN"/>
          <w14:textFill>
            <w14:solidFill>
              <w14:schemeClr w14:val="tx1"/>
            </w14:solidFill>
          </w14:textFill>
        </w:rPr>
        <w:t>丙  方：</w:t>
      </w:r>
    </w:p>
    <w:p w14:paraId="7380E96C">
      <w:pPr>
        <w:jc w:val="center"/>
        <w:rPr>
          <w:rFonts w:hAnsi="宋体" w:cs="宋体"/>
          <w:color w:val="000000" w:themeColor="text1"/>
          <w:sz w:val="30"/>
          <w:szCs w:val="30"/>
          <w14:textFill>
            <w14:solidFill>
              <w14:schemeClr w14:val="tx1"/>
            </w14:solidFill>
          </w14:textFill>
        </w:rPr>
      </w:pPr>
    </w:p>
    <w:p w14:paraId="16B58206">
      <w:pPr>
        <w:jc w:val="center"/>
        <w:rPr>
          <w:rFonts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  年  月</w:t>
      </w:r>
    </w:p>
    <w:p w14:paraId="0DC6675A">
      <w:pPr>
        <w:rPr>
          <w:rFonts w:hint="eastAsia" w:ascii="宋体" w:hAnsi="宋体" w:cs="宋体"/>
          <w:b/>
          <w:bCs/>
          <w:color w:val="FF0000"/>
          <w:sz w:val="24"/>
          <w:lang w:val="en-US" w:eastAsia="zh-CN"/>
        </w:rPr>
      </w:pPr>
    </w:p>
    <w:p w14:paraId="00D21BD6">
      <w:pPr>
        <w:rPr>
          <w:rFonts w:hint="eastAsia" w:ascii="宋体" w:hAnsi="宋体" w:cs="宋体"/>
          <w:b/>
          <w:bCs/>
          <w:color w:val="FF0000"/>
          <w:sz w:val="24"/>
          <w:lang w:val="en-US" w:eastAsia="zh-CN"/>
        </w:rPr>
      </w:pPr>
      <w:r>
        <w:rPr>
          <w:rFonts w:hint="eastAsia" w:ascii="宋体" w:hAnsi="宋体" w:cs="宋体"/>
          <w:b/>
          <w:bCs/>
          <w:color w:val="FF0000"/>
          <w:sz w:val="24"/>
          <w:lang w:val="en-US" w:eastAsia="zh-CN"/>
        </w:rPr>
        <w:br w:type="page"/>
      </w:r>
    </w:p>
    <w:p w14:paraId="3BF93D7D">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合同协议书</w:t>
      </w:r>
    </w:p>
    <w:p w14:paraId="2F7E7DE9">
      <w:pPr>
        <w:keepNext w:val="0"/>
        <w:keepLines w:val="0"/>
        <w:pageBreakBefore w:val="0"/>
        <w:kinsoku/>
        <w:wordWrap/>
        <w:overflowPunct/>
        <w:topLinePunct w:val="0"/>
        <w:autoSpaceDE/>
        <w:autoSpaceDN/>
        <w:bidi w:val="0"/>
        <w:adjustRightInd/>
        <w:snapToGrid/>
        <w:spacing w:line="560" w:lineRule="exact"/>
        <w:textAlignment w:val="auto"/>
        <w:rPr>
          <w:rFonts w:hAnsi="宋体" w:cs="宋体"/>
          <w:szCs w:val="21"/>
          <w:u w:val="single"/>
        </w:rPr>
      </w:pPr>
      <w:r>
        <w:rPr>
          <w:rFonts w:hint="eastAsia" w:hAnsi="宋体" w:cs="宋体"/>
          <w:szCs w:val="21"/>
        </w:rPr>
        <w:t>甲方：</w:t>
      </w:r>
      <w:r>
        <w:rPr>
          <w:rFonts w:hint="eastAsia" w:hAnsi="宋体" w:cs="宋体"/>
          <w:szCs w:val="21"/>
          <w:u w:val="single"/>
        </w:rPr>
        <w:t xml:space="preserve"> </w:t>
      </w:r>
      <w:r>
        <w:rPr>
          <w:rFonts w:hint="eastAsia" w:hAnsi="宋体" w:cs="宋体"/>
          <w:szCs w:val="21"/>
          <w:u w:val="single"/>
          <w:lang w:val="en-US" w:eastAsia="zh-CN"/>
        </w:rPr>
        <w:t>商洛市林业科学研究所</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p>
    <w:p w14:paraId="0505BAB9">
      <w:pPr>
        <w:keepNext w:val="0"/>
        <w:keepLines w:val="0"/>
        <w:pageBreakBefore w:val="0"/>
        <w:kinsoku/>
        <w:wordWrap/>
        <w:overflowPunct/>
        <w:topLinePunct w:val="0"/>
        <w:autoSpaceDE/>
        <w:autoSpaceDN/>
        <w:bidi w:val="0"/>
        <w:adjustRightInd/>
        <w:snapToGrid/>
        <w:spacing w:line="560" w:lineRule="exact"/>
        <w:textAlignment w:val="auto"/>
        <w:rPr>
          <w:rFonts w:hint="default" w:hAnsi="宋体" w:cs="宋体"/>
          <w:szCs w:val="21"/>
          <w:u w:val="single"/>
          <w:lang w:val="en-US"/>
        </w:rPr>
      </w:pPr>
      <w:r>
        <w:rPr>
          <w:rFonts w:hint="eastAsia" w:hAnsi="宋体" w:cs="宋体"/>
          <w:szCs w:val="21"/>
        </w:rPr>
        <w:t>乙方：</w:t>
      </w:r>
      <w:r>
        <w:rPr>
          <w:rFonts w:hint="eastAsia" w:hAnsi="宋体" w:cs="宋体"/>
          <w:szCs w:val="21"/>
          <w:u w:val="single"/>
        </w:rPr>
        <w:t xml:space="preserve"> </w:t>
      </w:r>
      <w:r>
        <w:rPr>
          <w:rFonts w:hint="eastAsia" w:hAnsi="宋体" w:cs="宋体"/>
          <w:szCs w:val="21"/>
          <w:u w:val="single"/>
          <w:lang w:val="en-US" w:eastAsia="zh-CN"/>
        </w:rPr>
        <w:t xml:space="preserve">                   </w:t>
      </w:r>
    </w:p>
    <w:p w14:paraId="0B8922EC">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eastAsiaTheme="minorEastAsia"/>
          <w:sz w:val="24"/>
          <w:lang w:val="en-US" w:eastAsia="zh-CN"/>
        </w:rPr>
      </w:pPr>
      <w:r>
        <w:rPr>
          <w:rFonts w:hint="eastAsia" w:ascii="宋体" w:hAnsi="宋体" w:cs="宋体"/>
          <w:sz w:val="24"/>
          <w:lang w:val="en-US" w:eastAsia="zh-CN"/>
        </w:rPr>
        <w:t>丙方：</w:t>
      </w:r>
      <w:r>
        <w:rPr>
          <w:rFonts w:hint="eastAsia" w:hAnsi="宋体" w:cs="宋体"/>
          <w:szCs w:val="21"/>
          <w:u w:val="single"/>
        </w:rPr>
        <w:t xml:space="preserve"> </w:t>
      </w:r>
      <w:r>
        <w:rPr>
          <w:rFonts w:hint="eastAsia" w:hAnsi="宋体" w:cs="宋体"/>
          <w:szCs w:val="21"/>
          <w:u w:val="single"/>
          <w:lang w:val="en-US" w:eastAsia="zh-CN"/>
        </w:rPr>
        <w:t xml:space="preserve">各县林业局   </w:t>
      </w:r>
      <w:r>
        <w:rPr>
          <w:rFonts w:hint="eastAsia" w:hAnsi="宋体" w:cs="宋体"/>
          <w:szCs w:val="21"/>
          <w:u w:val="single"/>
        </w:rPr>
        <w:t xml:space="preserve"> </w:t>
      </w:r>
    </w:p>
    <w:p w14:paraId="502DC38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w:t>
      </w:r>
      <w:r>
        <w:rPr>
          <w:rFonts w:hint="eastAsia" w:ascii="宋体" w:hAnsi="宋体" w:cs="宋体"/>
          <w:color w:val="000000" w:themeColor="text1"/>
          <w:sz w:val="24"/>
          <w:lang w:eastAsia="zh-CN"/>
          <w14:textFill>
            <w14:solidFill>
              <w14:schemeClr w14:val="tx1"/>
            </w14:solidFill>
          </w14:textFill>
        </w:rPr>
        <w:t>中华人民共和国招标投标法</w:t>
      </w:r>
      <w:r>
        <w:rPr>
          <w:rFonts w:hint="eastAsia" w:ascii="宋体" w:hAnsi="宋体" w:cs="宋体"/>
          <w:color w:val="000000" w:themeColor="text1"/>
          <w:sz w:val="24"/>
          <w14:textFill>
            <w14:solidFill>
              <w14:schemeClr w14:val="tx1"/>
            </w14:solidFill>
          </w14:textFill>
        </w:rPr>
        <w:t>》及实施条例、《中华人民共和国民法典》和《</w:t>
      </w:r>
      <w:r>
        <w:rPr>
          <w:rFonts w:hint="eastAsia" w:hAnsi="宋体" w:cs="宋体"/>
          <w:color w:val="000000" w:themeColor="text1"/>
          <w:szCs w:val="24"/>
          <w:lang w:eastAsia="zh-CN"/>
          <w14:textFill>
            <w14:solidFill>
              <w14:schemeClr w14:val="tx1"/>
            </w14:solidFill>
          </w14:textFill>
        </w:rPr>
        <w:t>陕西省商洛市2026年中央财政国土绿化项目作业设计</w:t>
      </w:r>
      <w:r>
        <w:rPr>
          <w:rFonts w:hint="eastAsia" w:ascii="宋体" w:hAnsi="宋体" w:cs="宋体"/>
          <w:color w:val="000000" w:themeColor="text1"/>
          <w:sz w:val="24"/>
          <w14:textFill>
            <w14:solidFill>
              <w14:schemeClr w14:val="tx1"/>
            </w14:solidFill>
          </w14:textFill>
        </w:rPr>
        <w:t>》的招标文件、投标文件等有关规定，为确保甲方招标项目的顺利实施，甲、乙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方在平等自愿原则下签订本合同，并共同遵守如下条款：</w:t>
      </w:r>
    </w:p>
    <w:p w14:paraId="6DDBAFBE">
      <w:pPr>
        <w:keepNext w:val="0"/>
        <w:keepLines w:val="0"/>
        <w:pageBreakBefore w:val="0"/>
        <w:kinsoku/>
        <w:wordWrap/>
        <w:overflowPunct/>
        <w:topLinePunct w:val="0"/>
        <w:autoSpaceDE/>
        <w:autoSpaceDN/>
        <w:bidi w:val="0"/>
        <w:adjustRightInd/>
        <w:snapToGrid/>
        <w:spacing w:line="560" w:lineRule="exact"/>
        <w:ind w:firstLine="482" w:firstLineChars="200"/>
        <w:jc w:val="left"/>
        <w:textAlignment w:val="auto"/>
        <w:outlineLvl w:val="0"/>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一、服务内容及</w:t>
      </w:r>
      <w:r>
        <w:rPr>
          <w:rFonts w:hint="eastAsia" w:ascii="宋体" w:hAnsi="宋体" w:cs="宋体"/>
          <w:b/>
          <w:color w:val="000000" w:themeColor="text1"/>
          <w:sz w:val="24"/>
          <w:lang w:val="en-US" w:eastAsia="zh-CN"/>
          <w14:textFill>
            <w14:solidFill>
              <w14:schemeClr w14:val="tx1"/>
            </w14:solidFill>
          </w14:textFill>
        </w:rPr>
        <w:t>技术要求</w:t>
      </w:r>
    </w:p>
    <w:p w14:paraId="00980B2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项目作业设计要严格按照《国土绿化项目作业设计管理规定》《森林抚育技术规程》《低效林改造技术规程》及陕西省林业相关技术细则要求进行项目调查</w:t>
      </w:r>
      <w:r>
        <w:rPr>
          <w:rFonts w:hint="eastAsia" w:ascii="宋体" w:hAnsi="宋体" w:cs="宋体"/>
          <w:color w:val="000000" w:themeColor="text1"/>
          <w:sz w:val="24"/>
          <w:lang w:eastAsia="zh-CN"/>
          <w14:textFill>
            <w14:solidFill>
              <w14:schemeClr w14:val="tx1"/>
            </w14:solidFill>
          </w14:textFill>
        </w:rPr>
        <w:t>和规</w:t>
      </w:r>
      <w:r>
        <w:rPr>
          <w:rFonts w:hint="eastAsia" w:ascii="宋体" w:hAnsi="宋体" w:cs="宋体"/>
          <w:color w:val="000000" w:themeColor="text1"/>
          <w:sz w:val="24"/>
          <w14:textFill>
            <w14:solidFill>
              <w14:schemeClr w14:val="tx1"/>
            </w14:solidFill>
          </w14:textFill>
        </w:rPr>
        <w:t>划设计。</w:t>
      </w:r>
    </w:p>
    <w:p w14:paraId="15807AA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成果标准：</w:t>
      </w:r>
      <w:r>
        <w:rPr>
          <w:rFonts w:hint="eastAsia" w:hAnsi="宋体" w:cs="宋体"/>
          <w:color w:val="000000" w:themeColor="text1"/>
          <w:szCs w:val="24"/>
          <w:highlight w:val="none"/>
          <w:lang w:val="en-US" w:eastAsia="zh-CN"/>
          <w14:textFill>
            <w14:solidFill>
              <w14:schemeClr w14:val="tx1"/>
            </w14:solidFill>
          </w14:textFill>
        </w:rPr>
        <w:t>工作成果要符合国家及行业有关规范及标准编写，</w:t>
      </w:r>
      <w:r>
        <w:rPr>
          <w:rFonts w:hint="eastAsia" w:hAnsi="宋体" w:cs="宋体"/>
          <w:color w:val="000000" w:themeColor="text1"/>
          <w:szCs w:val="24"/>
          <w:highlight w:val="none"/>
          <w14:textFill>
            <w14:solidFill>
              <w14:schemeClr w14:val="tx1"/>
            </w14:solidFill>
          </w14:textFill>
        </w:rPr>
        <w:t>成果报告纸质版</w:t>
      </w:r>
      <w:r>
        <w:rPr>
          <w:rFonts w:hint="eastAsia" w:hAnsi="宋体" w:cs="宋体"/>
          <w:color w:val="000000" w:themeColor="text1"/>
          <w:szCs w:val="24"/>
          <w:highlight w:val="none"/>
          <w:u w:val="single"/>
          <w:lang w:val="en-US" w:eastAsia="zh-CN"/>
          <w14:textFill>
            <w14:solidFill>
              <w14:schemeClr w14:val="tx1"/>
            </w14:solidFill>
          </w14:textFill>
        </w:rPr>
        <w:t xml:space="preserve">    </w:t>
      </w:r>
      <w:r>
        <w:rPr>
          <w:rFonts w:hint="eastAsia" w:hAnsi="宋体" w:cs="宋体"/>
          <w:color w:val="000000" w:themeColor="text1"/>
          <w:szCs w:val="24"/>
          <w:highlight w:val="none"/>
          <w14:textFill>
            <w14:solidFill>
              <w14:schemeClr w14:val="tx1"/>
            </w14:solidFill>
          </w14:textFill>
        </w:rPr>
        <w:t>份，相应配套图件纸质版</w:t>
      </w:r>
      <w:r>
        <w:rPr>
          <w:rFonts w:hint="eastAsia" w:hAnsi="宋体" w:cs="宋体"/>
          <w:color w:val="000000" w:themeColor="text1"/>
          <w:szCs w:val="24"/>
          <w:highlight w:val="none"/>
          <w:u w:val="single"/>
          <w:lang w:val="en-US" w:eastAsia="zh-CN"/>
          <w14:textFill>
            <w14:solidFill>
              <w14:schemeClr w14:val="tx1"/>
            </w14:solidFill>
          </w14:textFill>
        </w:rPr>
        <w:t xml:space="preserve">    </w:t>
      </w:r>
      <w:r>
        <w:rPr>
          <w:rFonts w:hint="eastAsia" w:hAnsi="宋体" w:cs="宋体"/>
          <w:color w:val="000000" w:themeColor="text1"/>
          <w:szCs w:val="24"/>
          <w:highlight w:val="none"/>
          <w14:textFill>
            <w14:solidFill>
              <w14:schemeClr w14:val="tx1"/>
            </w14:solidFill>
          </w14:textFill>
        </w:rPr>
        <w:t>份及矢量图和设计电子版，以及采购人</w:t>
      </w:r>
      <w:r>
        <w:rPr>
          <w:rFonts w:hint="eastAsia" w:hAnsi="宋体" w:cs="宋体"/>
          <w:color w:val="000000" w:themeColor="text1"/>
          <w:szCs w:val="24"/>
          <w:highlight w:val="none"/>
          <w:lang w:val="en-US" w:eastAsia="zh-CN"/>
          <w14:textFill>
            <w14:solidFill>
              <w14:schemeClr w14:val="tx1"/>
            </w14:solidFill>
          </w14:textFill>
        </w:rPr>
        <w:t>及洛南县、柞水县林业局</w:t>
      </w:r>
      <w:r>
        <w:rPr>
          <w:rFonts w:hint="eastAsia" w:hAnsi="宋体" w:cs="宋体"/>
          <w:color w:val="000000" w:themeColor="text1"/>
          <w:szCs w:val="24"/>
          <w:highlight w:val="none"/>
          <w14:textFill>
            <w14:solidFill>
              <w14:schemeClr w14:val="tx1"/>
            </w14:solidFill>
          </w14:textFill>
        </w:rPr>
        <w:t>认为需要提供的项目资料</w:t>
      </w:r>
      <w:r>
        <w:rPr>
          <w:rFonts w:hint="eastAsia" w:ascii="宋体" w:hAnsi="宋体" w:cs="宋体"/>
          <w:color w:val="000000" w:themeColor="text1"/>
          <w:sz w:val="24"/>
          <w14:textFill>
            <w14:solidFill>
              <w14:schemeClr w14:val="tx1"/>
            </w14:solidFill>
          </w14:textFill>
        </w:rPr>
        <w:t>。</w:t>
      </w:r>
    </w:p>
    <w:p w14:paraId="3D5EF898">
      <w:pPr>
        <w:keepNext w:val="0"/>
        <w:keepLines w:val="0"/>
        <w:pageBreakBefore w:val="0"/>
        <w:kinsoku/>
        <w:wordWrap/>
        <w:overflowPunct/>
        <w:topLinePunct w:val="0"/>
        <w:autoSpaceDE/>
        <w:autoSpaceDN/>
        <w:bidi w:val="0"/>
        <w:adjustRightInd/>
        <w:snapToGrid/>
        <w:spacing w:line="560" w:lineRule="exact"/>
        <w:ind w:firstLine="482" w:firstLineChars="200"/>
        <w:jc w:val="left"/>
        <w:textAlignment w:val="auto"/>
        <w:outlineLvl w:val="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二、合同价款</w:t>
      </w:r>
    </w:p>
    <w:p w14:paraId="6B539EA4">
      <w:pPr>
        <w:pStyle w:val="2"/>
        <w:keepNext w:val="0"/>
        <w:keepLines w:val="0"/>
        <w:pageBreakBefore w:val="0"/>
        <w:tabs>
          <w:tab w:val="left" w:pos="7360"/>
          <w:tab w:val="left" w:pos="8875"/>
        </w:tabs>
        <w:kinsoku/>
        <w:wordWrap/>
        <w:overflowPunct/>
        <w:topLinePunct w:val="0"/>
        <w:autoSpaceDE/>
        <w:autoSpaceDN/>
        <w:bidi w:val="0"/>
        <w:adjustRightInd/>
        <w:snapToGrid/>
        <w:spacing w:beforeLines="0" w:afterLines="0" w:line="560" w:lineRule="exact"/>
        <w:ind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（一）合同总价款为人民币（大写）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2E2571C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（二）合同总价款包含</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作业区域内的作业设计，</w:t>
      </w:r>
      <w:r>
        <w:rPr>
          <w:rFonts w:hint="eastAsia" w:hAnsi="宋体" w:cs="宋体"/>
          <w:color w:val="000000" w:themeColor="text1"/>
          <w:szCs w:val="24"/>
          <w:highlight w:val="none"/>
          <w14:textFill>
            <w14:solidFill>
              <w14:schemeClr w14:val="tx1"/>
            </w14:solidFill>
          </w14:textFill>
        </w:rPr>
        <w:t>由</w:t>
      </w:r>
      <w:r>
        <w:rPr>
          <w:rFonts w:hint="eastAsia" w:hAnsi="宋体" w:cs="宋体"/>
          <w:color w:val="000000" w:themeColor="text1"/>
          <w:szCs w:val="24"/>
          <w:highlight w:val="none"/>
          <w:lang w:eastAsia="zh-CN"/>
          <w14:textFill>
            <w14:solidFill>
              <w14:schemeClr w14:val="tx1"/>
            </w14:solidFill>
          </w14:textFill>
        </w:rPr>
        <w:t>丙方</w:t>
      </w:r>
      <w:r>
        <w:rPr>
          <w:rFonts w:hint="eastAsia" w:hAnsi="宋体" w:cs="宋体"/>
          <w:color w:val="000000" w:themeColor="text1"/>
          <w:szCs w:val="24"/>
          <w:highlight w:val="none"/>
          <w14:textFill>
            <w14:solidFill>
              <w14:schemeClr w14:val="tx1"/>
            </w14:solidFill>
          </w14:textFill>
        </w:rPr>
        <w:t>支付作业设计编制费用，具体支付金额根据项目建设内容及任务量按比例确定</w:t>
      </w:r>
      <w:r>
        <w:rPr>
          <w:rFonts w:hint="eastAsia" w:hAnsi="宋体" w:cs="宋体"/>
          <w:color w:val="000000" w:themeColor="text1"/>
          <w:szCs w:val="24"/>
          <w:highlight w:val="none"/>
          <w:lang w:val="en-US" w:eastAsia="zh-CN"/>
          <w14:textFill>
            <w14:solidFill>
              <w14:schemeClr w14:val="tx1"/>
            </w14:solidFill>
          </w14:textFill>
        </w:rPr>
        <w:t>后为：</w:t>
      </w:r>
    </w:p>
    <w:p w14:paraId="00B855A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hAnsi="宋体" w:cs="宋体"/>
          <w:color w:val="000000" w:themeColor="text1"/>
          <w:szCs w:val="24"/>
          <w:highlight w:val="none"/>
          <w:u w:val="single"/>
          <w:lang w:val="en-US" w:eastAsia="zh-CN"/>
          <w14:textFill>
            <w14:solidFill>
              <w14:schemeClr w14:val="tx1"/>
            </w14:solidFill>
          </w14:textFill>
        </w:rPr>
        <w:t xml:space="preserve">       </w:t>
      </w:r>
      <w:r>
        <w:rPr>
          <w:rFonts w:hint="eastAsia" w:hAnsi="宋体" w:cs="宋体"/>
          <w:color w:val="000000" w:themeColor="text1"/>
          <w:szCs w:val="24"/>
          <w:highlight w:val="none"/>
          <w:u w:val="none"/>
          <w:lang w:val="en-US" w:eastAsia="zh-CN"/>
          <w14:textFill>
            <w14:solidFill>
              <w14:schemeClr w14:val="tx1"/>
            </w14:solidFill>
          </w14:textFill>
        </w:rPr>
        <w:t xml:space="preserve"> 县</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 ）</w:t>
      </w:r>
      <w:r>
        <w:rPr>
          <w:rFonts w:hint="eastAsia" w:hAnsi="宋体" w:cs="宋体"/>
          <w:color w:val="000000" w:themeColor="text1"/>
          <w:szCs w:val="24"/>
          <w:highlight w:val="none"/>
          <w:lang w:val="en-US" w:eastAsia="zh-CN"/>
          <w14:textFill>
            <w14:solidFill>
              <w14:schemeClr w14:val="tx1"/>
            </w14:solidFill>
          </w14:textFill>
        </w:rPr>
        <w:t>。</w:t>
      </w:r>
    </w:p>
    <w:p w14:paraId="0EB3DBA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（三）合同总价包括：本次作业设计的所有内容以及国家按现行税率征收的一切税费等所有费用。</w:t>
      </w:r>
    </w:p>
    <w:p w14:paraId="1166D19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（四）合同总价一次性包死，不受市场价格变化因素的影响。</w:t>
      </w:r>
    </w:p>
    <w:p w14:paraId="5EF4B675">
      <w:pPr>
        <w:pStyle w:val="2"/>
        <w:keepNext w:val="0"/>
        <w:keepLines w:val="0"/>
        <w:pageBreakBefore w:val="0"/>
        <w:kinsoku/>
        <w:wordWrap/>
        <w:overflowPunct/>
        <w:topLinePunct w:val="0"/>
        <w:autoSpaceDE/>
        <w:autoSpaceDN/>
        <w:bidi w:val="0"/>
        <w:adjustRightInd/>
        <w:snapToGrid/>
        <w:spacing w:beforeLines="0" w:afterLines="0" w:line="560" w:lineRule="exact"/>
        <w:ind w:right="846" w:firstLine="482" w:firstLineChars="200"/>
        <w:jc w:val="left"/>
        <w:textAlignment w:val="auto"/>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三、款项结算</w:t>
      </w:r>
    </w:p>
    <w:p w14:paraId="63E1C61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（一）付款方式：</w:t>
      </w:r>
    </w:p>
    <w:p w14:paraId="24A1E551">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outlineLvl w:val="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1.分期支付</w:t>
      </w:r>
    </w:p>
    <w:p w14:paraId="75D3120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第一次支付：</w:t>
      </w:r>
      <w:r>
        <w:rPr>
          <w:rFonts w:hint="eastAsia" w:ascii="宋体" w:hAnsi="宋体" w:cs="宋体"/>
          <w:color w:val="000000" w:themeColor="text1"/>
          <w:sz w:val="24"/>
          <w:lang w:eastAsia="zh-CN"/>
          <w14:textFill>
            <w14:solidFill>
              <w14:schemeClr w14:val="tx1"/>
            </w14:solidFill>
          </w14:textFill>
        </w:rPr>
        <w:t>合同签订后</w:t>
      </w:r>
      <w:r>
        <w:rPr>
          <w:rFonts w:hint="eastAsia" w:ascii="宋体" w:hAnsi="宋体" w:cs="宋体"/>
          <w:color w:val="000000" w:themeColor="text1"/>
          <w:sz w:val="24"/>
          <w:lang w:val="en-US" w:eastAsia="zh-CN"/>
          <w14:textFill>
            <w14:solidFill>
              <w14:schemeClr w14:val="tx1"/>
            </w14:solidFill>
          </w14:textFill>
        </w:rPr>
        <w:t>5个工作</w:t>
      </w:r>
      <w:r>
        <w:rPr>
          <w:rFonts w:hint="eastAsia" w:ascii="宋体" w:hAnsi="宋体" w:cs="宋体"/>
          <w:color w:val="000000" w:themeColor="text1"/>
          <w:sz w:val="24"/>
          <w14:textFill>
            <w14:solidFill>
              <w14:schemeClr w14:val="tx1"/>
            </w14:solidFill>
          </w14:textFill>
        </w:rPr>
        <w:t>日内，</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支付服务报酬总价</w:t>
      </w:r>
      <w:r>
        <w:rPr>
          <w:rFonts w:hint="eastAsia" w:ascii="宋体" w:hAnsi="宋体" w:cs="宋体"/>
          <w:color w:val="000000" w:themeColor="text1"/>
          <w:sz w:val="24"/>
          <w:lang w:val="en-US" w:eastAsia="zh-CN"/>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%，即</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2800435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第二次支付：提交项目成果并通过专家评审后</w:t>
      </w:r>
      <w:r>
        <w:rPr>
          <w:rFonts w:hint="eastAsia" w:ascii="宋体" w:hAnsi="宋体" w:cs="宋体"/>
          <w:color w:val="000000" w:themeColor="text1"/>
          <w:sz w:val="24"/>
          <w:lang w:val="en-US" w:eastAsia="zh-CN"/>
          <w14:textFill>
            <w14:solidFill>
              <w14:schemeClr w14:val="tx1"/>
            </w14:solidFill>
          </w14:textFill>
        </w:rPr>
        <w:t>10个工作日内</w:t>
      </w:r>
      <w:r>
        <w:rPr>
          <w:rFonts w:hint="eastAsia" w:ascii="宋体" w:hAnsi="宋体" w:cs="宋体"/>
          <w:color w:val="000000" w:themeColor="text1"/>
          <w:sz w:val="24"/>
          <w14:textFill>
            <w14:solidFill>
              <w14:schemeClr w14:val="tx1"/>
            </w14:solidFill>
          </w14:textFill>
        </w:rPr>
        <w:t>，支付服务报酬总价</w:t>
      </w:r>
      <w:r>
        <w:rPr>
          <w:rFonts w:hint="eastAsia" w:ascii="宋体" w:hAnsi="宋体" w:cs="宋体"/>
          <w:color w:val="000000" w:themeColor="text1"/>
          <w:sz w:val="24"/>
          <w:lang w:val="en-US" w:eastAsia="zh-CN"/>
          <w14:textFill>
            <w14:solidFill>
              <w14:schemeClr w14:val="tx1"/>
            </w14:solidFill>
          </w14:textFill>
        </w:rPr>
        <w:t>40</w:t>
      </w:r>
      <w:r>
        <w:rPr>
          <w:rFonts w:hint="eastAsia" w:ascii="宋体" w:hAnsi="宋体" w:cs="宋体"/>
          <w:color w:val="000000" w:themeColor="text1"/>
          <w:sz w:val="24"/>
          <w14:textFill>
            <w14:solidFill>
              <w14:schemeClr w14:val="tx1"/>
            </w14:solidFill>
          </w14:textFill>
        </w:rPr>
        <w:t>%，即</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603919A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第三次支付：本项目施工招标后，完成对施工单位设计交底，达到付款条件起 5 日内，</w:t>
      </w:r>
      <w:r>
        <w:rPr>
          <w:rFonts w:hint="eastAsia" w:ascii="宋体" w:hAnsi="宋体" w:cs="宋体"/>
          <w:color w:val="000000" w:themeColor="text1"/>
          <w:sz w:val="24"/>
          <w14:textFill>
            <w14:solidFill>
              <w14:schemeClr w14:val="tx1"/>
            </w14:solidFill>
          </w14:textFill>
        </w:rPr>
        <w:t>支付服务报酬总价</w:t>
      </w:r>
      <w:r>
        <w:rPr>
          <w:rFonts w:hint="eastAsia" w:ascii="宋体" w:hAnsi="宋体" w:cs="宋体"/>
          <w:color w:val="000000" w:themeColor="text1"/>
          <w:sz w:val="24"/>
          <w:lang w:val="en-US" w:eastAsia="zh-CN"/>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%，即</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3D37D50A">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方在收到乙方提供的增值税发票的</w:t>
      </w:r>
      <w:r>
        <w:rPr>
          <w:rFonts w:hint="eastAsia" w:ascii="宋体" w:hAnsi="宋体" w:cs="宋体"/>
          <w:color w:val="000000" w:themeColor="text1"/>
          <w:sz w:val="24"/>
          <w:lang w:val="en-US" w:eastAsia="zh-CN"/>
          <w14:textFill>
            <w14:solidFill>
              <w14:schemeClr w14:val="tx1"/>
            </w14:solidFill>
          </w14:textFill>
        </w:rPr>
        <w:t>在合同约定期限</w:t>
      </w:r>
      <w:r>
        <w:rPr>
          <w:rFonts w:hint="eastAsia" w:ascii="宋体" w:hAnsi="宋体" w:cs="宋体"/>
          <w:color w:val="000000" w:themeColor="text1"/>
          <w:sz w:val="24"/>
          <w14:textFill>
            <w14:solidFill>
              <w14:schemeClr w14:val="tx1"/>
            </w14:solidFill>
          </w14:textFill>
        </w:rPr>
        <w:t>内支付相应款项。</w:t>
      </w:r>
    </w:p>
    <w:p w14:paraId="07F8056B">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（二）结算方式：银行转账。</w:t>
      </w:r>
    </w:p>
    <w:p w14:paraId="1D2E613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hint="default" w:ascii="宋体" w:hAnsi="宋体" w:cs="宋体" w:eastAsiaTheme="minorEastAsia"/>
          <w:color w:val="000000" w:themeColor="text1"/>
          <w:sz w:val="24"/>
          <w:highlight w:val="yellow"/>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（三）结算单位：</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none"/>
          <w:lang w:val="en-US" w:eastAsia="zh-CN"/>
          <w14:textFill>
            <w14:solidFill>
              <w14:schemeClr w14:val="tx1"/>
            </w14:solidFill>
          </w14:textFill>
        </w:rPr>
        <w:t xml:space="preserve"> 县</w:t>
      </w:r>
      <w:r>
        <w:rPr>
          <w:rFonts w:hint="eastAsia" w:ascii="宋体" w:hAnsi="宋体" w:cs="宋体"/>
          <w:color w:val="000000" w:themeColor="text1"/>
          <w:sz w:val="24"/>
          <w:lang w:val="en-US" w:eastAsia="zh-CN"/>
          <w14:textFill>
            <w14:solidFill>
              <w14:schemeClr w14:val="tx1"/>
            </w14:solidFill>
          </w14:textFill>
        </w:rPr>
        <w:t>林业局</w:t>
      </w:r>
      <w:bookmarkStart w:id="10" w:name="_GoBack"/>
      <w:bookmarkEnd w:id="10"/>
      <w:r>
        <w:rPr>
          <w:rFonts w:hint="eastAsia" w:ascii="宋体" w:hAnsi="宋体" w:cs="宋体"/>
          <w:color w:val="000000" w:themeColor="text1"/>
          <w:sz w:val="24"/>
          <w:lang w:val="en-US" w:eastAsia="zh-CN"/>
          <w14:textFill>
            <w14:solidFill>
              <w14:schemeClr w14:val="tx1"/>
            </w14:solidFill>
          </w14:textFill>
        </w:rPr>
        <w:t>。</w:t>
      </w:r>
    </w:p>
    <w:p w14:paraId="7DB2873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四、服务期限、服务地点：</w:t>
      </w:r>
    </w:p>
    <w:p w14:paraId="7831A37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w:t>
      </w:r>
      <w:r>
        <w:rPr>
          <w:rFonts w:hint="eastAsia" w:ascii="宋体" w:hAnsi="宋体" w:cs="宋体"/>
          <w:color w:val="000000" w:themeColor="text1"/>
          <w:sz w:val="24"/>
          <w:lang w:eastAsia="zh-CN"/>
          <w14:textFill>
            <w14:solidFill>
              <w14:schemeClr w14:val="tx1"/>
            </w14:solidFill>
          </w14:textFill>
        </w:rPr>
        <w:t>。（自合同签订起</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个日历日</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因甲方或丙方原因（包括但不限于基础资料延迟提供、地块变更、评审安排延后）、不可抗力或恶劣天气等客观原因导致工作无法按期进行的，服务期限相应顺延</w:t>
      </w:r>
      <w:r>
        <w:rPr>
          <w:rFonts w:hint="eastAsia" w:ascii="宋体" w:hAnsi="宋体" w:cs="宋体"/>
          <w:color w:val="000000" w:themeColor="text1"/>
          <w:lang w:eastAsia="zh-CN"/>
          <w14:textFill>
            <w14:solidFill>
              <w14:schemeClr w14:val="tx1"/>
            </w14:solidFill>
          </w14:textFill>
        </w:rPr>
        <w:t>。</w:t>
      </w:r>
    </w:p>
    <w:p w14:paraId="5B04E4D8">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服务地点：</w:t>
      </w:r>
      <w:r>
        <w:rPr>
          <w:rFonts w:hint="eastAsia" w:ascii="宋体" w:hAnsi="宋体" w:cs="宋体"/>
          <w:color w:val="000000" w:themeColor="text1"/>
          <w:sz w:val="24"/>
          <w:lang w:val="en-US" w:eastAsia="zh-CN"/>
          <w14:textFill>
            <w14:solidFill>
              <w14:schemeClr w14:val="tx1"/>
            </w14:solidFill>
          </w14:textFill>
        </w:rPr>
        <w:t>采购人指定地点（洛南县、柞水县）</w:t>
      </w:r>
      <w:r>
        <w:rPr>
          <w:rFonts w:hint="eastAsia" w:ascii="宋体" w:hAnsi="宋体" w:cs="宋体"/>
          <w:color w:val="000000" w:themeColor="text1"/>
          <w:sz w:val="24"/>
          <w14:textFill>
            <w14:solidFill>
              <w14:schemeClr w14:val="tx1"/>
            </w14:solidFill>
          </w14:textFill>
        </w:rPr>
        <w:t>。</w:t>
      </w:r>
    </w:p>
    <w:p w14:paraId="25A1A63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五、甲乙</w:t>
      </w:r>
      <w:r>
        <w:rPr>
          <w:rFonts w:hint="eastAsia" w:ascii="宋体" w:hAnsi="宋体" w:cs="宋体"/>
          <w:b/>
          <w:bCs/>
          <w:color w:val="000000" w:themeColor="text1"/>
          <w:sz w:val="24"/>
          <w:lang w:val="en-US" w:eastAsia="zh-CN"/>
          <w14:textFill>
            <w14:solidFill>
              <w14:schemeClr w14:val="tx1"/>
            </w14:solidFill>
          </w14:textFill>
        </w:rPr>
        <w:t>丙三</w:t>
      </w:r>
      <w:r>
        <w:rPr>
          <w:rFonts w:hint="eastAsia" w:ascii="宋体" w:hAnsi="宋体" w:cs="宋体"/>
          <w:b/>
          <w:bCs/>
          <w:color w:val="000000" w:themeColor="text1"/>
          <w:sz w:val="24"/>
          <w14:textFill>
            <w14:solidFill>
              <w14:schemeClr w14:val="tx1"/>
            </w14:solidFill>
          </w14:textFill>
        </w:rPr>
        <w:t>方的权利与义务</w:t>
      </w:r>
    </w:p>
    <w:p w14:paraId="1E8978E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（一）甲方的权利与义务</w:t>
      </w:r>
    </w:p>
    <w:p w14:paraId="13B555F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lang w:val="en-US" w:eastAsia="zh-CN"/>
          <w14:textFill>
            <w14:solidFill>
              <w14:schemeClr w14:val="tx1"/>
            </w14:solidFill>
          </w14:textFill>
        </w:rPr>
        <w:t>指导丙方</w:t>
      </w:r>
      <w:r>
        <w:rPr>
          <w:rFonts w:hint="eastAsia" w:ascii="宋体" w:hAnsi="宋体" w:cs="宋体"/>
          <w:color w:val="000000" w:themeColor="text1"/>
          <w:sz w:val="24"/>
          <w14:textFill>
            <w14:solidFill>
              <w14:schemeClr w14:val="tx1"/>
            </w14:solidFill>
          </w14:textFill>
        </w:rPr>
        <w:t>向乙方提供准确、具体的服务内容及相关资料。</w:t>
      </w:r>
    </w:p>
    <w:p w14:paraId="5EE21A2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lang w:val="en-US" w:eastAsia="zh-CN"/>
          <w14:textFill>
            <w14:solidFill>
              <w14:schemeClr w14:val="tx1"/>
            </w14:solidFill>
          </w14:textFill>
        </w:rPr>
        <w:t>指导丙方</w:t>
      </w:r>
      <w:r>
        <w:rPr>
          <w:rFonts w:hint="eastAsia" w:ascii="宋体" w:hAnsi="宋体" w:cs="宋体"/>
          <w:color w:val="000000" w:themeColor="text1"/>
          <w:sz w:val="24"/>
          <w14:textFill>
            <w14:solidFill>
              <w14:schemeClr w14:val="tx1"/>
            </w14:solidFill>
          </w14:textFill>
        </w:rPr>
        <w:t>负责协调解决涉及乙方</w:t>
      </w:r>
      <w:r>
        <w:rPr>
          <w:rFonts w:hint="eastAsia" w:ascii="宋体" w:hAnsi="宋体" w:cs="宋体"/>
          <w:color w:val="000000" w:themeColor="text1"/>
          <w:sz w:val="24"/>
          <w:lang w:val="en-US" w:eastAsia="zh-CN"/>
          <w14:textFill>
            <w14:solidFill>
              <w14:schemeClr w14:val="tx1"/>
            </w14:solidFill>
          </w14:textFill>
        </w:rPr>
        <w:t>合理需求</w:t>
      </w:r>
      <w:r>
        <w:rPr>
          <w:rFonts w:hint="eastAsia" w:ascii="宋体" w:hAnsi="宋体" w:cs="宋体"/>
          <w:color w:val="000000" w:themeColor="text1"/>
          <w:sz w:val="24"/>
          <w14:textFill>
            <w14:solidFill>
              <w14:schemeClr w14:val="tx1"/>
            </w14:solidFill>
          </w14:textFill>
        </w:rPr>
        <w:t>范围内的工作，并指定专人配合。</w:t>
      </w:r>
    </w:p>
    <w:p w14:paraId="272B936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（二）乙方的权利与义务</w:t>
      </w:r>
    </w:p>
    <w:p w14:paraId="0CAABDA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1.在乙方提供咨询设计服务过程中，根据</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咨询设计服务需要，乙方有权了解包括但不限于</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提供的与本项目服务相关的有关情况，并要求</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提供开展项目服务工作所需的资料。</w:t>
      </w:r>
    </w:p>
    <w:p w14:paraId="41979D47">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2.乙方在提供咨询设计服务过程中，对</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提出的有违法律法规、行业技术规范要求的意见和建议，有权不予采纳。</w:t>
      </w:r>
    </w:p>
    <w:p w14:paraId="2F25655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3.依据本合同约定，向</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方收取咨询设计服务费用。</w:t>
      </w:r>
    </w:p>
    <w:p w14:paraId="1D28CA7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4.按照国家颁发的有关技术规程、规范和办法，向</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提供优质服务。</w:t>
      </w:r>
    </w:p>
    <w:p w14:paraId="0B27298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5.在施工过程中，施工方对设计文本中主要技术措施理解不到位的，由建设方给予技术指导，必要时乙方需提供一定的技术支持。</w:t>
      </w:r>
    </w:p>
    <w:p w14:paraId="5C8D5CF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.配合</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参与项目评审工作，并完善修改方案。</w:t>
      </w:r>
    </w:p>
    <w:p w14:paraId="295B40E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14:textFill>
            <w14:solidFill>
              <w14:schemeClr w14:val="tx1"/>
            </w14:solidFill>
          </w14:textFill>
        </w:rPr>
        <w:t>对于甲方、丙方提出的超出本合同约定成果范围的资料或服务要求，乙方有权拒绝或要求另行协商费用及交付时间。</w:t>
      </w:r>
    </w:p>
    <w:p w14:paraId="5B62D1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方的权利与义务</w:t>
      </w:r>
    </w:p>
    <w:p w14:paraId="658C102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.丙方配合</w:t>
      </w:r>
      <w:r>
        <w:rPr>
          <w:rFonts w:hint="eastAsia" w:ascii="宋体" w:hAnsi="宋体" w:cs="宋体"/>
          <w:color w:val="000000" w:themeColor="text1"/>
          <w:sz w:val="24"/>
          <w14:textFill>
            <w14:solidFill>
              <w14:schemeClr w14:val="tx1"/>
            </w14:solidFill>
          </w14:textFill>
        </w:rPr>
        <w:t>甲方向乙方提供准确、具体的服务内容及相关资料</w:t>
      </w:r>
      <w:r>
        <w:rPr>
          <w:rFonts w:hint="eastAsia" w:ascii="宋体" w:hAnsi="宋体" w:cs="宋体"/>
          <w:color w:val="000000" w:themeColor="text1"/>
          <w:sz w:val="24"/>
          <w:lang w:eastAsia="zh-CN"/>
          <w14:textFill>
            <w14:solidFill>
              <w14:schemeClr w14:val="tx1"/>
            </w14:solidFill>
          </w14:textFill>
        </w:rPr>
        <w:t>，并保证所提供资料的真实性、准确性、完整性和有效性。</w:t>
      </w:r>
    </w:p>
    <w:p w14:paraId="4B786F2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按本合同约定的方式和时间，按时向乙方付清有关款项。</w:t>
      </w:r>
    </w:p>
    <w:p w14:paraId="00D511DA">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方有权向乙方询问工作进展情况及相关的内容，有权阐述对具体问题的意见和建议。</w:t>
      </w:r>
    </w:p>
    <w:p w14:paraId="7E14C3C6">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.在法律法规、政策允许的范围内，</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方有权对乙方提供的服务成果提出合理意见和建议。</w:t>
      </w:r>
    </w:p>
    <w:p w14:paraId="509C28A8">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color w:val="000000" w:themeColor="text1"/>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w:t>
      </w:r>
      <w:r>
        <w:t>配合乙方开展外业调查工作，并</w:t>
      </w:r>
      <w:r>
        <w:rPr>
          <w:rFonts w:hint="eastAsia"/>
          <w:lang w:val="en-US" w:eastAsia="zh-CN"/>
        </w:rPr>
        <w:t>确认项目地块范围的合规性，</w:t>
      </w:r>
      <w:r>
        <w:t>提供必要的工作便利</w:t>
      </w:r>
      <w:r>
        <w:rPr>
          <w:rFonts w:hint="eastAsia" w:ascii="宋体" w:hAnsi="宋体" w:cs="宋体"/>
          <w:color w:val="000000" w:themeColor="text1"/>
          <w:sz w:val="24"/>
          <w14:textFill>
            <w14:solidFill>
              <w14:schemeClr w14:val="tx1"/>
            </w14:solidFill>
          </w14:textFill>
        </w:rPr>
        <w:t>。</w:t>
      </w:r>
    </w:p>
    <w:p w14:paraId="5110AF7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六</w:t>
      </w:r>
      <w:r>
        <w:rPr>
          <w:rFonts w:hint="eastAsia" w:ascii="宋体" w:hAnsi="宋体" w:cs="宋体"/>
          <w:b/>
          <w:bCs/>
          <w:color w:val="000000" w:themeColor="text1"/>
          <w:sz w:val="24"/>
          <w14:textFill>
            <w14:solidFill>
              <w14:schemeClr w14:val="tx1"/>
            </w14:solidFill>
          </w14:textFill>
        </w:rPr>
        <w:t>、其它事项</w:t>
      </w:r>
    </w:p>
    <w:p w14:paraId="4E3EE3E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（一）乙方不得转让、分包给</w:t>
      </w:r>
      <w:r>
        <w:rPr>
          <w:rFonts w:hint="eastAsia" w:ascii="宋体" w:hAnsi="宋体" w:cs="宋体"/>
          <w:color w:val="000000" w:themeColor="text1"/>
          <w:sz w:val="24"/>
          <w:lang w:eastAsia="zh-CN"/>
          <w14:textFill>
            <w14:solidFill>
              <w14:schemeClr w14:val="tx1"/>
            </w14:solidFill>
          </w14:textFill>
        </w:rPr>
        <w:t>其他</w:t>
      </w:r>
      <w:r>
        <w:rPr>
          <w:rFonts w:hint="eastAsia" w:ascii="宋体" w:hAnsi="宋体" w:cs="宋体"/>
          <w:color w:val="000000" w:themeColor="text1"/>
          <w:sz w:val="24"/>
          <w14:textFill>
            <w14:solidFill>
              <w14:schemeClr w14:val="tx1"/>
            </w14:solidFill>
          </w14:textFill>
        </w:rPr>
        <w:t>单位或个人。</w:t>
      </w:r>
    </w:p>
    <w:p w14:paraId="709A18C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（二）乙方的投标文件和承诺等内容将列入合同。</w:t>
      </w:r>
    </w:p>
    <w:p w14:paraId="0109891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 </w:t>
      </w:r>
      <w:r>
        <w:rPr>
          <w:rFonts w:hint="eastAsia" w:ascii="宋体" w:hAnsi="宋体" w:cs="宋体"/>
          <w:b/>
          <w:bCs/>
          <w:color w:val="000000" w:themeColor="text1"/>
          <w:sz w:val="24"/>
          <w:lang w:eastAsia="zh-CN"/>
          <w14:textFill>
            <w14:solidFill>
              <w14:schemeClr w14:val="tx1"/>
            </w14:solidFill>
          </w14:textFill>
        </w:rPr>
        <w:t>七</w:t>
      </w:r>
      <w:r>
        <w:rPr>
          <w:rFonts w:hint="eastAsia" w:ascii="宋体" w:hAnsi="宋体" w:cs="宋体"/>
          <w:b/>
          <w:bCs/>
          <w:color w:val="000000" w:themeColor="text1"/>
          <w:sz w:val="24"/>
          <w14:textFill>
            <w14:solidFill>
              <w14:schemeClr w14:val="tx1"/>
            </w14:solidFill>
          </w14:textFill>
        </w:rPr>
        <w:t>、知识产权归属</w:t>
      </w:r>
    </w:p>
    <w:p w14:paraId="0B928A8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w:t>
      </w:r>
      <w:r>
        <w:rPr>
          <w:rFonts w:hint="eastAsia" w:ascii="宋体" w:hAnsi="宋体" w:cs="宋体"/>
          <w:color w:val="000000" w:themeColor="text1"/>
          <w14:textFill>
            <w14:solidFill>
              <w14:schemeClr w14:val="tx1"/>
            </w14:solidFill>
          </w14:textFill>
        </w:rPr>
        <w:t>乙方为履行本合同义务所形成的服务成果，授予丙方永久、非排他性的使用权。乙方保留对服务成果的知识产权归</w:t>
      </w:r>
      <w:r>
        <w:rPr>
          <w:rFonts w:hint="eastAsia" w:ascii="宋体" w:hAnsi="宋体" w:cs="宋体"/>
          <w:color w:val="000000" w:themeColor="text1"/>
          <w:lang w:val="en-US" w:eastAsia="zh-CN"/>
          <w14:textFill>
            <w14:solidFill>
              <w14:schemeClr w14:val="tx1"/>
            </w14:solidFill>
          </w14:textFill>
        </w:rPr>
        <w:t>属</w:t>
      </w:r>
      <w:r>
        <w:rPr>
          <w:rFonts w:hint="eastAsia" w:ascii="宋体" w:hAnsi="宋体" w:cs="宋体"/>
          <w:color w:val="000000" w:themeColor="text1"/>
          <w14:textFill>
            <w14:solidFill>
              <w14:schemeClr w14:val="tx1"/>
            </w14:solidFill>
          </w14:textFill>
        </w:rPr>
        <w:t>及使用、改编的权利，但不得用于与丙方相同区域的竞争性项目。</w:t>
      </w:r>
    </w:p>
    <w:p w14:paraId="560A771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（二）乙方保证向甲方</w:t>
      </w:r>
      <w:r>
        <w:rPr>
          <w:rFonts w:hint="eastAsia" w:ascii="宋体" w:hAnsi="宋体" w:cs="宋体"/>
          <w:color w:val="000000" w:themeColor="text1"/>
          <w:sz w:val="24"/>
          <w:lang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提供的服务成果是其独立实施完成</w:t>
      </w:r>
      <w:r>
        <w:rPr>
          <w:rFonts w:hint="eastAsia" w:ascii="宋体" w:hAnsi="宋体" w:cs="宋体"/>
          <w:color w:val="000000" w:themeColor="text1"/>
          <w:sz w:val="24"/>
          <w:lang w:eastAsia="zh-CN"/>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不存在任何侵犯第三方专利权、商标权、著作权等合法权益。如因乙方提供的服务成果侵犯任何第三方的合法权益，导致该第三方追究甲方责任的，乙方应负责解决并赔偿因此给甲方</w:t>
      </w:r>
      <w:r>
        <w:rPr>
          <w:rFonts w:hint="eastAsia" w:ascii="宋体" w:hAnsi="宋体" w:cs="宋体"/>
          <w:color w:val="000000" w:themeColor="text1"/>
          <w:sz w:val="24"/>
          <w:lang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造成的全部损失。</w:t>
      </w:r>
    </w:p>
    <w:p w14:paraId="761EB05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八</w:t>
      </w:r>
      <w:r>
        <w:rPr>
          <w:rFonts w:hint="eastAsia" w:ascii="宋体" w:hAnsi="宋体" w:cs="宋体"/>
          <w:b/>
          <w:bCs/>
          <w:color w:val="000000" w:themeColor="text1"/>
          <w:sz w:val="24"/>
          <w14:textFill>
            <w14:solidFill>
              <w14:schemeClr w14:val="tx1"/>
            </w14:solidFill>
          </w14:textFill>
        </w:rPr>
        <w:t>、违约责任</w:t>
      </w:r>
    </w:p>
    <w:p w14:paraId="1AC54D6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一）</w:t>
      </w:r>
      <w:r>
        <w:rPr>
          <w:rFonts w:hint="eastAsia" w:ascii="宋体" w:hAnsi="宋体" w:cs="宋体"/>
          <w:color w:val="000000" w:themeColor="text1"/>
          <w14:textFill>
            <w14:solidFill>
              <w14:schemeClr w14:val="tx1"/>
            </w14:solidFill>
          </w14:textFill>
        </w:rPr>
        <w:t>丙方逾期付款的，每逾期一日按应付未付款项的</w:t>
      </w: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‰支付违约金</w:t>
      </w: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逾期超过15日的，乙方有权暂停服务或解除合同</w:t>
      </w:r>
      <w:r>
        <w:rPr>
          <w:rFonts w:hint="eastAsia" w:ascii="宋体" w:hAnsi="宋体" w:cs="宋体"/>
          <w:color w:val="000000" w:themeColor="text1"/>
          <w:lang w:eastAsia="zh-CN"/>
          <w14:textFill>
            <w14:solidFill>
              <w14:schemeClr w14:val="tx1"/>
            </w14:solidFill>
          </w14:textFill>
        </w:rPr>
        <w:t>。</w:t>
      </w:r>
    </w:p>
    <w:p w14:paraId="7843CA0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二</w:t>
      </w: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因甲方或丙方原因（包括但不限于基础资料延迟提供、地块变更、评审安排延后）、不可抗力或恶劣天气等客观原因导致工作服务期限相应顺延</w:t>
      </w:r>
      <w:r>
        <w:rPr>
          <w:rFonts w:hint="eastAsia" w:ascii="宋体" w:hAnsi="宋体" w:cs="宋体"/>
          <w:color w:val="000000" w:themeColor="text1"/>
          <w:lang w:val="en-US" w:eastAsia="zh-CN"/>
          <w14:textFill>
            <w14:solidFill>
              <w14:schemeClr w14:val="tx1"/>
            </w14:solidFill>
          </w14:textFill>
        </w:rPr>
        <w:t>的</w:t>
      </w:r>
      <w:r>
        <w:rPr>
          <w:rFonts w:hint="eastAsia" w:ascii="宋体" w:hAnsi="宋体" w:cs="宋体"/>
          <w:color w:val="000000" w:themeColor="text1"/>
          <w14:textFill>
            <w14:solidFill>
              <w14:schemeClr w14:val="tx1"/>
            </w14:solidFill>
          </w14:textFill>
        </w:rPr>
        <w:t>，乙方无需承担因此产生的任何违约责任。</w:t>
      </w:r>
    </w:p>
    <w:p w14:paraId="0DCA60A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三</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任何一方因不可抗力原因不能履行协议时，应尽快通知对方，双方均</w:t>
      </w:r>
      <w:r>
        <w:rPr>
          <w:rFonts w:hint="eastAsia" w:ascii="宋体" w:hAnsi="宋体" w:cs="宋体"/>
          <w:color w:val="000000" w:themeColor="text1"/>
          <w:sz w:val="24"/>
          <w:lang w:val="en-US" w:eastAsia="zh-CN"/>
          <w14:textFill>
            <w14:solidFill>
              <w14:schemeClr w14:val="tx1"/>
            </w14:solidFill>
          </w14:textFill>
        </w:rPr>
        <w:t>应及时沟通</w:t>
      </w:r>
      <w:r>
        <w:rPr>
          <w:rFonts w:hint="eastAsia" w:ascii="宋体" w:hAnsi="宋体" w:cs="宋体"/>
          <w:color w:val="000000" w:themeColor="text1"/>
          <w:sz w:val="24"/>
          <w14:textFill>
            <w14:solidFill>
              <w14:schemeClr w14:val="tx1"/>
            </w14:solidFill>
          </w14:textFill>
        </w:rPr>
        <w:t>。如仍无法履约协议，可协商</w:t>
      </w:r>
      <w:r>
        <w:rPr>
          <w:rFonts w:hint="eastAsia" w:ascii="宋体" w:hAnsi="宋体" w:cs="宋体"/>
          <w:color w:val="000000" w:themeColor="text1"/>
          <w:sz w:val="24"/>
          <w:lang w:val="en-US" w:eastAsia="zh-CN"/>
          <w14:textFill>
            <w14:solidFill>
              <w14:schemeClr w14:val="tx1"/>
            </w14:solidFill>
          </w14:textFill>
        </w:rPr>
        <w:t>延期履行</w:t>
      </w:r>
      <w:r>
        <w:rPr>
          <w:rFonts w:hint="eastAsia" w:ascii="宋体" w:hAnsi="宋体" w:cs="宋体"/>
          <w:color w:val="000000" w:themeColor="text1"/>
          <w:sz w:val="24"/>
          <w14:textFill>
            <w14:solidFill>
              <w14:schemeClr w14:val="tx1"/>
            </w14:solidFill>
          </w14:textFill>
        </w:rPr>
        <w:t>或</w:t>
      </w:r>
      <w:r>
        <w:rPr>
          <w:rFonts w:hint="eastAsia" w:ascii="宋体" w:hAnsi="宋体" w:cs="宋体"/>
          <w:color w:val="000000" w:themeColor="text1"/>
          <w:sz w:val="24"/>
          <w:lang w:val="en-US" w:eastAsia="zh-CN"/>
          <w14:textFill>
            <w14:solidFill>
              <w14:schemeClr w14:val="tx1"/>
            </w14:solidFill>
          </w14:textFill>
        </w:rPr>
        <w:t>终止</w:t>
      </w:r>
      <w:r>
        <w:rPr>
          <w:rFonts w:hint="eastAsia" w:ascii="宋体" w:hAnsi="宋体" w:cs="宋体"/>
          <w:color w:val="000000" w:themeColor="text1"/>
          <w:sz w:val="24"/>
          <w14:textFill>
            <w14:solidFill>
              <w14:schemeClr w14:val="tx1"/>
            </w14:solidFill>
          </w14:textFill>
        </w:rPr>
        <w:t>协议，双方责任免除。</w:t>
      </w:r>
    </w:p>
    <w:p w14:paraId="6F1A33F7">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九</w:t>
      </w:r>
      <w:r>
        <w:rPr>
          <w:rFonts w:hint="eastAsia" w:ascii="宋体" w:hAnsi="宋体" w:cs="宋体"/>
          <w:b/>
          <w:bCs/>
          <w:color w:val="000000" w:themeColor="text1"/>
          <w:sz w:val="24"/>
          <w14:textFill>
            <w14:solidFill>
              <w14:schemeClr w14:val="tx1"/>
            </w14:solidFill>
          </w14:textFill>
        </w:rPr>
        <w:t>、合同组成</w:t>
      </w:r>
    </w:p>
    <w:p w14:paraId="33EAE1F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（一）合同文本、</w:t>
      </w:r>
      <w:r>
        <w:rPr>
          <w:rFonts w:hint="eastAsia" w:ascii="宋体" w:hAnsi="宋体" w:cs="宋体"/>
          <w:color w:val="000000" w:themeColor="text1"/>
          <w:sz w:val="24"/>
          <w:lang w:val="en-US" w:eastAsia="zh-CN"/>
          <w14:textFill>
            <w14:solidFill>
              <w14:schemeClr w14:val="tx1"/>
            </w14:solidFill>
          </w14:textFill>
        </w:rPr>
        <w:t>招标</w:t>
      </w:r>
      <w:r>
        <w:rPr>
          <w:rFonts w:hint="eastAsia" w:ascii="宋体" w:hAnsi="宋体" w:cs="宋体"/>
          <w:color w:val="000000" w:themeColor="text1"/>
          <w:sz w:val="24"/>
          <w14:textFill>
            <w14:solidFill>
              <w14:schemeClr w14:val="tx1"/>
            </w14:solidFill>
          </w14:textFill>
        </w:rPr>
        <w:t>文件及</w:t>
      </w:r>
      <w:r>
        <w:rPr>
          <w:rFonts w:hint="eastAsia" w:ascii="宋体" w:hAnsi="宋体" w:cs="宋体"/>
          <w:color w:val="000000" w:themeColor="text1"/>
          <w:sz w:val="24"/>
          <w:lang w:val="en-US" w:eastAsia="zh-CN"/>
          <w14:textFill>
            <w14:solidFill>
              <w14:schemeClr w14:val="tx1"/>
            </w14:solidFill>
          </w14:textFill>
        </w:rPr>
        <w:t>中标单位的投标</w:t>
      </w:r>
      <w:r>
        <w:rPr>
          <w:rFonts w:hint="eastAsia" w:ascii="宋体" w:hAnsi="宋体" w:cs="宋体"/>
          <w:color w:val="000000" w:themeColor="text1"/>
          <w:sz w:val="24"/>
          <w14:textFill>
            <w14:solidFill>
              <w14:schemeClr w14:val="tx1"/>
            </w14:solidFill>
          </w14:textFill>
        </w:rPr>
        <w:t>文件。</w:t>
      </w:r>
    </w:p>
    <w:p w14:paraId="547ECB6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（二）国家相关规范及标准。</w:t>
      </w:r>
    </w:p>
    <w:p w14:paraId="74E9BC3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十、合同争议</w:t>
      </w:r>
      <w:r>
        <w:rPr>
          <w:rFonts w:hint="eastAsia" w:ascii="宋体" w:hAnsi="宋体" w:cs="宋体"/>
          <w:b/>
          <w:bCs/>
          <w:color w:val="000000" w:themeColor="text1"/>
          <w:sz w:val="24"/>
          <w:lang w:eastAsia="zh-CN"/>
          <w14:textFill>
            <w14:solidFill>
              <w14:schemeClr w14:val="tx1"/>
            </w14:solidFill>
          </w14:textFill>
        </w:rPr>
        <w:t>解决</w:t>
      </w:r>
      <w:r>
        <w:rPr>
          <w:rFonts w:hint="eastAsia" w:ascii="宋体" w:hAnsi="宋体" w:cs="宋体"/>
          <w:b/>
          <w:bCs/>
          <w:color w:val="000000" w:themeColor="text1"/>
          <w:sz w:val="24"/>
          <w14:textFill>
            <w14:solidFill>
              <w14:schemeClr w14:val="tx1"/>
            </w14:solidFill>
          </w14:textFill>
        </w:rPr>
        <w:t>方式</w:t>
      </w:r>
    </w:p>
    <w:p w14:paraId="6F7C0E8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本合同在履行过程中发生的争议，由甲、乙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方当事人协商解决，协商不成的依法向</w:t>
      </w:r>
      <w:r>
        <w:rPr>
          <w:rFonts w:hint="eastAsia" w:ascii="宋体" w:hAnsi="宋体" w:cs="宋体"/>
          <w:color w:val="000000" w:themeColor="text1"/>
          <w:sz w:val="24"/>
          <w:lang w:val="en-US" w:eastAsia="zh-CN"/>
          <w14:textFill>
            <w14:solidFill>
              <w14:schemeClr w14:val="tx1"/>
            </w14:solidFill>
          </w14:textFill>
        </w:rPr>
        <w:t>乙</w:t>
      </w:r>
      <w:r>
        <w:rPr>
          <w:rFonts w:hint="eastAsia" w:ascii="宋体" w:hAnsi="宋体" w:cs="宋体"/>
          <w:color w:val="000000" w:themeColor="text1"/>
          <w:sz w:val="24"/>
          <w14:textFill>
            <w14:solidFill>
              <w14:schemeClr w14:val="tx1"/>
            </w14:solidFill>
          </w14:textFill>
        </w:rPr>
        <w:t>方所在地人民法院起诉。</w:t>
      </w:r>
    </w:p>
    <w:p w14:paraId="1F68757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w:t>
      </w:r>
      <w:r>
        <w:rPr>
          <w:rFonts w:hint="eastAsia" w:ascii="宋体" w:hAnsi="宋体" w:cs="宋体"/>
          <w:b/>
          <w:bCs/>
          <w:color w:val="000000" w:themeColor="text1"/>
          <w:sz w:val="24"/>
          <w:lang w:eastAsia="zh-CN"/>
          <w14:textFill>
            <w14:solidFill>
              <w14:schemeClr w14:val="tx1"/>
            </w14:solidFill>
          </w14:textFill>
        </w:rPr>
        <w:t>一</w:t>
      </w:r>
      <w:r>
        <w:rPr>
          <w:rFonts w:hint="eastAsia" w:ascii="宋体" w:hAnsi="宋体" w:cs="宋体"/>
          <w:b/>
          <w:bCs/>
          <w:color w:val="000000" w:themeColor="text1"/>
          <w:sz w:val="24"/>
          <w14:textFill>
            <w14:solidFill>
              <w14:schemeClr w14:val="tx1"/>
            </w14:solidFill>
          </w14:textFill>
        </w:rPr>
        <w:t>、合同生效</w:t>
      </w:r>
    </w:p>
    <w:p w14:paraId="074BEFD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（一）本合同须经甲、乙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方的法定代表人（授权代表）在合同书上签字并加盖本单位公章后正式生效。</w:t>
      </w:r>
    </w:p>
    <w:p w14:paraId="4325F20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（二）合同生效后，甲、乙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方须严格执行本合同条款的规定，全面履行合同，违者按《中华人民共和国民法典》的有关规定承担相应责任。</w:t>
      </w:r>
    </w:p>
    <w:p w14:paraId="114AB11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（三）本合同一式</w:t>
      </w:r>
      <w:r>
        <w:rPr>
          <w:rFonts w:hint="eastAsia" w:ascii="宋体" w:hAnsi="宋体" w:cs="宋体"/>
          <w:color w:val="000000" w:themeColor="text1"/>
          <w:sz w:val="24"/>
          <w:u w:val="single"/>
          <w:lang w:val="en-US" w:eastAsia="zh-CN"/>
          <w14:textFill>
            <w14:solidFill>
              <w14:schemeClr w14:val="tx1"/>
            </w14:solidFill>
          </w14:textFill>
        </w:rPr>
        <w:t>玖</w:t>
      </w:r>
      <w:r>
        <w:rPr>
          <w:rFonts w:hint="eastAsia" w:ascii="宋体" w:hAnsi="宋体" w:cs="宋体"/>
          <w:color w:val="000000" w:themeColor="text1"/>
          <w:sz w:val="24"/>
          <w14:textFill>
            <w14:solidFill>
              <w14:schemeClr w14:val="tx1"/>
            </w14:solidFill>
          </w14:textFill>
        </w:rPr>
        <w:t>份，甲、乙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方各执</w:t>
      </w:r>
      <w:r>
        <w:rPr>
          <w:rFonts w:hint="eastAsia" w:ascii="宋体" w:hAnsi="宋体" w:cs="宋体"/>
          <w:color w:val="000000" w:themeColor="text1"/>
          <w:sz w:val="24"/>
          <w:lang w:eastAsia="zh-CN"/>
          <w14:textFill>
            <w14:solidFill>
              <w14:schemeClr w14:val="tx1"/>
            </w14:solidFill>
          </w14:textFill>
        </w:rPr>
        <w:t>三份</w:t>
      </w:r>
      <w:r>
        <w:rPr>
          <w:rFonts w:hint="eastAsia" w:ascii="宋体" w:hAnsi="宋体" w:cs="宋体"/>
          <w:color w:val="000000" w:themeColor="text1"/>
          <w:sz w:val="24"/>
          <w14:textFill>
            <w14:solidFill>
              <w14:schemeClr w14:val="tx1"/>
            </w14:solidFill>
          </w14:textFill>
        </w:rPr>
        <w:t>。</w:t>
      </w:r>
    </w:p>
    <w:p w14:paraId="3BE9C3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（四）本合同如有未尽事宜，甲、乙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方协商解决</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可另行签订补充协议</w:t>
      </w:r>
      <w:r>
        <w:rPr>
          <w:rFonts w:hint="eastAsia" w:ascii="宋体" w:hAnsi="宋体" w:cs="宋体"/>
          <w:color w:val="000000" w:themeColor="text1"/>
          <w:sz w:val="24"/>
          <w14:textFill>
            <w14:solidFill>
              <w14:schemeClr w14:val="tx1"/>
            </w14:solidFill>
          </w14:textFill>
        </w:rPr>
        <w:t>。</w:t>
      </w:r>
    </w:p>
    <w:tbl>
      <w:tblPr>
        <w:tblStyle w:val="8"/>
        <w:tblpPr w:leftFromText="180" w:rightFromText="180" w:vertAnchor="text" w:horzAnchor="page" w:tblpX="1294" w:tblpY="724"/>
        <w:tblOverlap w:val="never"/>
        <w:tblW w:w="9019" w:type="dxa"/>
        <w:tblInd w:w="0" w:type="dxa"/>
        <w:tblLayout w:type="fixed"/>
        <w:tblCellMar>
          <w:top w:w="0" w:type="dxa"/>
          <w:left w:w="0" w:type="dxa"/>
          <w:bottom w:w="0" w:type="dxa"/>
          <w:right w:w="0" w:type="dxa"/>
        </w:tblCellMar>
      </w:tblPr>
      <w:tblGrid>
        <w:gridCol w:w="4577"/>
        <w:gridCol w:w="4442"/>
      </w:tblGrid>
      <w:tr w14:paraId="0DA94233">
        <w:tblPrEx>
          <w:tblCellMar>
            <w:top w:w="0" w:type="dxa"/>
            <w:left w:w="0" w:type="dxa"/>
            <w:bottom w:w="0" w:type="dxa"/>
            <w:right w:w="0" w:type="dxa"/>
          </w:tblCellMar>
        </w:tblPrEx>
        <w:trPr>
          <w:trHeight w:val="448" w:hRule="atLeast"/>
        </w:trPr>
        <w:tc>
          <w:tcPr>
            <w:tcW w:w="4577" w:type="dxa"/>
          </w:tcPr>
          <w:p w14:paraId="5F69018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甲 方</w:t>
            </w:r>
          </w:p>
        </w:tc>
        <w:tc>
          <w:tcPr>
            <w:tcW w:w="4442" w:type="dxa"/>
          </w:tcPr>
          <w:p w14:paraId="579A2C2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乙 方</w:t>
            </w:r>
          </w:p>
        </w:tc>
      </w:tr>
      <w:tr w14:paraId="708D7B2A">
        <w:tblPrEx>
          <w:tblCellMar>
            <w:top w:w="0" w:type="dxa"/>
            <w:left w:w="0" w:type="dxa"/>
            <w:bottom w:w="0" w:type="dxa"/>
            <w:right w:w="0" w:type="dxa"/>
          </w:tblCellMar>
        </w:tblPrEx>
        <w:trPr>
          <w:trHeight w:val="448" w:hRule="atLeast"/>
        </w:trPr>
        <w:tc>
          <w:tcPr>
            <w:tcW w:w="4577" w:type="dxa"/>
          </w:tcPr>
          <w:p w14:paraId="0868D39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c>
          <w:tcPr>
            <w:tcW w:w="4442" w:type="dxa"/>
          </w:tcPr>
          <w:p w14:paraId="25341E9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r>
      <w:tr w14:paraId="2400A6B9">
        <w:tblPrEx>
          <w:tblCellMar>
            <w:top w:w="0" w:type="dxa"/>
            <w:left w:w="0" w:type="dxa"/>
            <w:bottom w:w="0" w:type="dxa"/>
            <w:right w:w="0" w:type="dxa"/>
          </w:tblCellMar>
        </w:tblPrEx>
        <w:trPr>
          <w:trHeight w:val="502" w:hRule="atLeast"/>
        </w:trPr>
        <w:tc>
          <w:tcPr>
            <w:tcW w:w="4577" w:type="dxa"/>
          </w:tcPr>
          <w:p w14:paraId="0762AA8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c>
          <w:tcPr>
            <w:tcW w:w="4442" w:type="dxa"/>
          </w:tcPr>
          <w:p w14:paraId="2C7C3BC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r>
      <w:tr w14:paraId="67455FB6">
        <w:tblPrEx>
          <w:tblCellMar>
            <w:top w:w="0" w:type="dxa"/>
            <w:left w:w="0" w:type="dxa"/>
            <w:bottom w:w="0" w:type="dxa"/>
            <w:right w:w="0" w:type="dxa"/>
          </w:tblCellMar>
        </w:tblPrEx>
        <w:trPr>
          <w:trHeight w:val="502" w:hRule="atLeast"/>
        </w:trPr>
        <w:tc>
          <w:tcPr>
            <w:tcW w:w="4577" w:type="dxa"/>
          </w:tcPr>
          <w:p w14:paraId="4C10CA7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c>
          <w:tcPr>
            <w:tcW w:w="4442" w:type="dxa"/>
          </w:tcPr>
          <w:p w14:paraId="51E5164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r>
      <w:tr w14:paraId="43E60359">
        <w:tblPrEx>
          <w:tblCellMar>
            <w:top w:w="0" w:type="dxa"/>
            <w:left w:w="0" w:type="dxa"/>
            <w:bottom w:w="0" w:type="dxa"/>
            <w:right w:w="0" w:type="dxa"/>
          </w:tblCellMar>
        </w:tblPrEx>
        <w:trPr>
          <w:trHeight w:val="503" w:hRule="atLeast"/>
        </w:trPr>
        <w:tc>
          <w:tcPr>
            <w:tcW w:w="4577" w:type="dxa"/>
          </w:tcPr>
          <w:p w14:paraId="14D1A00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c>
          <w:tcPr>
            <w:tcW w:w="4442" w:type="dxa"/>
          </w:tcPr>
          <w:p w14:paraId="32702AC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r>
      <w:tr w14:paraId="3B8F300B">
        <w:tblPrEx>
          <w:tblCellMar>
            <w:top w:w="0" w:type="dxa"/>
            <w:left w:w="0" w:type="dxa"/>
            <w:bottom w:w="0" w:type="dxa"/>
            <w:right w:w="0" w:type="dxa"/>
          </w:tblCellMar>
        </w:tblPrEx>
        <w:trPr>
          <w:trHeight w:val="503" w:hRule="atLeast"/>
        </w:trPr>
        <w:tc>
          <w:tcPr>
            <w:tcW w:w="4577" w:type="dxa"/>
          </w:tcPr>
          <w:p w14:paraId="3EF8A26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c>
          <w:tcPr>
            <w:tcW w:w="4442" w:type="dxa"/>
          </w:tcPr>
          <w:p w14:paraId="50F9970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r>
      <w:tr w14:paraId="1ABFC5AA">
        <w:tblPrEx>
          <w:tblCellMar>
            <w:top w:w="0" w:type="dxa"/>
            <w:left w:w="0" w:type="dxa"/>
            <w:bottom w:w="0" w:type="dxa"/>
            <w:right w:w="0" w:type="dxa"/>
          </w:tblCellMar>
        </w:tblPrEx>
        <w:trPr>
          <w:trHeight w:val="502" w:hRule="atLeast"/>
        </w:trPr>
        <w:tc>
          <w:tcPr>
            <w:tcW w:w="4577" w:type="dxa"/>
          </w:tcPr>
          <w:p w14:paraId="3757BBA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c>
          <w:tcPr>
            <w:tcW w:w="4442" w:type="dxa"/>
          </w:tcPr>
          <w:p w14:paraId="65726ED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r>
      <w:tr w14:paraId="1C2EDFD8">
        <w:tblPrEx>
          <w:tblCellMar>
            <w:top w:w="0" w:type="dxa"/>
            <w:left w:w="0" w:type="dxa"/>
            <w:bottom w:w="0" w:type="dxa"/>
            <w:right w:w="0" w:type="dxa"/>
          </w:tblCellMar>
        </w:tblPrEx>
        <w:trPr>
          <w:trHeight w:val="448" w:hRule="atLeast"/>
        </w:trPr>
        <w:tc>
          <w:tcPr>
            <w:tcW w:w="4577" w:type="dxa"/>
          </w:tcPr>
          <w:p w14:paraId="71757EA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c>
          <w:tcPr>
            <w:tcW w:w="4442" w:type="dxa"/>
          </w:tcPr>
          <w:p w14:paraId="252F02A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r>
      <w:tr w14:paraId="523AF02E">
        <w:tblPrEx>
          <w:tblCellMar>
            <w:top w:w="0" w:type="dxa"/>
            <w:left w:w="0" w:type="dxa"/>
            <w:bottom w:w="0" w:type="dxa"/>
            <w:right w:w="0" w:type="dxa"/>
          </w:tblCellMar>
        </w:tblPrEx>
        <w:trPr>
          <w:trHeight w:val="448" w:hRule="atLeast"/>
        </w:trPr>
        <w:tc>
          <w:tcPr>
            <w:tcW w:w="4577" w:type="dxa"/>
          </w:tcPr>
          <w:p w14:paraId="33B5E6B6">
            <w:pPr>
              <w:pStyle w:val="2"/>
              <w:keepNext w:val="0"/>
              <w:keepLines w:val="0"/>
              <w:pageBreakBefore w:val="0"/>
              <w:kinsoku/>
              <w:wordWrap/>
              <w:overflowPunct/>
              <w:topLinePunct w:val="0"/>
              <w:autoSpaceDE/>
              <w:autoSpaceDN/>
              <w:bidi w:val="0"/>
              <w:adjustRightInd/>
              <w:snapToGrid/>
              <w:spacing w:beforeLines="0" w:afterLines="0" w:line="560" w:lineRule="exact"/>
              <w:ind w:right="216"/>
              <w:jc w:val="left"/>
              <w:textAlignment w:val="auto"/>
              <w:rPr>
                <w:rFonts w:ascii="宋体" w:hAnsi="宋体" w:cs="宋体"/>
                <w:color w:val="auto"/>
                <w:sz w:val="24"/>
              </w:rPr>
            </w:pPr>
          </w:p>
        </w:tc>
        <w:tc>
          <w:tcPr>
            <w:tcW w:w="4442" w:type="dxa"/>
          </w:tcPr>
          <w:p w14:paraId="3899174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开户银行：</w:t>
            </w:r>
          </w:p>
        </w:tc>
      </w:tr>
      <w:tr w14:paraId="1714F6A3">
        <w:tblPrEx>
          <w:tblCellMar>
            <w:top w:w="0" w:type="dxa"/>
            <w:left w:w="0" w:type="dxa"/>
            <w:bottom w:w="0" w:type="dxa"/>
            <w:right w:w="0" w:type="dxa"/>
          </w:tblCellMar>
        </w:tblPrEx>
        <w:trPr>
          <w:trHeight w:val="448" w:hRule="atLeast"/>
        </w:trPr>
        <w:tc>
          <w:tcPr>
            <w:tcW w:w="4577" w:type="dxa"/>
          </w:tcPr>
          <w:p w14:paraId="43462AA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c>
          <w:tcPr>
            <w:tcW w:w="4442" w:type="dxa"/>
          </w:tcPr>
          <w:p w14:paraId="6A34EB7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r>
    </w:tbl>
    <w:p w14:paraId="26CAB66C">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
          <w:szCs w:val="24"/>
          <w:highlight w:val="none"/>
        </w:rPr>
      </w:pPr>
    </w:p>
    <w:p w14:paraId="5DB6D915">
      <w:pPr>
        <w:pStyle w:val="2"/>
        <w:rPr>
          <w:rFonts w:hint="eastAsia" w:ascii="宋体" w:hAnsi="宋体" w:eastAsia="宋体" w:cs="宋体"/>
          <w:b/>
          <w:szCs w:val="24"/>
          <w:highlight w:val="none"/>
        </w:rPr>
      </w:pPr>
    </w:p>
    <w:tbl>
      <w:tblPr>
        <w:tblStyle w:val="8"/>
        <w:tblpPr w:leftFromText="180" w:rightFromText="180" w:vertAnchor="text" w:horzAnchor="page" w:tblpX="1297" w:tblpY="370"/>
        <w:tblOverlap w:val="never"/>
        <w:tblW w:w="4562" w:type="dxa"/>
        <w:tblInd w:w="0" w:type="dxa"/>
        <w:tblLayout w:type="fixed"/>
        <w:tblCellMar>
          <w:top w:w="0" w:type="dxa"/>
          <w:left w:w="0" w:type="dxa"/>
          <w:bottom w:w="0" w:type="dxa"/>
          <w:right w:w="0" w:type="dxa"/>
        </w:tblCellMar>
      </w:tblPr>
      <w:tblGrid>
        <w:gridCol w:w="4562"/>
      </w:tblGrid>
      <w:tr w14:paraId="1C441F21">
        <w:tblPrEx>
          <w:tblCellMar>
            <w:top w:w="0" w:type="dxa"/>
            <w:left w:w="0" w:type="dxa"/>
            <w:bottom w:w="0" w:type="dxa"/>
            <w:right w:w="0" w:type="dxa"/>
          </w:tblCellMar>
        </w:tblPrEx>
        <w:trPr>
          <w:trHeight w:val="633" w:hRule="atLeast"/>
        </w:trPr>
        <w:tc>
          <w:tcPr>
            <w:tcW w:w="4562" w:type="dxa"/>
          </w:tcPr>
          <w:p w14:paraId="4FBBCED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lang w:val="en-US" w:eastAsia="zh-CN"/>
              </w:rPr>
              <w:t>丙</w:t>
            </w:r>
            <w:r>
              <w:rPr>
                <w:rFonts w:hint="eastAsia" w:ascii="宋体" w:hAnsi="宋体" w:cs="宋体"/>
                <w:color w:val="auto"/>
                <w:sz w:val="24"/>
              </w:rPr>
              <w:t xml:space="preserve"> 方</w:t>
            </w:r>
          </w:p>
        </w:tc>
      </w:tr>
      <w:tr w14:paraId="39B7F946">
        <w:tblPrEx>
          <w:tblCellMar>
            <w:top w:w="0" w:type="dxa"/>
            <w:left w:w="0" w:type="dxa"/>
            <w:bottom w:w="0" w:type="dxa"/>
            <w:right w:w="0" w:type="dxa"/>
          </w:tblCellMar>
        </w:tblPrEx>
        <w:trPr>
          <w:trHeight w:val="406" w:hRule="atLeast"/>
        </w:trPr>
        <w:tc>
          <w:tcPr>
            <w:tcW w:w="4562" w:type="dxa"/>
          </w:tcPr>
          <w:p w14:paraId="616B290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r>
      <w:tr w14:paraId="3AE40261">
        <w:tblPrEx>
          <w:tblCellMar>
            <w:top w:w="0" w:type="dxa"/>
            <w:left w:w="0" w:type="dxa"/>
            <w:bottom w:w="0" w:type="dxa"/>
            <w:right w:w="0" w:type="dxa"/>
          </w:tblCellMar>
        </w:tblPrEx>
        <w:trPr>
          <w:trHeight w:val="566" w:hRule="atLeast"/>
        </w:trPr>
        <w:tc>
          <w:tcPr>
            <w:tcW w:w="4562" w:type="dxa"/>
          </w:tcPr>
          <w:p w14:paraId="79A0A2C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r>
      <w:tr w14:paraId="74979E24">
        <w:tblPrEx>
          <w:tblCellMar>
            <w:top w:w="0" w:type="dxa"/>
            <w:left w:w="0" w:type="dxa"/>
            <w:bottom w:w="0" w:type="dxa"/>
            <w:right w:w="0" w:type="dxa"/>
          </w:tblCellMar>
        </w:tblPrEx>
        <w:trPr>
          <w:trHeight w:val="566" w:hRule="atLeast"/>
        </w:trPr>
        <w:tc>
          <w:tcPr>
            <w:tcW w:w="4562" w:type="dxa"/>
          </w:tcPr>
          <w:p w14:paraId="11A5993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r>
      <w:tr w14:paraId="57E2EA08">
        <w:tblPrEx>
          <w:tblCellMar>
            <w:top w:w="0" w:type="dxa"/>
            <w:left w:w="0" w:type="dxa"/>
            <w:bottom w:w="0" w:type="dxa"/>
            <w:right w:w="0" w:type="dxa"/>
          </w:tblCellMar>
        </w:tblPrEx>
        <w:trPr>
          <w:trHeight w:val="567" w:hRule="atLeast"/>
        </w:trPr>
        <w:tc>
          <w:tcPr>
            <w:tcW w:w="4562" w:type="dxa"/>
          </w:tcPr>
          <w:p w14:paraId="33F9C07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r>
      <w:tr w14:paraId="3DE2CBA3">
        <w:tblPrEx>
          <w:tblCellMar>
            <w:top w:w="0" w:type="dxa"/>
            <w:left w:w="0" w:type="dxa"/>
            <w:bottom w:w="0" w:type="dxa"/>
            <w:right w:w="0" w:type="dxa"/>
          </w:tblCellMar>
        </w:tblPrEx>
        <w:trPr>
          <w:trHeight w:val="567" w:hRule="atLeast"/>
        </w:trPr>
        <w:tc>
          <w:tcPr>
            <w:tcW w:w="4562" w:type="dxa"/>
          </w:tcPr>
          <w:p w14:paraId="03C0416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r>
      <w:tr w14:paraId="45784105">
        <w:tblPrEx>
          <w:tblCellMar>
            <w:top w:w="0" w:type="dxa"/>
            <w:left w:w="0" w:type="dxa"/>
            <w:bottom w:w="0" w:type="dxa"/>
            <w:right w:w="0" w:type="dxa"/>
          </w:tblCellMar>
        </w:tblPrEx>
        <w:trPr>
          <w:trHeight w:val="566" w:hRule="atLeast"/>
        </w:trPr>
        <w:tc>
          <w:tcPr>
            <w:tcW w:w="4562" w:type="dxa"/>
          </w:tcPr>
          <w:p w14:paraId="6732308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r>
      <w:tr w14:paraId="4097BE09">
        <w:tblPrEx>
          <w:tblCellMar>
            <w:top w:w="0" w:type="dxa"/>
            <w:left w:w="0" w:type="dxa"/>
            <w:bottom w:w="0" w:type="dxa"/>
            <w:right w:w="0" w:type="dxa"/>
          </w:tblCellMar>
        </w:tblPrEx>
        <w:trPr>
          <w:trHeight w:val="442" w:hRule="atLeast"/>
        </w:trPr>
        <w:tc>
          <w:tcPr>
            <w:tcW w:w="4562" w:type="dxa"/>
          </w:tcPr>
          <w:p w14:paraId="3FD98C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r>
      <w:tr w14:paraId="72BBEA2A">
        <w:tblPrEx>
          <w:tblCellMar>
            <w:top w:w="0" w:type="dxa"/>
            <w:left w:w="0" w:type="dxa"/>
            <w:bottom w:w="0" w:type="dxa"/>
            <w:right w:w="0" w:type="dxa"/>
          </w:tblCellMar>
        </w:tblPrEx>
        <w:trPr>
          <w:trHeight w:val="442" w:hRule="atLeast"/>
        </w:trPr>
        <w:tc>
          <w:tcPr>
            <w:tcW w:w="4562" w:type="dxa"/>
          </w:tcPr>
          <w:p w14:paraId="079F8CE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开户银行：</w:t>
            </w:r>
          </w:p>
        </w:tc>
      </w:tr>
      <w:tr w14:paraId="44197EB4">
        <w:tblPrEx>
          <w:tblCellMar>
            <w:top w:w="0" w:type="dxa"/>
            <w:left w:w="0" w:type="dxa"/>
            <w:bottom w:w="0" w:type="dxa"/>
            <w:right w:w="0" w:type="dxa"/>
          </w:tblCellMar>
        </w:tblPrEx>
        <w:trPr>
          <w:trHeight w:val="442" w:hRule="atLeast"/>
        </w:trPr>
        <w:tc>
          <w:tcPr>
            <w:tcW w:w="4562" w:type="dxa"/>
          </w:tcPr>
          <w:p w14:paraId="1E451F9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r>
    </w:tbl>
    <w:p w14:paraId="0CFA2B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9B742B"/>
    <w:rsid w:val="53F30B49"/>
    <w:rsid w:val="588B3511"/>
    <w:rsid w:val="7D266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beforeLines="0" w:afterLines="0"/>
    </w:pPr>
    <w:rPr>
      <w:rFonts w:hint="default"/>
      <w:color w:val="993300"/>
      <w:sz w:val="24"/>
      <w:szCs w:val="24"/>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Plain Text"/>
    <w:basedOn w:val="1"/>
    <w:qFormat/>
    <w:uiPriority w:val="0"/>
    <w:rPr>
      <w:rFonts w:hAnsi="Courier New"/>
      <w:kern w:val="2"/>
      <w:sz w:val="21"/>
    </w:rPr>
  </w:style>
  <w:style w:type="paragraph" w:styleId="7">
    <w:name w:val="Body Text 2"/>
    <w:basedOn w:val="1"/>
    <w:qFormat/>
    <w:uiPriority w:val="0"/>
    <w:pPr>
      <w:spacing w:after="120" w:line="480" w:lineRule="auto"/>
    </w:p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3679</Words>
  <Characters>3716</Characters>
  <Lines>0</Lines>
  <Paragraphs>0</Paragraphs>
  <TotalTime>4</TotalTime>
  <ScaleCrop>false</ScaleCrop>
  <LinksUpToDate>false</LinksUpToDate>
  <CharactersWithSpaces>3990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2025-07-16T00:12:00Z</dcterms:created>
  <dc:creator>Administrator</dc:creator>
  <cp:lastModifiedBy>斯yo叵菛</cp:lastModifiedBy>
  <dcterms:modified xsi:type="dcterms:W3CDTF">2026-07-14T02:30:14Z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eyJoZGlkIjoiZWNjYThlY2M5ZmFiNjJhMmQ4M2E5NmUyYjg0MmY4ZDYiLCJ1c2VySWQiOiIxOTAzMjc4ODAifQ==</vt:lpwstr>
  </property>
  <property fmtid="{D5CDD505-2E9C-101B-9397-08002B2CF9AE}" pid="4" name="ICV">
    <vt:lpwstr>D22CB6301CB24C27998C4F4EDC58DFB6_12</vt:lpwstr>
  </property>
</Properties>
</file>