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02A79F">
      <w:pPr>
        <w:jc w:val="center"/>
        <w:rPr>
          <w:rFonts w:hint="eastAsia"/>
          <w:b/>
          <w:bCs/>
        </w:rPr>
      </w:pPr>
      <w:bookmarkStart w:id="0" w:name="_GoBack"/>
      <w:r>
        <w:rPr>
          <w:rFonts w:hint="eastAsia"/>
          <w:b/>
          <w:bCs/>
        </w:rPr>
        <w:t>渭南市检验检测研究院设备更新初步设计方案编制项目</w:t>
      </w:r>
      <w:bookmarkEnd w:id="0"/>
    </w:p>
    <w:p w14:paraId="6B3808EC"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采购需求</w:t>
      </w:r>
    </w:p>
    <w:p w14:paraId="46A78F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  <w:r>
        <w:rPr>
          <w:rFonts w:hint="eastAsia" w:ascii="仿宋" w:hAnsi="仿宋" w:cs="仿宋"/>
          <w:b/>
          <w:bCs/>
          <w:sz w:val="22"/>
          <w:szCs w:val="22"/>
          <w:lang w:val="en-US" w:eastAsia="zh-CN"/>
        </w:rPr>
        <w:t>一、项目概况</w:t>
      </w:r>
    </w:p>
    <w:p w14:paraId="158EC4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2"/>
          <w:szCs w:val="22"/>
          <w:highlight w:val="none"/>
        </w:rPr>
      </w:pPr>
      <w:r>
        <w:rPr>
          <w:rFonts w:hint="eastAsia" w:ascii="仿宋" w:hAnsi="仿宋" w:cs="仿宋"/>
          <w:b/>
          <w:bCs/>
          <w:sz w:val="22"/>
          <w:szCs w:val="22"/>
          <w:lang w:val="en-US" w:eastAsia="zh-CN"/>
        </w:rPr>
        <w:t>1、</w:t>
      </w:r>
      <w:r>
        <w:rPr>
          <w:rFonts w:hint="eastAsia" w:ascii="仿宋" w:hAnsi="仿宋" w:eastAsia="仿宋" w:cs="仿宋"/>
          <w:b/>
          <w:bCs/>
          <w:color w:val="auto"/>
          <w:sz w:val="22"/>
          <w:szCs w:val="22"/>
          <w:highlight w:val="none"/>
        </w:rPr>
        <w:t>渭南市计量基准和社会公用计量标准检定设备更新项目</w:t>
      </w:r>
    </w:p>
    <w:p w14:paraId="294C5D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color w:val="auto"/>
          <w:sz w:val="22"/>
          <w:szCs w:val="22"/>
          <w:highlight w:val="none"/>
        </w:rPr>
      </w:pPr>
      <w:r>
        <w:rPr>
          <w:rFonts w:hint="eastAsia" w:ascii="仿宋" w:hAnsi="仿宋" w:eastAsia="仿宋" w:cs="仿宋"/>
          <w:color w:val="auto"/>
          <w:sz w:val="22"/>
          <w:szCs w:val="22"/>
          <w:highlight w:val="none"/>
        </w:rPr>
        <w:t>全面排查现有社会公用计量标准检定设备，梳理老旧、落后、超期服役及不符合技术规范的设备清单，结合区域计量需求，制定科学合理的设备更新选型方案，明确设备规格、型号、性能参数及数字化要求，确保选型贴合实际、合规达标。</w:t>
      </w:r>
    </w:p>
    <w:p w14:paraId="124CC2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default" w:ascii="仿宋" w:hAnsi="仿宋" w:eastAsia="仿宋" w:cs="仿宋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2"/>
          <w:szCs w:val="22"/>
          <w:highlight w:val="none"/>
          <w:lang w:val="en-US" w:eastAsia="zh-CN"/>
        </w:rPr>
        <w:t>完成社会公用计量标准检定设备更新，涵盖医用、民生、工业等重点领域，包括但不限于医用多参数监护仪检定装置、眼镜片顶焦度一级标准装置、压力表检定装置等关键设备，具体数量根据实际需求确定。通过设备更新，新增或提升社会公用计量检定能力</w:t>
      </w:r>
      <w:r>
        <w:rPr>
          <w:rFonts w:hint="eastAsia" w:ascii="仿宋" w:hAnsi="仿宋" w:cs="仿宋"/>
          <w:color w:val="auto"/>
          <w:sz w:val="22"/>
          <w:szCs w:val="22"/>
          <w:highlight w:val="none"/>
          <w:lang w:val="en-US" w:eastAsia="zh-CN"/>
        </w:rPr>
        <w:t>。计划淘汰已服役超10年且技术落后的24台（套）原有检测设备，对应购置24台（套）先进国产检测仪器设备，实现涵盖温度、力学、电学、医疗、流量、压力等专业计量参数的自动化高精度检定与校准功能。项目建成后，将形成覆盖多领域、满足技术规范要求的量值传递和溯源能力，有效提升计量技术能级和强制检定保障水平，为服务地方贸易结算、医疗卫生、安全防护及法制计量监管提供坚实技术支撑。</w:t>
      </w:r>
    </w:p>
    <w:p w14:paraId="232206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2"/>
          <w:szCs w:val="22"/>
          <w:highlight w:val="none"/>
          <w:lang w:val="en-US"/>
        </w:rPr>
      </w:pPr>
      <w:r>
        <w:rPr>
          <w:rFonts w:hint="eastAsia" w:ascii="仿宋" w:hAnsi="仿宋" w:cs="仿宋"/>
          <w:b/>
          <w:bCs/>
          <w:sz w:val="22"/>
          <w:szCs w:val="22"/>
          <w:lang w:val="en-US" w:eastAsia="zh-CN"/>
        </w:rPr>
        <w:t>2、</w:t>
      </w:r>
      <w:r>
        <w:rPr>
          <w:rFonts w:hint="eastAsia" w:ascii="仿宋" w:hAnsi="仿宋" w:eastAsia="仿宋" w:cs="仿宋"/>
          <w:b/>
          <w:bCs/>
          <w:color w:val="auto"/>
          <w:sz w:val="22"/>
          <w:szCs w:val="22"/>
          <w:highlight w:val="none"/>
          <w:lang w:val="en-US"/>
        </w:rPr>
        <w:t>渭南市食品检验检测设备更新项目</w:t>
      </w:r>
    </w:p>
    <w:p w14:paraId="26E81D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2"/>
          <w:szCs w:val="22"/>
          <w:highlight w:val="none"/>
          <w:lang w:val="en-US" w:eastAsia="zh-CN"/>
        </w:rPr>
        <w:t>立足渭南市食品产业发展实际和食品安全监管需求，以补齐检验检测设备短板、提升技术支撑能力为核心，通过系统性更新食品检验检测设备，优化实验室功能布局，完善检验检测技术体系，打造标准化、现代化、科学化的食品检验检测平台，全面提升全市食品检验检测的精准度、高效性和覆盖面，筑牢食品安全防线，支撑食品安全监管工作，服务食品产业高质量发展，切实保障人民群众“舌尖上的安全”，落实国家及陕西省关于食品检验检测能力提升的相关部署要求。</w:t>
      </w:r>
    </w:p>
    <w:p w14:paraId="2010C0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color w:val="auto"/>
          <w:sz w:val="22"/>
          <w:szCs w:val="22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2"/>
          <w:szCs w:val="22"/>
          <w:highlight w:val="none"/>
          <w:lang w:val="en-US" w:eastAsia="zh-CN"/>
        </w:rPr>
        <w:t>严格落实“四个最严”要求和新修订的《中华人民共和国农产品质量安全法》相关规定，通过对渭南市食品检验检测机构现有老旧、落后检验检测设备进行更新替换、补充完善，全面提升食品检验检测能力、效率和精准度，补齐检验检测短板，满足当前食品安全监管和检验检测工作的技术需求，规范检验检测流程，强化食品安全技术支撑体系建设，有效防控食品安全风险，保障人民群众“舌尖上的安全”，推动渭南市食品安全治理体系和治理能力现代化，助力区域食品产业高质量发展</w:t>
      </w:r>
      <w:r>
        <w:rPr>
          <w:rFonts w:hint="eastAsia" w:ascii="仿宋" w:hAnsi="仿宋" w:cs="仿宋"/>
          <w:color w:val="auto"/>
          <w:sz w:val="22"/>
          <w:szCs w:val="22"/>
          <w:highlight w:val="none"/>
          <w:lang w:val="en-US" w:eastAsia="zh-CN"/>
        </w:rPr>
        <w:t>。</w:t>
      </w:r>
      <w:r>
        <w:rPr>
          <w:rFonts w:hint="eastAsia" w:ascii="仿宋" w:hAnsi="仿宋" w:eastAsia="仿宋" w:cs="仿宋"/>
          <w:color w:val="auto"/>
          <w:sz w:val="22"/>
          <w:szCs w:val="22"/>
          <w:highlight w:val="none"/>
          <w:lang w:eastAsia="zh-CN"/>
        </w:rPr>
        <w:t>计划淘汰已服役超10年且技术落后的26台（套）原有检验设备，对应购置26台（套）高效液相色谱仪、气相色谱仪、离子色谱仪、原子荧光光谱仪、微波消解仪、α/β计数器、γ能谱测量仪等先进国产检测设备。将显著提升食品前处理、重金属、食品添加剂、防腐剂、放射性元素等检测能力，形成标准化、高精度食品检验检测体系，有效提升实验室检测速率、精准度与技术水平，优化检验流程、提高业务效率，强化食品安全与环境风险防控能力，兼具技术升级、提质增效的技术效益，节约检验成本的经济效益，以及守护群众饮食安全的社会效益，为辖区食品安全监管和民生保障提供坚实技术支撑。</w:t>
      </w:r>
    </w:p>
    <w:p w14:paraId="447BE6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textAlignment w:val="auto"/>
        <w:rPr>
          <w:rFonts w:hint="default" w:ascii="仿宋" w:hAnsi="仿宋" w:eastAsia="仿宋" w:cs="仿宋"/>
          <w:b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cs="仿宋"/>
          <w:b/>
          <w:bCs/>
          <w:color w:val="auto"/>
          <w:sz w:val="22"/>
          <w:szCs w:val="22"/>
          <w:highlight w:val="none"/>
          <w:lang w:val="en-US" w:eastAsia="zh-CN"/>
        </w:rPr>
        <w:t>3、</w:t>
      </w:r>
      <w:r>
        <w:rPr>
          <w:rFonts w:hint="eastAsia" w:ascii="仿宋" w:hAnsi="仿宋" w:eastAsia="仿宋" w:cs="仿宋"/>
          <w:b/>
          <w:bCs/>
          <w:color w:val="auto"/>
          <w:sz w:val="22"/>
          <w:szCs w:val="22"/>
          <w:highlight w:val="none"/>
          <w:lang w:val="en-US" w:eastAsia="zh-CN"/>
        </w:rPr>
        <w:t>渭南市药品检验检测设备更新项目</w:t>
      </w:r>
    </w:p>
    <w:p w14:paraId="0399821B">
      <w:pPr>
        <w:keepNext w:val="0"/>
        <w:keepLines w:val="0"/>
        <w:widowControl/>
        <w:suppressLineNumbers w:val="0"/>
        <w:spacing w:line="360" w:lineRule="auto"/>
        <w:ind w:firstLine="440" w:firstLineChars="200"/>
        <w:jc w:val="left"/>
      </w:pPr>
      <w:r>
        <w:rPr>
          <w:rFonts w:hint="eastAsia" w:ascii="仿宋" w:hAnsi="仿宋" w:eastAsia="仿宋" w:cs="仿宋"/>
          <w:color w:val="auto"/>
          <w:sz w:val="22"/>
          <w:szCs w:val="22"/>
          <w:highlight w:val="none"/>
          <w:lang w:val="en-US" w:eastAsia="zh-CN"/>
        </w:rPr>
        <w:t>紧扣 2025 年版《中华人民共和国药典》实施要求及国家大规模设备更新政策导向，立足渭南市药品检验检测工作实际，以“补齐设备短板、提升检验能力、规范检测流程、保障用药安全”为核心，通过系统性更新药品检验检测设备，全面提升渭南市药品检验检测的精准性、 高效性和规范性，推动药检工作与新版药典标准全面衔接，与医药产业高质量发展需求同频同步。围绕新版药典对药品检验的新要求，结合渭南市现有药检设备老化、性能不足等问题，聚焦核心检验场景，计划淘汰已服役超10年、技术落后且无法满足现行检验标准的老旧药品检验设备，对应购置先进国产检验检测设备28台（套），涵盖色谱分析、光谱分析、微生物检测及微量分析天平、崩解仪、微波消解仪等样品前处理设备。项目建成后，将显著提升药品有效成分、杂质、微生物等指标的检测精度和效率，形成全方位、高精度药品检验能力，有效提升药品检验技术水平和业务办理效率，增强药品质量风险防控能力，为药品质量监管提供坚实技术支撑，兼具技术升级、提质增效的技术效益，节约检验成本的经济效益，以及保障公众用药安全的社会效益。</w:t>
      </w:r>
    </w:p>
    <w:p w14:paraId="0DBA88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1"/>
        <w:rPr>
          <w:rFonts w:hint="eastAsia" w:ascii="仿宋" w:hAnsi="仿宋" w:eastAsia="仿宋" w:cs="仿宋"/>
          <w:b/>
          <w:bCs/>
          <w:sz w:val="22"/>
          <w:szCs w:val="22"/>
        </w:rPr>
      </w:pPr>
      <w:r>
        <w:rPr>
          <w:rFonts w:hint="eastAsia" w:ascii="仿宋" w:hAnsi="仿宋" w:cs="仿宋"/>
          <w:b/>
          <w:bCs/>
          <w:sz w:val="22"/>
          <w:szCs w:val="22"/>
          <w:lang w:val="en-US" w:eastAsia="zh-CN"/>
        </w:rPr>
        <w:t>二</w:t>
      </w:r>
      <w:r>
        <w:rPr>
          <w:rFonts w:hint="eastAsia" w:ascii="仿宋" w:hAnsi="仿宋" w:eastAsia="仿宋" w:cs="仿宋"/>
          <w:b/>
          <w:bCs/>
          <w:sz w:val="22"/>
          <w:szCs w:val="22"/>
        </w:rPr>
        <w:t>、服务要求</w:t>
      </w:r>
    </w:p>
    <w:p w14:paraId="3B9207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1、初步设计方案编制</w:t>
      </w:r>
    </w:p>
    <w:p w14:paraId="0DF858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按照项目可行性研究报告及建设单位实际需求，完成《渭南市计量基准和设备公用计量标准检定设备更新项目》《渭南市食品检验检测设备更新项目》《渭南市药品检验检测设备更新项目》</w:t>
      </w:r>
      <w:r>
        <w:rPr>
          <w:rFonts w:hint="eastAsia" w:ascii="仿宋" w:hAnsi="仿宋" w:cs="仿宋"/>
          <w:sz w:val="22"/>
          <w:szCs w:val="22"/>
          <w:lang w:val="en-US" w:eastAsia="zh-CN"/>
        </w:rPr>
        <w:t>3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个项目</w:t>
      </w:r>
      <w:r>
        <w:rPr>
          <w:rFonts w:hint="eastAsia" w:ascii="仿宋" w:hAnsi="仿宋" w:eastAsia="仿宋" w:cs="仿宋"/>
          <w:sz w:val="22"/>
          <w:szCs w:val="22"/>
        </w:rPr>
        <w:t>的初步设计方案编制工作，初步设计方案包括但不限于本方案概述、项目需求分析与产出方案、项目建设方案、项目运营方案、项目投融资与财务方案、项目影响效果分析、项目风险管控方案等内容。</w:t>
      </w:r>
    </w:p>
    <w:p w14:paraId="3BCB56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2、专家评审与修改</w:t>
      </w:r>
    </w:p>
    <w:p w14:paraId="4ED1BB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  <w:lang w:val="en-US" w:eastAsia="zh-Hans"/>
        </w:rPr>
        <w:t>组织</w:t>
      </w:r>
      <w:r>
        <w:rPr>
          <w:rFonts w:hint="eastAsia" w:ascii="仿宋" w:hAnsi="仿宋" w:eastAsia="仿宋" w:cs="仿宋"/>
          <w:sz w:val="22"/>
          <w:szCs w:val="22"/>
        </w:rPr>
        <w:t>召开专家评审会，对</w:t>
      </w:r>
      <w:r>
        <w:rPr>
          <w:rFonts w:hint="eastAsia" w:ascii="仿宋" w:hAnsi="仿宋" w:eastAsia="仿宋" w:cs="仿宋"/>
          <w:sz w:val="22"/>
          <w:szCs w:val="22"/>
          <w:highlight w:val="none"/>
          <w:lang w:eastAsia="zh-CN"/>
        </w:rPr>
        <w:t>项目初步设计</w:t>
      </w:r>
      <w:r>
        <w:rPr>
          <w:rFonts w:hint="eastAsia" w:ascii="仿宋" w:hAnsi="仿宋" w:eastAsia="仿宋" w:cs="仿宋"/>
          <w:sz w:val="22"/>
          <w:szCs w:val="22"/>
          <w:highlight w:val="none"/>
        </w:rPr>
        <w:t>初</w:t>
      </w:r>
      <w:r>
        <w:rPr>
          <w:rFonts w:hint="eastAsia" w:ascii="仿宋" w:hAnsi="仿宋" w:eastAsia="仿宋" w:cs="仿宋"/>
          <w:sz w:val="22"/>
          <w:szCs w:val="22"/>
        </w:rPr>
        <w:t>步设计方案初稿进行评审，结合专家意见进行修订形成终稿。</w:t>
      </w:r>
    </w:p>
    <w:p w14:paraId="3B1539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3、项目服务要求</w:t>
      </w:r>
    </w:p>
    <w:p w14:paraId="508156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（1）内部管理要求：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成交供应商</w:t>
      </w:r>
      <w:r>
        <w:rPr>
          <w:rFonts w:hint="eastAsia" w:ascii="仿宋" w:hAnsi="仿宋" w:eastAsia="仿宋" w:cs="仿宋"/>
          <w:sz w:val="22"/>
          <w:szCs w:val="22"/>
        </w:rPr>
        <w:t>应针对本项目制定详细规范的实施方案，实施方案应包括项目背景、建设必要性分析、工作内容、时间进度安排、人员投入等内容。</w:t>
      </w:r>
    </w:p>
    <w:p w14:paraId="4832890C">
      <w:pPr>
        <w:spacing w:line="360" w:lineRule="auto"/>
      </w:pPr>
      <w:r>
        <w:rPr>
          <w:rFonts w:hint="eastAsia" w:ascii="仿宋" w:hAnsi="仿宋" w:eastAsia="仿宋" w:cs="仿宋"/>
          <w:sz w:val="22"/>
          <w:szCs w:val="22"/>
        </w:rPr>
        <w:t>（2）人员要求：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成交供应商</w:t>
      </w:r>
      <w:r>
        <w:rPr>
          <w:rFonts w:hint="eastAsia" w:ascii="仿宋" w:hAnsi="仿宋" w:eastAsia="仿宋" w:cs="仿宋"/>
          <w:sz w:val="22"/>
          <w:szCs w:val="22"/>
        </w:rPr>
        <w:t>应根据项目范围与研究咨询工作需求，合理配置具有相关项目经验的管理人员与咨询顾问，项目人员应具有相关咨询项目经验。</w:t>
      </w:r>
    </w:p>
    <w:p w14:paraId="559F8D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（3）成果质量要求：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成交供应商</w:t>
      </w:r>
      <w:r>
        <w:rPr>
          <w:rFonts w:hint="eastAsia" w:ascii="仿宋" w:hAnsi="仿宋" w:eastAsia="仿宋" w:cs="仿宋"/>
          <w:sz w:val="22"/>
          <w:szCs w:val="22"/>
        </w:rPr>
        <w:t>应按时、保质保量完成工作。若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成交供应商</w:t>
      </w:r>
      <w:r>
        <w:rPr>
          <w:rFonts w:hint="eastAsia" w:ascii="仿宋" w:hAnsi="仿宋" w:eastAsia="仿宋" w:cs="仿宋"/>
          <w:sz w:val="22"/>
          <w:szCs w:val="22"/>
        </w:rPr>
        <w:t>未能按要求提交成果或者成果质量不佳，采购人可随时终止合同。造成经济损失的，采购人可追究其赔偿责任，若采购人已支付合同款，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成交供应商</w:t>
      </w:r>
      <w:r>
        <w:rPr>
          <w:rFonts w:hint="eastAsia" w:ascii="仿宋" w:hAnsi="仿宋" w:eastAsia="仿宋" w:cs="仿宋"/>
          <w:sz w:val="22"/>
          <w:szCs w:val="22"/>
        </w:rPr>
        <w:t>应足额退还。</w:t>
      </w:r>
    </w:p>
    <w:p w14:paraId="23C3ED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（4）成果交付要求：为确保项目完成质量，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成交供应商</w:t>
      </w:r>
      <w:r>
        <w:rPr>
          <w:rFonts w:hint="eastAsia" w:ascii="仿宋" w:hAnsi="仿宋" w:eastAsia="仿宋" w:cs="仿宋"/>
          <w:sz w:val="22"/>
          <w:szCs w:val="22"/>
        </w:rPr>
        <w:t>应通过专家评审方式对工作成果进行验收，评审费用由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成交供应商</w:t>
      </w:r>
      <w:r>
        <w:rPr>
          <w:rFonts w:hint="eastAsia" w:ascii="仿宋" w:hAnsi="仿宋" w:eastAsia="仿宋" w:cs="仿宋"/>
          <w:sz w:val="22"/>
          <w:szCs w:val="22"/>
        </w:rPr>
        <w:t>承担。</w:t>
      </w:r>
    </w:p>
    <w:p w14:paraId="4CAB73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（5）保密要求：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成交供应商</w:t>
      </w:r>
      <w:r>
        <w:rPr>
          <w:rFonts w:hint="eastAsia" w:ascii="仿宋" w:hAnsi="仿宋" w:eastAsia="仿宋" w:cs="仿宋"/>
          <w:sz w:val="22"/>
          <w:szCs w:val="22"/>
        </w:rPr>
        <w:t>必须对合作过程中所涉及的工作秘密、业务需求、协议、工作成果等内容和相关事项保密。</w:t>
      </w:r>
    </w:p>
    <w:p w14:paraId="190811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textAlignment w:val="auto"/>
        <w:outlineLvl w:val="1"/>
        <w:rPr>
          <w:rFonts w:hint="eastAsia" w:ascii="仿宋" w:hAnsi="仿宋" w:eastAsia="仿宋" w:cs="仿宋"/>
          <w:b/>
          <w:bCs/>
          <w:sz w:val="22"/>
          <w:szCs w:val="22"/>
        </w:rPr>
      </w:pPr>
      <w:r>
        <w:rPr>
          <w:rFonts w:hint="eastAsia" w:ascii="仿宋" w:hAnsi="仿宋" w:eastAsia="仿宋" w:cs="仿宋"/>
          <w:b/>
          <w:bCs/>
          <w:sz w:val="22"/>
          <w:szCs w:val="22"/>
        </w:rPr>
        <w:t>五、其他要求</w:t>
      </w:r>
    </w:p>
    <w:p w14:paraId="6E7E95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b w:val="0"/>
          <w:bCs w:val="0"/>
          <w:sz w:val="22"/>
          <w:szCs w:val="22"/>
        </w:rPr>
      </w:pPr>
      <w:r>
        <w:rPr>
          <w:rFonts w:hint="eastAsia" w:ascii="仿宋" w:hAnsi="仿宋" w:eastAsia="仿宋" w:cs="仿宋"/>
          <w:b w:val="0"/>
          <w:bCs w:val="0"/>
          <w:sz w:val="22"/>
          <w:szCs w:val="22"/>
        </w:rPr>
        <w:t>1、交付时间</w:t>
      </w:r>
      <w:r>
        <w:rPr>
          <w:rFonts w:hint="eastAsia" w:ascii="仿宋" w:hAnsi="仿宋" w:eastAsia="仿宋" w:cs="仿宋"/>
          <w:b w:val="0"/>
          <w:bCs w:val="0"/>
          <w:sz w:val="22"/>
          <w:szCs w:val="22"/>
          <w:highlight w:val="none"/>
        </w:rPr>
        <w:t>：合同签订后</w:t>
      </w:r>
      <w:r>
        <w:rPr>
          <w:rFonts w:hint="eastAsia" w:ascii="仿宋" w:hAnsi="仿宋" w:cs="仿宋"/>
          <w:b w:val="0"/>
          <w:bCs w:val="0"/>
          <w:sz w:val="22"/>
          <w:szCs w:val="22"/>
          <w:highlight w:val="none"/>
          <w:lang w:val="en-US" w:eastAsia="zh-CN"/>
        </w:rPr>
        <w:t>30个日历日</w:t>
      </w:r>
      <w:r>
        <w:rPr>
          <w:rFonts w:hint="eastAsia" w:ascii="仿宋" w:hAnsi="仿宋" w:eastAsia="仿宋" w:cs="仿宋"/>
          <w:b w:val="0"/>
          <w:bCs w:val="0"/>
          <w:sz w:val="22"/>
          <w:szCs w:val="22"/>
          <w:highlight w:val="none"/>
        </w:rPr>
        <w:t>内</w:t>
      </w:r>
      <w:r>
        <w:rPr>
          <w:rFonts w:hint="eastAsia" w:ascii="仿宋" w:hAnsi="仿宋" w:eastAsia="仿宋" w:cs="仿宋"/>
          <w:b w:val="0"/>
          <w:bCs w:val="0"/>
          <w:sz w:val="22"/>
          <w:szCs w:val="22"/>
        </w:rPr>
        <w:t>。</w:t>
      </w:r>
    </w:p>
    <w:p w14:paraId="3EDE65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b w:val="0"/>
          <w:bCs w:val="0"/>
          <w:sz w:val="22"/>
          <w:szCs w:val="22"/>
        </w:rPr>
      </w:pPr>
      <w:r>
        <w:rPr>
          <w:rFonts w:hint="eastAsia" w:ascii="仿宋" w:hAnsi="仿宋" w:eastAsia="仿宋" w:cs="仿宋"/>
          <w:b w:val="0"/>
          <w:bCs w:val="0"/>
          <w:sz w:val="22"/>
          <w:szCs w:val="22"/>
        </w:rPr>
        <w:t>2、交付地点：采购人指定地点。</w:t>
      </w:r>
    </w:p>
    <w:p w14:paraId="66675C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b w:val="0"/>
          <w:bCs w:val="0"/>
          <w:sz w:val="22"/>
          <w:szCs w:val="22"/>
        </w:rPr>
      </w:pPr>
      <w:r>
        <w:rPr>
          <w:rFonts w:hint="eastAsia" w:ascii="仿宋" w:hAnsi="仿宋" w:eastAsia="仿宋" w:cs="仿宋"/>
          <w:b w:val="0"/>
          <w:bCs w:val="0"/>
          <w:sz w:val="22"/>
          <w:szCs w:val="22"/>
        </w:rPr>
        <w:t>3、交付条件：按磋商文件、响应文件、合同要求及相关行业标准。</w:t>
      </w:r>
    </w:p>
    <w:p w14:paraId="204E33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2"/>
          <w:lang w:eastAsia="zh-CN"/>
        </w:rPr>
      </w:pPr>
      <w:r>
        <w:rPr>
          <w:rFonts w:hint="eastAsia" w:ascii="仿宋" w:hAnsi="仿宋" w:eastAsia="仿宋" w:cs="仿宋"/>
          <w:sz w:val="22"/>
          <w:szCs w:val="22"/>
        </w:rPr>
        <w:t>4、验收方式</w:t>
      </w:r>
      <w:r>
        <w:rPr>
          <w:rFonts w:hint="eastAsia" w:ascii="仿宋" w:hAnsi="仿宋" w:cs="仿宋"/>
          <w:sz w:val="22"/>
          <w:szCs w:val="22"/>
          <w:lang w:eastAsia="zh-CN"/>
        </w:rPr>
        <w:t>：</w:t>
      </w:r>
      <w:r>
        <w:rPr>
          <w:rFonts w:hint="eastAsia" w:ascii="仿宋" w:hAnsi="仿宋" w:eastAsia="仿宋" w:cs="仿宋"/>
          <w:color w:val="0D0D0D"/>
          <w:kern w:val="0"/>
          <w:sz w:val="22"/>
          <w:szCs w:val="22"/>
          <w:highlight w:val="none"/>
          <w:lang w:val="en-US" w:eastAsia="zh-CN"/>
        </w:rPr>
        <w:t>成交</w:t>
      </w:r>
      <w:r>
        <w:rPr>
          <w:rFonts w:hint="eastAsia" w:ascii="仿宋" w:hAnsi="仿宋" w:eastAsia="仿宋" w:cs="仿宋"/>
          <w:color w:val="0D0D0D"/>
          <w:kern w:val="0"/>
          <w:sz w:val="22"/>
          <w:szCs w:val="22"/>
          <w:highlight w:val="none"/>
        </w:rPr>
        <w:t>供应商按磋商文件、响应文件及合同要求的时间内提交采购人</w:t>
      </w:r>
      <w:r>
        <w:rPr>
          <w:rFonts w:hint="eastAsia" w:ascii="仿宋" w:hAnsi="仿宋" w:eastAsia="仿宋" w:cs="仿宋"/>
          <w:sz w:val="22"/>
          <w:szCs w:val="22"/>
          <w:highlight w:val="none"/>
          <w:lang w:eastAsia="zh-CN"/>
        </w:rPr>
        <w:t>项目初步设计</w:t>
      </w:r>
      <w:r>
        <w:rPr>
          <w:rFonts w:hint="eastAsia" w:ascii="仿宋" w:hAnsi="仿宋" w:eastAsia="仿宋" w:cs="仿宋"/>
          <w:color w:val="0D0D0D"/>
          <w:kern w:val="0"/>
          <w:sz w:val="22"/>
          <w:szCs w:val="22"/>
          <w:highlight w:val="none"/>
        </w:rPr>
        <w:t>相关材料。</w:t>
      </w:r>
    </w:p>
    <w:p w14:paraId="71614A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2"/>
          <w:highlight w:val="none"/>
        </w:rPr>
      </w:pPr>
      <w:r>
        <w:rPr>
          <w:rFonts w:hint="eastAsia" w:ascii="仿宋" w:hAnsi="仿宋" w:eastAsia="仿宋" w:cs="仿宋"/>
          <w:sz w:val="22"/>
          <w:szCs w:val="22"/>
          <w:highlight w:val="none"/>
        </w:rPr>
        <w:t>5、验收要求</w:t>
      </w:r>
    </w:p>
    <w:p w14:paraId="0C3FDF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2"/>
          <w:highlight w:val="none"/>
        </w:rPr>
      </w:pPr>
      <w:r>
        <w:rPr>
          <w:rFonts w:hint="eastAsia" w:ascii="仿宋" w:hAnsi="仿宋" w:eastAsia="仿宋" w:cs="仿宋"/>
          <w:sz w:val="22"/>
          <w:szCs w:val="22"/>
          <w:highlight w:val="none"/>
        </w:rPr>
        <w:t>在规定时限内提交完整规范的</w:t>
      </w:r>
      <w:r>
        <w:rPr>
          <w:rFonts w:hint="eastAsia" w:ascii="仿宋" w:hAnsi="仿宋" w:eastAsia="仿宋" w:cs="仿宋"/>
          <w:sz w:val="22"/>
          <w:szCs w:val="22"/>
          <w:highlight w:val="none"/>
          <w:lang w:eastAsia="zh-CN"/>
        </w:rPr>
        <w:t>项目</w:t>
      </w:r>
      <w:r>
        <w:rPr>
          <w:rFonts w:hint="eastAsia" w:ascii="仿宋" w:hAnsi="仿宋" w:eastAsia="仿宋" w:cs="仿宋"/>
          <w:sz w:val="22"/>
          <w:szCs w:val="22"/>
          <w:highlight w:val="none"/>
        </w:rPr>
        <w:t>初步设计符合以下要求：</w:t>
      </w:r>
    </w:p>
    <w:p w14:paraId="435BA6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2"/>
          <w:highlight w:val="none"/>
        </w:rPr>
      </w:pPr>
      <w:r>
        <w:rPr>
          <w:rFonts w:hint="eastAsia" w:ascii="仿宋" w:hAnsi="仿宋" w:eastAsia="仿宋" w:cs="仿宋"/>
          <w:sz w:val="22"/>
          <w:szCs w:val="22"/>
          <w:highlight w:val="none"/>
        </w:rPr>
        <w:t>（1）所形成的初步设计符合国家相关要求及</w:t>
      </w:r>
      <w:r>
        <w:rPr>
          <w:rFonts w:hint="eastAsia" w:ascii="仿宋" w:hAnsi="仿宋" w:cs="仿宋"/>
          <w:sz w:val="22"/>
          <w:szCs w:val="22"/>
          <w:highlight w:val="none"/>
          <w:lang w:val="en-US" w:eastAsia="zh-CN"/>
        </w:rPr>
        <w:t>项目</w:t>
      </w:r>
      <w:r>
        <w:rPr>
          <w:rFonts w:hint="eastAsia" w:ascii="仿宋" w:hAnsi="仿宋" w:eastAsia="仿宋" w:cs="仿宋"/>
          <w:sz w:val="22"/>
          <w:szCs w:val="22"/>
          <w:highlight w:val="none"/>
        </w:rPr>
        <w:t>实际建设需求，并加盖单位公章。</w:t>
      </w:r>
    </w:p>
    <w:p w14:paraId="28CC05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sz w:val="22"/>
          <w:szCs w:val="22"/>
          <w:highlight w:val="none"/>
        </w:rPr>
        <w:t>（2）所形成的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初步设计内容系统全面、内容充实、结构完整、数据正确，符合专家验收标准。</w:t>
      </w:r>
    </w:p>
    <w:p w14:paraId="087BCE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textAlignment w:val="auto"/>
        <w:outlineLvl w:val="1"/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>六、付款要求</w:t>
      </w:r>
    </w:p>
    <w:p w14:paraId="5D6E08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2"/>
          <w:lang w:val="en-US" w:eastAsia="zh-CN"/>
        </w:rPr>
      </w:pPr>
      <w:r>
        <w:rPr>
          <w:rFonts w:hint="eastAsia" w:ascii="仿宋" w:hAnsi="仿宋" w:cs="仿宋"/>
          <w:sz w:val="22"/>
          <w:szCs w:val="22"/>
          <w:lang w:val="en-US" w:eastAsia="zh-CN"/>
        </w:rPr>
        <w:t>项目完成验收合格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，支付全部合同总价款。</w:t>
      </w:r>
    </w:p>
    <w:p w14:paraId="6B358E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2"/>
          <w:lang w:val="en-US" w:eastAsia="zh-CN"/>
        </w:rPr>
      </w:pPr>
    </w:p>
    <w:p w14:paraId="7D37CAD8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145B36"/>
    <w:multiLevelType w:val="multilevel"/>
    <w:tmpl w:val="41145B36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212DAC"/>
    <w:rsid w:val="025832D3"/>
    <w:rsid w:val="030C1886"/>
    <w:rsid w:val="12C925E0"/>
    <w:rsid w:val="12ED5CBA"/>
    <w:rsid w:val="19AF58F2"/>
    <w:rsid w:val="31212DAC"/>
    <w:rsid w:val="36AB3F5A"/>
    <w:rsid w:val="49FD5698"/>
    <w:rsid w:val="4CAB1FBC"/>
    <w:rsid w:val="4EAC06FF"/>
    <w:rsid w:val="4F1C53DA"/>
    <w:rsid w:val="4FAA0449"/>
    <w:rsid w:val="4FB36FE7"/>
    <w:rsid w:val="500D4CCA"/>
    <w:rsid w:val="53AF1317"/>
    <w:rsid w:val="540B7773"/>
    <w:rsid w:val="547A32A8"/>
    <w:rsid w:val="571E5A7A"/>
    <w:rsid w:val="57564E5B"/>
    <w:rsid w:val="590A7D98"/>
    <w:rsid w:val="5AAE5ED1"/>
    <w:rsid w:val="5E7008FF"/>
    <w:rsid w:val="60A83EE4"/>
    <w:rsid w:val="63976673"/>
    <w:rsid w:val="692F585A"/>
    <w:rsid w:val="69324368"/>
    <w:rsid w:val="6F505734"/>
    <w:rsid w:val="70655856"/>
    <w:rsid w:val="7089584F"/>
    <w:rsid w:val="71123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" w:asciiTheme="minorAscii" w:hAnsiTheme="minorAscii" w:cstheme="minorBidi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360" w:lineRule="auto"/>
      <w:jc w:val="center"/>
      <w:outlineLvl w:val="0"/>
    </w:pPr>
    <w:rPr>
      <w:rFonts w:eastAsia="仿宋" w:asciiTheme="minorAscii" w:hAnsiTheme="minorAscii"/>
      <w:b/>
      <w:kern w:val="44"/>
      <w:sz w:val="36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0" w:after="20" w:line="360" w:lineRule="auto"/>
      <w:jc w:val="center"/>
      <w:outlineLvl w:val="1"/>
    </w:pPr>
    <w:rPr>
      <w:rFonts w:ascii="仿宋" w:hAnsi="仿宋" w:eastAsia="仿宋" w:cs="Times New Roman"/>
      <w:b/>
      <w:sz w:val="28"/>
      <w:szCs w:val="20"/>
    </w:rPr>
  </w:style>
  <w:style w:type="paragraph" w:styleId="4">
    <w:name w:val="heading 3"/>
    <w:basedOn w:val="1"/>
    <w:next w:val="1"/>
    <w:link w:val="1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100"/>
      <w:outlineLvl w:val="2"/>
    </w:pPr>
    <w:rPr>
      <w:rFonts w:ascii="Times New Roman" w:hAnsi="Times New Roman" w:eastAsia="仿宋" w:cs="Times New Roman"/>
      <w:b/>
      <w:sz w:val="30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adjustRightInd w:val="0"/>
      <w:spacing w:before="280" w:after="290" w:line="240" w:lineRule="auto"/>
      <w:textAlignment w:val="baseline"/>
      <w:outlineLvl w:val="3"/>
    </w:pPr>
    <w:rPr>
      <w:rFonts w:ascii="Arial" w:hAnsi="Arial" w:eastAsia="仿宋"/>
      <w:spacing w:val="20"/>
      <w:kern w:val="0"/>
      <w:sz w:val="20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240" w:lineRule="auto"/>
      <w:ind w:left="1008" w:hanging="1008"/>
      <w:outlineLvl w:val="4"/>
    </w:pPr>
    <w:rPr>
      <w:rFonts w:eastAsia="仿宋" w:asciiTheme="minorAscii" w:hAnsiTheme="minorAscii"/>
      <w:sz w:val="20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仿宋" w:cs="Times New Roman"/>
      <w:sz w:val="24"/>
      <w:szCs w:val="2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标题 3 Char"/>
    <w:link w:val="4"/>
    <w:qFormat/>
    <w:uiPriority w:val="0"/>
    <w:rPr>
      <w:rFonts w:ascii="Times New Roman" w:hAnsi="Times New Roman" w:eastAsia="仿宋" w:cs="Times New Roman"/>
      <w:b/>
      <w:sz w:val="3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2500</Words>
  <Characters>2514</Characters>
  <Lines>0</Lines>
  <Paragraphs>0</Paragraphs>
  <TotalTime>206</TotalTime>
  <ScaleCrop>false</ScaleCrop>
  <LinksUpToDate>false</LinksUpToDate>
  <CharactersWithSpaces>2517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2026-08-19T07:36:00Z</dcterms:created>
  <dc:creator>昭昭小管家-璐璐</dc:creator>
  <cp:lastModifiedBy>zl</cp:lastModifiedBy>
  <dcterms:modified xsi:type="dcterms:W3CDTF">2026-08-24T06:07:16Z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A67099B58B424534BFBF38F9ED4A38C2_13</vt:lpwstr>
  </property>
  <property fmtid="{D5CDD505-2E9C-101B-9397-08002B2CF9AE}" pid="4" name="KSOTemplateDocerSaveRecord">
    <vt:lpwstr>eyJoZGlkIjoiMGMxMzQ0YzMwNjc2NTc0OTgyMzA2YTcyMWUyNDIxNWMiLCJ1c2VySWQiOiIzMjQ5OTA2MzIifQ==</vt:lpwstr>
  </property>
</Properties>
</file>