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版本号：【KRDL】K3-260507020260602001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陕西省广播电视监测网数据传输服务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【KRDL】K3-2605070</w:t>
      </w:r>
      <w:r>
        <w:br/>
      </w:r>
      <w:r>
        <w:br/>
      </w:r>
      <w:r>
        <w:br/>
      </w:r>
    </w:p>
    <w:p>
      <w:pPr>
        <w:pStyle w:val="null3"/>
        <w:jc w:val="center"/>
        <w:outlineLvl w:val="2"/>
      </w:pPr>
      <w:r>
        <w:rPr>
          <w:rFonts w:ascii="仿宋_GB2312" w:hAnsi="仿宋_GB2312" w:cs="仿宋_GB2312" w:eastAsia="仿宋_GB2312"/>
          <w:sz w:val="28"/>
          <w:b/>
        </w:rPr>
        <w:t>陕西省广播电视监测中心</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陕西省广播电视监测中心</w:t>
      </w:r>
      <w:r>
        <w:rPr>
          <w:rFonts w:ascii="仿宋_GB2312" w:hAnsi="仿宋_GB2312" w:cs="仿宋_GB2312" w:eastAsia="仿宋_GB2312"/>
        </w:rPr>
        <w:t>委托，拟对</w:t>
      </w:r>
      <w:r>
        <w:rPr>
          <w:rFonts w:ascii="仿宋_GB2312" w:hAnsi="仿宋_GB2312" w:cs="仿宋_GB2312" w:eastAsia="仿宋_GB2312"/>
        </w:rPr>
        <w:t>陕西省广播电视监测网数据传输服务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【KRDL】K3-2605070</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陕西省广播电视监测网数据传输服务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本项目为“陕西省广播电视监测网数据传输服务”采购项目。旨在通过政府采购方式，向具备相应能力的服务提供商采购一套完整的、覆盖全省103个广播电视监测前端站点的数据传输及设备运行环境保障服务。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1、主体资格：供应商为向采购人提供相应服务的法人或其他组织</w:t>
      </w:r>
    </w:p>
    <w:p>
      <w:pPr>
        <w:pStyle w:val="null3"/>
      </w:pPr>
      <w:r>
        <w:rPr>
          <w:rFonts w:ascii="仿宋_GB2312" w:hAnsi="仿宋_GB2312" w:cs="仿宋_GB2312" w:eastAsia="仿宋_GB2312"/>
        </w:rPr>
        <w:t>2、信用资格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陕西省广播电视监测中心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陕西省西安市雁塔区长安南路 336 号省广电中心新编播大楼 23 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贺老师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029-87966167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邱斯思、张晨</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029-89563179、18991918505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采购包1：900,000.00元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说明：签订合同后10个工作日内，供应商向采购人缴纳成交总价的5%作为履约保证金（或履约保函），项目结束后（如期履约完成且不存在其他任何违约责任）无息退还。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确定成交供应商后3日内，由成交供应商参照国家计委颁发的《采购代理服务收费管理暂行办法》（计价格[2002]1980号）和国家发展和改革委员会办公厅颁发的《关于招标代理服务收费有关问题的通知》（发改办价格[2003] 857号）的有关规定标准下浮10%向采购代理机构一次付清代理服务费。 （注：代理服务费在缴纳过程中需备注xxxx项目+代理服务费。）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陕西省广播电视监测中心</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陕西省广播电视监测中心</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陕西省广播电视监测中心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依据本合同约定、服务指标要求及政府采购相关规定。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联系人：邱斯思、张晨</w:t>
      </w:r>
    </w:p>
    <w:p>
      <w:pPr>
        <w:pStyle w:val="null3"/>
      </w:pPr>
      <w:r>
        <w:rPr>
          <w:rFonts w:ascii="仿宋_GB2312" w:hAnsi="仿宋_GB2312" w:cs="仿宋_GB2312" w:eastAsia="仿宋_GB2312"/>
        </w:rPr>
        <w:t>联系电话：029-89563179</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本项目为“陕西省广播电视监测网数据传输服务”采购项目。旨在通过政府采购方式，向具备相应能力的服务提供商采购一套完整的、覆盖全省103个广播电视监测前端站点的数据传输及设备运行环境保障服务。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900,000.00</w:t>
      </w:r>
    </w:p>
    <w:p>
      <w:pPr>
        <w:pStyle w:val="null3"/>
      </w:pPr>
      <w:r>
        <w:rPr>
          <w:rFonts w:ascii="仿宋_GB2312" w:hAnsi="仿宋_GB2312" w:cs="仿宋_GB2312" w:eastAsia="仿宋_GB2312"/>
        </w:rPr>
        <w:t>采购包最高限价（元）: 900,000.00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服务</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900,000.00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软件和信息技术服务业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left"/>
            </w:pPr>
            <w:r>
              <w:rPr>
                <w:rFonts w:ascii="仿宋_GB2312" w:hAnsi="仿宋_GB2312" w:cs="仿宋_GB2312" w:eastAsia="仿宋_GB2312"/>
              </w:rPr>
              <w:t>一、项目概述</w:t>
            </w:r>
          </w:p>
          <w:p>
            <w:pPr>
              <w:pStyle w:val="null3"/>
            </w:pPr>
            <w:r>
              <w:rPr>
                <w:rFonts w:ascii="仿宋_GB2312" w:hAnsi="仿宋_GB2312" w:cs="仿宋_GB2312" w:eastAsia="仿宋_GB2312"/>
              </w:rPr>
              <w:t>本项目为“陕西省广播电视监测网数据传输服务”采购项目。旨在通过政府采购方式，向具备相应能力的服务提供商采购一套完整的、覆盖全省103个广播电视监测前端站点的数据传输及设备运行环境保障服务。</w:t>
            </w:r>
          </w:p>
          <w:p>
            <w:pPr>
              <w:pStyle w:val="null3"/>
            </w:pPr>
            <w:r>
              <w:rPr>
                <w:rFonts w:ascii="仿宋_GB2312" w:hAnsi="仿宋_GB2312" w:cs="仿宋_GB2312" w:eastAsia="仿宋_GB2312"/>
              </w:rPr>
              <w:t>核心目标：为全省广播电视监测网构建安全、稳定、高效、可靠的专用网络传输通道与标准化机房环境，确保广播电视监测设备7×24小时不间断稳定运行，为陕西省广播电视播出安全、内容安全及有效监测监管提供坚实的技术基础与业务保障。</w:t>
            </w:r>
          </w:p>
          <w:p>
            <w:pPr>
              <w:pStyle w:val="null3"/>
            </w:pPr>
            <w:r>
              <w:rPr>
                <w:rFonts w:ascii="仿宋_GB2312" w:hAnsi="仿宋_GB2312" w:cs="仿宋_GB2312" w:eastAsia="仿宋_GB2312"/>
              </w:rPr>
              <w:t>二、采购内容及数量</w:t>
            </w:r>
          </w:p>
          <w:p>
            <w:pPr>
              <w:pStyle w:val="null3"/>
            </w:pPr>
            <w:r>
              <w:rPr>
                <w:rFonts w:ascii="仿宋_GB2312" w:hAnsi="仿宋_GB2312" w:cs="仿宋_GB2312" w:eastAsia="仿宋_GB2312"/>
              </w:rPr>
              <w:t>陕西省广播电视监测网数据传输服务    1项</w:t>
            </w:r>
          </w:p>
          <w:p>
            <w:pPr>
              <w:pStyle w:val="null3"/>
            </w:pPr>
            <w:r>
              <w:rPr>
                <w:rFonts w:ascii="仿宋_GB2312" w:hAnsi="仿宋_GB2312" w:cs="仿宋_GB2312" w:eastAsia="仿宋_GB2312"/>
              </w:rPr>
              <w:t>说明： 本项目为陕西省广播电视监测网数据传输服务，服务范围为陕西省广播电视监测中心（以下简称“监测中心”）指定的全省103个广播电视监测前端站点（以下简称“监测站点”）（详细内容见六、服务站点明细）。</w:t>
            </w:r>
          </w:p>
          <w:p>
            <w:pPr>
              <w:pStyle w:val="null3"/>
            </w:pPr>
            <w:r>
              <w:rPr>
                <w:rFonts w:ascii="仿宋_GB2312" w:hAnsi="仿宋_GB2312" w:cs="仿宋_GB2312" w:eastAsia="仿宋_GB2312"/>
              </w:rPr>
              <w:t>三、服务期限</w:t>
            </w:r>
          </w:p>
          <w:p>
            <w:pPr>
              <w:pStyle w:val="null3"/>
            </w:pPr>
            <w:r>
              <w:rPr>
                <w:rFonts w:ascii="仿宋_GB2312" w:hAnsi="仿宋_GB2312" w:cs="仿宋_GB2312" w:eastAsia="仿宋_GB2312"/>
              </w:rPr>
              <w:t>服务期限为1年。具体起止时间以合同签订为准。</w:t>
            </w:r>
          </w:p>
          <w:p>
            <w:pPr>
              <w:pStyle w:val="null3"/>
            </w:pPr>
            <w:r>
              <w:rPr>
                <w:rFonts w:ascii="仿宋_GB2312" w:hAnsi="仿宋_GB2312" w:cs="仿宋_GB2312" w:eastAsia="仿宋_GB2312"/>
              </w:rPr>
              <w:t>四、技术参数及要求</w:t>
            </w:r>
          </w:p>
          <w:p>
            <w:pPr>
              <w:pStyle w:val="null3"/>
            </w:pPr>
            <w:r>
              <w:rPr>
                <w:rFonts w:ascii="仿宋_GB2312" w:hAnsi="仿宋_GB2312" w:cs="仿宋_GB2312" w:eastAsia="仿宋_GB2312"/>
              </w:rPr>
              <w:t>4.1 总体技术要求</w:t>
            </w:r>
          </w:p>
          <w:p>
            <w:pPr>
              <w:pStyle w:val="null3"/>
            </w:pPr>
            <w:r>
              <w:rPr>
                <w:rFonts w:ascii="仿宋_GB2312" w:hAnsi="仿宋_GB2312" w:cs="仿宋_GB2312" w:eastAsia="仿宋_GB2312"/>
              </w:rPr>
              <w:t>服务提供商须配合采购方完成全省103个广播电视监测站点设备的安装与调试，提供端到端的专用数据传输通道，并为每个站点的监测设备提供标准机柜空间及符合标准的机房环境。须确保监测系统运行的网络与设备环境全年稳定、可靠，配合监测中心完成设备巡检与日常维护工作。</w:t>
            </w:r>
          </w:p>
          <w:p>
            <w:pPr>
              <w:pStyle w:val="null3"/>
            </w:pPr>
            <w:r>
              <w:rPr>
                <w:rFonts w:ascii="仿宋_GB2312" w:hAnsi="仿宋_GB2312" w:cs="仿宋_GB2312" w:eastAsia="仿宋_GB2312"/>
              </w:rPr>
              <w:t>4.2 详细技术要求</w:t>
            </w:r>
          </w:p>
          <w:p>
            <w:pPr>
              <w:pStyle w:val="null3"/>
              <w:numPr>
                <w:ilvl w:val="2"/>
                <w:numId w:val="1"/>
              </w:numPr>
            </w:pPr>
            <w:r>
              <w:rPr>
                <w:rFonts w:ascii="仿宋_GB2312" w:hAnsi="仿宋_GB2312" w:cs="仿宋_GB2312" w:eastAsia="仿宋_GB2312"/>
              </w:rPr>
              <w:t>传输链路要求</w:t>
            </w:r>
          </w:p>
          <w:p>
            <w:pPr>
              <w:pStyle w:val="null3"/>
            </w:pPr>
            <w:r>
              <w:rPr>
                <w:rFonts w:ascii="仿宋_GB2312" w:hAnsi="仿宋_GB2312" w:cs="仿宋_GB2312" w:eastAsia="仿宋_GB2312"/>
              </w:rPr>
              <w:t>（1）专用通道：为全省103个监测站点提供端到端的专用数据传输通道，须采用（或等效于）MPLS VPN技术的专网进行数据传输，实现与公共互联网的逻辑隔离，确保数据传输的专用性与安全性。</w:t>
            </w:r>
          </w:p>
          <w:p>
            <w:pPr>
              <w:pStyle w:val="null3"/>
            </w:pPr>
            <w:r>
              <w:rPr>
                <w:rFonts w:ascii="仿宋_GB2312" w:hAnsi="仿宋_GB2312" w:cs="仿宋_GB2312" w:eastAsia="仿宋_GB2312"/>
              </w:rPr>
              <w:t>（2）网络架构：网络架构应清晰、稳定，满足监测数据从各前端站点高效汇聚至省级监测中心的需求。</w:t>
            </w:r>
          </w:p>
          <w:p>
            <w:pPr>
              <w:pStyle w:val="null3"/>
            </w:pPr>
            <w:r>
              <w:rPr>
                <w:rFonts w:ascii="仿宋_GB2312" w:hAnsi="仿宋_GB2312" w:cs="仿宋_GB2312" w:eastAsia="仿宋_GB2312"/>
              </w:rPr>
              <w:t>（3）带宽与性能：</w:t>
            </w:r>
          </w:p>
          <w:p>
            <w:pPr>
              <w:pStyle w:val="null3"/>
              <w:numPr>
                <w:ilvl w:val="0"/>
                <w:numId w:val="2"/>
              </w:numPr>
            </w:pPr>
            <w:r>
              <w:rPr>
                <w:rFonts w:ascii="仿宋_GB2312" w:hAnsi="仿宋_GB2312" w:cs="仿宋_GB2312" w:eastAsia="仿宋_GB2312"/>
              </w:rPr>
              <w:t>单个站点带宽：≥200Mbps。</w:t>
            </w:r>
          </w:p>
          <w:p>
            <w:pPr>
              <w:pStyle w:val="null3"/>
              <w:numPr>
                <w:ilvl w:val="0"/>
                <w:numId w:val="2"/>
              </w:numPr>
            </w:pPr>
            <w:r>
              <w:rPr>
                <w:rFonts w:ascii="仿宋_GB2312" w:hAnsi="仿宋_GB2312" w:cs="仿宋_GB2312" w:eastAsia="仿宋_GB2312"/>
              </w:rPr>
              <w:t>网络可用率：≥99%。</w:t>
            </w:r>
          </w:p>
          <w:p>
            <w:pPr>
              <w:pStyle w:val="null3"/>
              <w:numPr>
                <w:ilvl w:val="0"/>
                <w:numId w:val="2"/>
              </w:numPr>
            </w:pPr>
            <w:r>
              <w:rPr>
                <w:rFonts w:ascii="仿宋_GB2312" w:hAnsi="仿宋_GB2312" w:cs="仿宋_GB2312" w:eastAsia="仿宋_GB2312"/>
              </w:rPr>
              <w:t>丢包率：≤5‰。</w:t>
            </w:r>
          </w:p>
          <w:p>
            <w:pPr>
              <w:pStyle w:val="null3"/>
              <w:numPr>
                <w:ilvl w:val="0"/>
                <w:numId w:val="2"/>
              </w:numPr>
            </w:pPr>
            <w:r>
              <w:rPr>
                <w:rFonts w:ascii="仿宋_GB2312" w:hAnsi="仿宋_GB2312" w:cs="仿宋_GB2312" w:eastAsia="仿宋_GB2312"/>
              </w:rPr>
              <w:t>网络时延：≤30ms。</w:t>
            </w:r>
          </w:p>
          <w:p>
            <w:pPr>
              <w:pStyle w:val="null3"/>
            </w:pPr>
            <w:r>
              <w:rPr>
                <w:rFonts w:ascii="仿宋_GB2312" w:hAnsi="仿宋_GB2312" w:cs="仿宋_GB2312" w:eastAsia="仿宋_GB2312"/>
              </w:rPr>
              <w:t>（4）IP地址规划及接口：按照监测中心要求划分和管理IP地址，提供标准网络接口（如RJ45、光口等）及相应的通信技术支持。</w:t>
            </w:r>
          </w:p>
          <w:p>
            <w:pPr>
              <w:pStyle w:val="null3"/>
            </w:pPr>
            <w:r>
              <w:rPr>
                <w:rFonts w:ascii="仿宋_GB2312" w:hAnsi="仿宋_GB2312" w:cs="仿宋_GB2312" w:eastAsia="仿宋_GB2312"/>
              </w:rPr>
              <w:t>4.2.2 机房环境要求</w:t>
            </w:r>
          </w:p>
          <w:p>
            <w:pPr>
              <w:pStyle w:val="null3"/>
            </w:pPr>
            <w:r>
              <w:rPr>
                <w:rFonts w:ascii="仿宋_GB2312" w:hAnsi="仿宋_GB2312" w:cs="仿宋_GB2312" w:eastAsia="仿宋_GB2312"/>
              </w:rPr>
              <w:t>为全省102个广播电视监测前端站点（不含监测中心自有机房）提供标准化的设备托管机房环境，具体要求如下：</w:t>
            </w:r>
          </w:p>
          <w:p>
            <w:pPr>
              <w:pStyle w:val="null3"/>
            </w:pPr>
            <w:r>
              <w:rPr>
                <w:rFonts w:ascii="仿宋_GB2312" w:hAnsi="仿宋_GB2312" w:cs="仿宋_GB2312" w:eastAsia="仿宋_GB2312"/>
              </w:rPr>
              <w:t>（1）机柜空间：为每个监测站点提供满足需求的机柜空间（市级前端≥20U,县级前端≥10U），机柜须具备良好的通风散热设计，并配备充足的电源接口。</w:t>
            </w:r>
          </w:p>
          <w:p>
            <w:pPr>
              <w:pStyle w:val="null3"/>
            </w:pPr>
            <w:r>
              <w:rPr>
                <w:rFonts w:ascii="仿宋_GB2312" w:hAnsi="仿宋_GB2312" w:cs="仿宋_GB2312" w:eastAsia="仿宋_GB2312"/>
              </w:rPr>
              <w:t>（2）供电保障：提供不间断电源（UPS）保障。市电中断时，UPS须能保证监测设备持续运行，具体要求以现场设备实际功耗为准。</w:t>
            </w:r>
          </w:p>
          <w:p>
            <w:pPr>
              <w:pStyle w:val="null3"/>
            </w:pPr>
            <w:r>
              <w:rPr>
                <w:rFonts w:ascii="仿宋_GB2312" w:hAnsi="仿宋_GB2312" w:cs="仿宋_GB2312" w:eastAsia="仿宋_GB2312"/>
              </w:rPr>
              <w:t>（3）温湿度控制：配备精密空调，确保机房温度常年维持在 24℃±2℃，相对湿度维持在 40% - 60% 范围内。</w:t>
            </w:r>
          </w:p>
          <w:p>
            <w:pPr>
              <w:pStyle w:val="null3"/>
            </w:pPr>
            <w:r>
              <w:rPr>
                <w:rFonts w:ascii="仿宋_GB2312" w:hAnsi="仿宋_GB2312" w:cs="仿宋_GB2312" w:eastAsia="仿宋_GB2312"/>
              </w:rPr>
              <w:t>（4）物理安全：提供基础的物理安全与访问控制，防止未经授权的出入、设备破坏或数据窃取。</w:t>
            </w:r>
          </w:p>
          <w:p>
            <w:pPr>
              <w:pStyle w:val="null3"/>
            </w:pPr>
            <w:r>
              <w:rPr>
                <w:rFonts w:ascii="仿宋_GB2312" w:hAnsi="仿宋_GB2312" w:cs="仿宋_GB2312" w:eastAsia="仿宋_GB2312"/>
              </w:rPr>
              <w:t>4.2.3网络安全要求</w:t>
            </w:r>
          </w:p>
          <w:p>
            <w:pPr>
              <w:pStyle w:val="null3"/>
            </w:pPr>
            <w:r>
              <w:rPr>
                <w:rFonts w:ascii="仿宋_GB2312" w:hAnsi="仿宋_GB2312" w:cs="仿宋_GB2312" w:eastAsia="仿宋_GB2312"/>
              </w:rPr>
              <w:t>（1）数据传输安全：采取有效的技术措施，保障监测数据在传输过程中的保密性和完整性，防止数据泄露、篡改。</w:t>
            </w:r>
          </w:p>
          <w:p>
            <w:pPr>
              <w:pStyle w:val="null3"/>
            </w:pPr>
            <w:r>
              <w:rPr>
                <w:rFonts w:ascii="仿宋_GB2312" w:hAnsi="仿宋_GB2312" w:cs="仿宋_GB2312" w:eastAsia="仿宋_GB2312"/>
              </w:rPr>
              <w:t>（2）合规性：数据传输链路及安全措施须符合国家网络安全及保密相关法律、法规和标准的要求。</w:t>
            </w:r>
          </w:p>
          <w:p>
            <w:pPr>
              <w:pStyle w:val="null3"/>
              <w:numPr>
                <w:ilvl w:val="2"/>
                <w:numId w:val="1"/>
              </w:numPr>
            </w:pPr>
            <w:r>
              <w:rPr>
                <w:rFonts w:ascii="仿宋_GB2312" w:hAnsi="仿宋_GB2312" w:cs="仿宋_GB2312" w:eastAsia="仿宋_GB2312"/>
              </w:rPr>
              <w:t>运维服务要求</w:t>
            </w:r>
          </w:p>
          <w:p>
            <w:pPr>
              <w:pStyle w:val="null3"/>
            </w:pPr>
            <w:r>
              <w:rPr>
                <w:rFonts w:ascii="仿宋_GB2312" w:hAnsi="仿宋_GB2312" w:cs="仿宋_GB2312" w:eastAsia="仿宋_GB2312"/>
              </w:rPr>
              <w:t xml:space="preserve">（1）专人服务：须提供专人负责前端站点的运维保障服务，发现故障及时处理。 </w:t>
            </w:r>
          </w:p>
          <w:p>
            <w:pPr>
              <w:pStyle w:val="null3"/>
            </w:pPr>
            <w:r>
              <w:rPr>
                <w:rFonts w:ascii="仿宋_GB2312" w:hAnsi="仿宋_GB2312" w:cs="仿宋_GB2312" w:eastAsia="仿宋_GB2312"/>
              </w:rPr>
              <w:t>（2）故障响应：</w:t>
            </w:r>
          </w:p>
          <w:p>
            <w:pPr>
              <w:pStyle w:val="null3"/>
              <w:numPr>
                <w:ilvl w:val="0"/>
                <w:numId w:val="2"/>
              </w:numPr>
            </w:pPr>
            <w:r>
              <w:rPr>
                <w:rFonts w:ascii="仿宋_GB2312" w:hAnsi="仿宋_GB2312" w:cs="仿宋_GB2312" w:eastAsia="仿宋_GB2312"/>
              </w:rPr>
              <w:t>提供7×24小时服务响应。接到故障报修后，响应时间≤1小时，并在1小时内提出初步解决方案。</w:t>
            </w:r>
          </w:p>
          <w:p>
            <w:pPr>
              <w:pStyle w:val="null3"/>
              <w:numPr>
                <w:ilvl w:val="0"/>
                <w:numId w:val="2"/>
              </w:numPr>
            </w:pPr>
            <w:r>
              <w:rPr>
                <w:rFonts w:ascii="仿宋_GB2312" w:hAnsi="仿宋_GB2312" w:cs="仿宋_GB2312" w:eastAsia="仿宋_GB2312"/>
              </w:rPr>
              <w:t>普通故障修复时间：≤8小时。</w:t>
            </w:r>
          </w:p>
          <w:p>
            <w:pPr>
              <w:pStyle w:val="null3"/>
              <w:numPr>
                <w:ilvl w:val="0"/>
                <w:numId w:val="2"/>
              </w:numPr>
            </w:pPr>
            <w:r>
              <w:rPr>
                <w:rFonts w:ascii="仿宋_GB2312" w:hAnsi="仿宋_GB2312" w:cs="仿宋_GB2312" w:eastAsia="仿宋_GB2312"/>
              </w:rPr>
              <w:t>重大光缆故障修复时间：≤24小时（不可抗力因素除外）。</w:t>
            </w:r>
          </w:p>
          <w:p>
            <w:pPr>
              <w:pStyle w:val="null3"/>
            </w:pPr>
            <w:r>
              <w:rPr>
                <w:rFonts w:ascii="仿宋_GB2312" w:hAnsi="仿宋_GB2312" w:cs="仿宋_GB2312" w:eastAsia="仿宋_GB2312"/>
              </w:rPr>
              <w:t>（3）现场配合：服务提供商各站点负责人须积极配合监测中心进行远程或现场的设备巡检、故障排查与维护操作（包括但不限于服务器登录、设备重启、监测板卡热插拔、CA卡授权、设备除尘等）。</w:t>
            </w:r>
          </w:p>
          <w:p>
            <w:pPr>
              <w:pStyle w:val="null3"/>
            </w:pPr>
            <w:r>
              <w:rPr>
                <w:rFonts w:ascii="仿宋_GB2312" w:hAnsi="仿宋_GB2312" w:cs="仿宋_GB2312" w:eastAsia="仿宋_GB2312"/>
              </w:rPr>
              <w:t>（4）应急处理：针对停电、链路中断、机房搬迁等可能影响服务的情况，须提前制定应急预案。机房搬迁、网络割接等计划性中断，须提前72小时书面通知监测中心，经同意后方可实施，并确保业务影响最小化。协助完成监测中心设备的搬迁、天线架设、线缆铺设及业务恢复工作。</w:t>
            </w:r>
          </w:p>
          <w:p>
            <w:pPr>
              <w:pStyle w:val="null3"/>
            </w:pPr>
            <w:r>
              <w:rPr>
                <w:rFonts w:ascii="仿宋_GB2312" w:hAnsi="仿宋_GB2312" w:cs="仿宋_GB2312" w:eastAsia="仿宋_GB2312"/>
              </w:rPr>
              <w:t>备注：机房搬迁过程中，应严格按照实际环境对室外接收天线的防雷电措施进行设计和实施，包括但不限于安装避雷针、接地线以及采用防雷材料等，确保天线系统在恶劣天气条件下稳定运行，避免因雷电等自然因素导致设备损坏或信号中断。</w:t>
            </w:r>
          </w:p>
          <w:p>
            <w:pPr>
              <w:pStyle w:val="null3"/>
              <w:numPr>
                <w:ilvl w:val="2"/>
                <w:numId w:val="1"/>
              </w:numPr>
            </w:pPr>
            <w:r>
              <w:rPr>
                <w:rFonts w:ascii="仿宋_GB2312" w:hAnsi="仿宋_GB2312" w:cs="仿宋_GB2312" w:eastAsia="仿宋_GB2312"/>
              </w:rPr>
              <w:t>设备巡检与报告</w:t>
            </w:r>
          </w:p>
          <w:p>
            <w:pPr>
              <w:pStyle w:val="null3"/>
            </w:pPr>
            <w:r>
              <w:rPr>
                <w:rFonts w:ascii="仿宋_GB2312" w:hAnsi="仿宋_GB2312" w:cs="仿宋_GB2312" w:eastAsia="仿宋_GB2312"/>
              </w:rPr>
              <w:t>（1）定期巡检：每季度对全部102个站点（不含监测中心自有机房）至少进行一次全面的现场设备巡检及维护保养。巡检内容包括但不限于：网络运行状态深度分析、设备专业除尘、电源/散热/硬件连接等关键部件状态检查、故障隐患排查。</w:t>
            </w:r>
          </w:p>
          <w:p>
            <w:pPr>
              <w:pStyle w:val="null3"/>
            </w:pPr>
            <w:r>
              <w:rPr>
                <w:rFonts w:ascii="仿宋_GB2312" w:hAnsi="仿宋_GB2312" w:cs="仿宋_GB2312" w:eastAsia="仿宋_GB2312"/>
              </w:rPr>
              <w:t>（2）运维报告：</w:t>
            </w:r>
          </w:p>
          <w:p>
            <w:pPr>
              <w:pStyle w:val="null3"/>
            </w:pPr>
            <w:r>
              <w:rPr>
                <w:rFonts w:ascii="仿宋_GB2312" w:hAnsi="仿宋_GB2312" w:cs="仿宋_GB2312" w:eastAsia="仿宋_GB2312"/>
              </w:rPr>
              <w:t>季度巡检报告：每季度末提交，详细记录巡检发现、设备状态分析、和已实施的维护措施等。</w:t>
            </w:r>
          </w:p>
          <w:p>
            <w:pPr>
              <w:pStyle w:val="null3"/>
            </w:pPr>
            <w:r>
              <w:rPr>
                <w:rFonts w:ascii="仿宋_GB2312" w:hAnsi="仿宋_GB2312" w:cs="仿宋_GB2312" w:eastAsia="仿宋_GB2312"/>
              </w:rPr>
              <w:t>年度运维报告：服务期满前提交，全面总结全年运维工作、服务指标达成情况、存在问题分析及改进建议。</w:t>
            </w:r>
          </w:p>
          <w:p>
            <w:pPr>
              <w:pStyle w:val="null3"/>
              <w:numPr>
                <w:ilvl w:val="2"/>
                <w:numId w:val="1"/>
              </w:numPr>
            </w:pPr>
            <w:r>
              <w:rPr>
                <w:rFonts w:ascii="仿宋_GB2312" w:hAnsi="仿宋_GB2312" w:cs="仿宋_GB2312" w:eastAsia="仿宋_GB2312"/>
              </w:rPr>
              <w:t>监测业务支持</w:t>
            </w:r>
          </w:p>
          <w:p>
            <w:pPr>
              <w:pStyle w:val="null3"/>
            </w:pPr>
            <w:r>
              <w:rPr>
                <w:rFonts w:ascii="仿宋_GB2312" w:hAnsi="仿宋_GB2312" w:cs="仿宋_GB2312" w:eastAsia="仿宋_GB2312"/>
              </w:rPr>
              <w:t>（1）监测信号保障：</w:t>
            </w:r>
          </w:p>
          <w:p>
            <w:pPr>
              <w:pStyle w:val="null3"/>
              <w:numPr>
                <w:ilvl w:val="0"/>
                <w:numId w:val="2"/>
              </w:numPr>
            </w:pPr>
            <w:r>
              <w:rPr>
                <w:rFonts w:ascii="仿宋_GB2312" w:hAnsi="仿宋_GB2312" w:cs="仿宋_GB2312" w:eastAsia="仿宋_GB2312"/>
              </w:rPr>
              <w:t>提供符合广电行业标准的有线数字电视信号源，信号质量应满足监测设备对码流分析、PSI/SI信息解析等功能的精度要求。</w:t>
            </w:r>
          </w:p>
          <w:p>
            <w:pPr>
              <w:pStyle w:val="null3"/>
              <w:numPr>
                <w:ilvl w:val="0"/>
                <w:numId w:val="2"/>
              </w:numPr>
            </w:pPr>
            <w:r>
              <w:rPr>
                <w:rFonts w:ascii="仿宋_GB2312" w:hAnsi="仿宋_GB2312" w:cs="仿宋_GB2312" w:eastAsia="仿宋_GB2312"/>
              </w:rPr>
              <w:t>实现全频段（47MHz～862MHz）及所有授权频道数字电视信号的全覆盖，确保信号连续、稳定，无明显丢包或误码。</w:t>
            </w:r>
          </w:p>
          <w:p>
            <w:pPr>
              <w:pStyle w:val="null3"/>
            </w:pPr>
            <w:r>
              <w:rPr>
                <w:rFonts w:ascii="仿宋_GB2312" w:hAnsi="仿宋_GB2312" w:cs="仿宋_GB2312" w:eastAsia="仿宋_GB2312"/>
              </w:rPr>
              <w:t>（2）授权保障：</w:t>
            </w:r>
          </w:p>
          <w:p>
            <w:pPr>
              <w:pStyle w:val="null3"/>
              <w:numPr>
                <w:ilvl w:val="0"/>
                <w:numId w:val="2"/>
              </w:numPr>
            </w:pPr>
            <w:r>
              <w:rPr>
                <w:rFonts w:ascii="仿宋_GB2312" w:hAnsi="仿宋_GB2312" w:cs="仿宋_GB2312" w:eastAsia="仿宋_GB2312"/>
              </w:rPr>
              <w:t>保障有线数字电视CA卡授权及时、有效，授权信息应覆盖全部监测所需的频道和服务内容，避免因授权过期、缺失导致监测数据异常。</w:t>
            </w:r>
          </w:p>
          <w:p>
            <w:pPr>
              <w:pStyle w:val="null3"/>
              <w:numPr>
                <w:ilvl w:val="0"/>
                <w:numId w:val="2"/>
              </w:numPr>
            </w:pPr>
            <w:r>
              <w:rPr>
                <w:rFonts w:ascii="仿宋_GB2312" w:hAnsi="仿宋_GB2312" w:cs="仿宋_GB2312" w:eastAsia="仿宋_GB2312"/>
              </w:rPr>
              <w:t>提供授权专门负责人，在授权异常时须在约定时间内（≤2小时）完成授权恢复，最大限度降低对监测任务的影响。</w:t>
            </w:r>
          </w:p>
          <w:p>
            <w:pPr>
              <w:pStyle w:val="null3"/>
            </w:pPr>
            <w:r>
              <w:rPr>
                <w:rFonts w:ascii="仿宋_GB2312" w:hAnsi="仿宋_GB2312" w:cs="仿宋_GB2312" w:eastAsia="仿宋_GB2312"/>
              </w:rPr>
              <w:t>4.3 服务指标要求</w:t>
            </w:r>
          </w:p>
          <w:tbl>
            <w:tblPr>
              <w:tblBorders>
                <w:top w:val="single"/>
                <w:left w:val="single"/>
                <w:bottom w:val="single"/>
                <w:right w:val="single"/>
                <w:insideH w:val="single"/>
                <w:insideV w:val="single"/>
              </w:tblBorders>
            </w:tblPr>
            <w:tblGrid>
              <w:gridCol w:w="638"/>
              <w:gridCol w:w="638"/>
              <w:gridCol w:w="638"/>
              <w:gridCol w:w="638"/>
            </w:tblGrid>
            <w:tr>
              <w:tc>
                <w:tcPr>
                  <w:tcW w:type="dxa" w:w="638"/>
                </w:tcPr>
                <w:p>
                  <w:pPr>
                    <w:pStyle w:val="null3"/>
                  </w:pPr>
                  <w:r>
                    <w:rPr>
                      <w:rFonts w:ascii="仿宋_GB2312" w:hAnsi="仿宋_GB2312" w:cs="仿宋_GB2312" w:eastAsia="仿宋_GB2312"/>
                    </w:rPr>
                    <w:t>序号</w:t>
                  </w:r>
                </w:p>
              </w:tc>
              <w:tc>
                <w:tcPr>
                  <w:tcW w:type="dxa" w:w="638"/>
                </w:tcPr>
                <w:p>
                  <w:pPr>
                    <w:pStyle w:val="null3"/>
                  </w:pPr>
                  <w:r>
                    <w:rPr>
                      <w:rFonts w:ascii="仿宋_GB2312" w:hAnsi="仿宋_GB2312" w:cs="仿宋_GB2312" w:eastAsia="仿宋_GB2312"/>
                    </w:rPr>
                    <w:t>指标项</w:t>
                  </w:r>
                </w:p>
              </w:tc>
              <w:tc>
                <w:tcPr>
                  <w:tcW w:type="dxa" w:w="638"/>
                </w:tcPr>
                <w:p>
                  <w:pPr>
                    <w:pStyle w:val="null3"/>
                  </w:pPr>
                  <w:r>
                    <w:rPr>
                      <w:rFonts w:ascii="仿宋_GB2312" w:hAnsi="仿宋_GB2312" w:cs="仿宋_GB2312" w:eastAsia="仿宋_GB2312"/>
                    </w:rPr>
                    <w:t>技术参数/要求</w:t>
                  </w:r>
                </w:p>
              </w:tc>
              <w:tc>
                <w:tcPr>
                  <w:tcW w:type="dxa" w:w="638"/>
                </w:tcPr>
                <w:p>
                  <w:pPr>
                    <w:pStyle w:val="null3"/>
                  </w:pPr>
                  <w:r>
                    <w:rPr>
                      <w:rFonts w:ascii="仿宋_GB2312" w:hAnsi="仿宋_GB2312" w:cs="仿宋_GB2312" w:eastAsia="仿宋_GB2312"/>
                    </w:rPr>
                    <w:t>备 注</w:t>
                  </w:r>
                </w:p>
              </w:tc>
            </w:tr>
            <w:tr>
              <w:tc>
                <w:tcPr>
                  <w:tcW w:type="dxa" w:w="638"/>
                </w:tcPr>
                <w:p>
                  <w:pPr>
                    <w:pStyle w:val="null3"/>
                  </w:pPr>
                  <w:r>
                    <w:rPr>
                      <w:rFonts w:ascii="仿宋_GB2312" w:hAnsi="仿宋_GB2312" w:cs="仿宋_GB2312" w:eastAsia="仿宋_GB2312"/>
                    </w:rPr>
                    <w:t>1</w:t>
                  </w:r>
                </w:p>
              </w:tc>
              <w:tc>
                <w:tcPr>
                  <w:tcW w:type="dxa" w:w="638"/>
                </w:tcPr>
                <w:p>
                  <w:pPr>
                    <w:pStyle w:val="null3"/>
                  </w:pPr>
                  <w:r>
                    <w:rPr>
                      <w:rFonts w:ascii="仿宋_GB2312" w:hAnsi="仿宋_GB2312" w:cs="仿宋_GB2312" w:eastAsia="仿宋_GB2312"/>
                    </w:rPr>
                    <w:t>单站点带宽</w:t>
                  </w:r>
                </w:p>
              </w:tc>
              <w:tc>
                <w:tcPr>
                  <w:tcW w:type="dxa" w:w="638"/>
                </w:tcPr>
                <w:p>
                  <w:pPr>
                    <w:pStyle w:val="null3"/>
                  </w:pPr>
                  <w:r>
                    <w:rPr>
                      <w:rFonts w:ascii="仿宋_GB2312" w:hAnsi="仿宋_GB2312" w:cs="仿宋_GB2312" w:eastAsia="仿宋_GB2312"/>
                    </w:rPr>
                    <w:t>≥200Mbps</w:t>
                  </w:r>
                </w:p>
              </w:tc>
              <w:tc>
                <w:tcPr>
                  <w:tcW w:type="dxa" w:w="638"/>
                </w:tcPr>
                <w:p>
                  <w:pPr>
                    <w:pStyle w:val="null3"/>
                  </w:pPr>
                  <w:r>
                    <w:rPr>
                      <w:rFonts w:ascii="仿宋_GB2312" w:hAnsi="仿宋_GB2312" w:cs="仿宋_GB2312" w:eastAsia="仿宋_GB2312"/>
                    </w:rPr>
                    <w:t>端到端专用通道</w:t>
                  </w:r>
                </w:p>
              </w:tc>
            </w:tr>
            <w:tr>
              <w:tc>
                <w:tcPr>
                  <w:tcW w:type="dxa" w:w="638"/>
                </w:tcPr>
                <w:p>
                  <w:pPr>
                    <w:pStyle w:val="null3"/>
                  </w:pPr>
                  <w:r>
                    <w:rPr>
                      <w:rFonts w:ascii="仿宋_GB2312" w:hAnsi="仿宋_GB2312" w:cs="仿宋_GB2312" w:eastAsia="仿宋_GB2312"/>
                    </w:rPr>
                    <w:t>2</w:t>
                  </w:r>
                </w:p>
              </w:tc>
              <w:tc>
                <w:tcPr>
                  <w:tcW w:type="dxa" w:w="638"/>
                </w:tcPr>
                <w:p>
                  <w:pPr>
                    <w:pStyle w:val="null3"/>
                  </w:pPr>
                  <w:r>
                    <w:rPr>
                      <w:rFonts w:ascii="仿宋_GB2312" w:hAnsi="仿宋_GB2312" w:cs="仿宋_GB2312" w:eastAsia="仿宋_GB2312"/>
                    </w:rPr>
                    <w:t>网络可用率</w:t>
                  </w:r>
                </w:p>
              </w:tc>
              <w:tc>
                <w:tcPr>
                  <w:tcW w:type="dxa" w:w="638"/>
                </w:tcPr>
                <w:p>
                  <w:pPr>
                    <w:pStyle w:val="null3"/>
                  </w:pPr>
                  <w:r>
                    <w:rPr>
                      <w:rFonts w:ascii="仿宋_GB2312" w:hAnsi="仿宋_GB2312" w:cs="仿宋_GB2312" w:eastAsia="仿宋_GB2312"/>
                    </w:rPr>
                    <w:t>≥99%</w:t>
                  </w:r>
                </w:p>
              </w:tc>
              <w:tc>
                <w:tcPr>
                  <w:tcW w:type="dxa" w:w="638"/>
                </w:tcPr>
                <w:p>
                  <w:pPr>
                    <w:pStyle w:val="null3"/>
                  </w:pPr>
                  <w:r>
                    <w:rPr>
                      <w:rFonts w:ascii="仿宋_GB2312" w:hAnsi="仿宋_GB2312" w:cs="仿宋_GB2312" w:eastAsia="仿宋_GB2312"/>
                    </w:rPr>
                    <w:t>全年统计</w:t>
                  </w:r>
                </w:p>
              </w:tc>
            </w:tr>
            <w:tr>
              <w:tc>
                <w:tcPr>
                  <w:tcW w:type="dxa" w:w="638"/>
                </w:tcPr>
                <w:p>
                  <w:pPr>
                    <w:pStyle w:val="null3"/>
                  </w:pPr>
                  <w:r>
                    <w:rPr>
                      <w:rFonts w:ascii="仿宋_GB2312" w:hAnsi="仿宋_GB2312" w:cs="仿宋_GB2312" w:eastAsia="仿宋_GB2312"/>
                    </w:rPr>
                    <w:t>3</w:t>
                  </w:r>
                </w:p>
              </w:tc>
              <w:tc>
                <w:tcPr>
                  <w:tcW w:type="dxa" w:w="638"/>
                </w:tcPr>
                <w:p>
                  <w:pPr>
                    <w:pStyle w:val="null3"/>
                  </w:pPr>
                  <w:r>
                    <w:rPr>
                      <w:rFonts w:ascii="仿宋_GB2312" w:hAnsi="仿宋_GB2312" w:cs="仿宋_GB2312" w:eastAsia="仿宋_GB2312"/>
                    </w:rPr>
                    <w:t>丢包率</w:t>
                  </w:r>
                </w:p>
              </w:tc>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正常网络条件下</w:t>
                  </w:r>
                </w:p>
              </w:tc>
            </w:tr>
            <w:tr>
              <w:tc>
                <w:tcPr>
                  <w:tcW w:type="dxa" w:w="638"/>
                </w:tcPr>
                <w:p>
                  <w:pPr>
                    <w:pStyle w:val="null3"/>
                  </w:pPr>
                  <w:r>
                    <w:rPr>
                      <w:rFonts w:ascii="仿宋_GB2312" w:hAnsi="仿宋_GB2312" w:cs="仿宋_GB2312" w:eastAsia="仿宋_GB2312"/>
                    </w:rPr>
                    <w:t>4</w:t>
                  </w:r>
                </w:p>
              </w:tc>
              <w:tc>
                <w:tcPr>
                  <w:tcW w:type="dxa" w:w="638"/>
                </w:tcPr>
                <w:p>
                  <w:pPr>
                    <w:pStyle w:val="null3"/>
                  </w:pPr>
                  <w:r>
                    <w:rPr>
                      <w:rFonts w:ascii="仿宋_GB2312" w:hAnsi="仿宋_GB2312" w:cs="仿宋_GB2312" w:eastAsia="仿宋_GB2312"/>
                    </w:rPr>
                    <w:t>网络时延</w:t>
                  </w:r>
                </w:p>
              </w:tc>
              <w:tc>
                <w:tcPr>
                  <w:tcW w:type="dxa" w:w="638"/>
                </w:tcPr>
                <w:p>
                  <w:pPr>
                    <w:pStyle w:val="null3"/>
                  </w:pPr>
                  <w:r>
                    <w:rPr>
                      <w:rFonts w:ascii="仿宋_GB2312" w:hAnsi="仿宋_GB2312" w:cs="仿宋_GB2312" w:eastAsia="仿宋_GB2312"/>
                    </w:rPr>
                    <w:t>≤30ms</w:t>
                  </w:r>
                </w:p>
              </w:tc>
              <w:tc>
                <w:tcPr>
                  <w:tcW w:type="dxa" w:w="638"/>
                </w:tcPr>
                <w:p>
                  <w:pPr>
                    <w:pStyle w:val="null3"/>
                  </w:pPr>
                  <w:r>
                    <w:rPr>
                      <w:rFonts w:ascii="仿宋_GB2312" w:hAnsi="仿宋_GB2312" w:cs="仿宋_GB2312" w:eastAsia="仿宋_GB2312"/>
                    </w:rPr>
                    <w:t>各站点至监测中心</w:t>
                  </w:r>
                </w:p>
              </w:tc>
            </w:tr>
            <w:tr>
              <w:tc>
                <w:tcPr>
                  <w:tcW w:type="dxa" w:w="638"/>
                </w:tcPr>
                <w:p>
                  <w:pPr>
                    <w:pStyle w:val="null3"/>
                  </w:pPr>
                  <w:r>
                    <w:rPr>
                      <w:rFonts w:ascii="仿宋_GB2312" w:hAnsi="仿宋_GB2312" w:cs="仿宋_GB2312" w:eastAsia="仿宋_GB2312"/>
                    </w:rPr>
                    <w:t>5</w:t>
                  </w:r>
                </w:p>
              </w:tc>
              <w:tc>
                <w:tcPr>
                  <w:tcW w:type="dxa" w:w="638"/>
                </w:tcPr>
                <w:p>
                  <w:pPr>
                    <w:pStyle w:val="null3"/>
                  </w:pPr>
                  <w:r>
                    <w:rPr>
                      <w:rFonts w:ascii="仿宋_GB2312" w:hAnsi="仿宋_GB2312" w:cs="仿宋_GB2312" w:eastAsia="仿宋_GB2312"/>
                    </w:rPr>
                    <w:t>故障响应时间</w:t>
                  </w:r>
                </w:p>
              </w:tc>
              <w:tc>
                <w:tcPr>
                  <w:tcW w:type="dxa" w:w="638"/>
                </w:tcPr>
                <w:p>
                  <w:pPr>
                    <w:pStyle w:val="null3"/>
                  </w:pPr>
                  <w:r>
                    <w:rPr>
                      <w:rFonts w:ascii="仿宋_GB2312" w:hAnsi="仿宋_GB2312" w:cs="仿宋_GB2312" w:eastAsia="仿宋_GB2312"/>
                    </w:rPr>
                    <w:t>≤1小时</w:t>
                  </w:r>
                </w:p>
              </w:tc>
              <w:tc>
                <w:tcPr>
                  <w:tcW w:type="dxa" w:w="638"/>
                </w:tcPr>
                <w:p>
                  <w:pPr>
                    <w:pStyle w:val="null3"/>
                  </w:pPr>
                  <w:r>
                    <w:rPr>
                      <w:rFonts w:ascii="仿宋_GB2312" w:hAnsi="仿宋_GB2312" w:cs="仿宋_GB2312" w:eastAsia="仿宋_GB2312"/>
                    </w:rPr>
                    <w:t>7×24小时响应</w:t>
                  </w:r>
                </w:p>
              </w:tc>
            </w:tr>
            <w:tr>
              <w:tc>
                <w:tcPr>
                  <w:tcW w:type="dxa" w:w="638"/>
                </w:tcPr>
                <w:p>
                  <w:pPr>
                    <w:pStyle w:val="null3"/>
                  </w:pPr>
                  <w:r>
                    <w:rPr>
                      <w:rFonts w:ascii="仿宋_GB2312" w:hAnsi="仿宋_GB2312" w:cs="仿宋_GB2312" w:eastAsia="仿宋_GB2312"/>
                    </w:rPr>
                    <w:t>6</w:t>
                  </w:r>
                </w:p>
              </w:tc>
              <w:tc>
                <w:tcPr>
                  <w:tcW w:type="dxa" w:w="638"/>
                </w:tcPr>
                <w:p>
                  <w:pPr>
                    <w:pStyle w:val="null3"/>
                  </w:pPr>
                  <w:r>
                    <w:rPr>
                      <w:rFonts w:ascii="仿宋_GB2312" w:hAnsi="仿宋_GB2312" w:cs="仿宋_GB2312" w:eastAsia="仿宋_GB2312"/>
                    </w:rPr>
                    <w:t>普通故障修复时间</w:t>
                  </w:r>
                </w:p>
              </w:tc>
              <w:tc>
                <w:tcPr>
                  <w:tcW w:type="dxa" w:w="638"/>
                </w:tcPr>
                <w:p>
                  <w:pPr>
                    <w:pStyle w:val="null3"/>
                  </w:pPr>
                  <w:r>
                    <w:rPr>
                      <w:rFonts w:ascii="仿宋_GB2312" w:hAnsi="仿宋_GB2312" w:cs="仿宋_GB2312" w:eastAsia="仿宋_GB2312"/>
                    </w:rPr>
                    <w:t>≤8小时</w:t>
                  </w:r>
                </w:p>
              </w:tc>
              <w:tc>
                <w:tcPr>
                  <w:tcW w:type="dxa" w:w="638"/>
                </w:tcPr>
                <w:p>
                  <w:pPr>
                    <w:pStyle w:val="null3"/>
                  </w:pPr>
                  <w:r>
                    <w:rPr>
                      <w:rFonts w:ascii="仿宋_GB2312" w:hAnsi="仿宋_GB2312" w:cs="仿宋_GB2312" w:eastAsia="仿宋_GB2312"/>
                    </w:rPr>
                    <w:t>-</w:t>
                  </w:r>
                </w:p>
              </w:tc>
            </w:tr>
            <w:tr>
              <w:tc>
                <w:tcPr>
                  <w:tcW w:type="dxa" w:w="638"/>
                </w:tcPr>
                <w:p>
                  <w:pPr>
                    <w:pStyle w:val="null3"/>
                  </w:pPr>
                  <w:r>
                    <w:rPr>
                      <w:rFonts w:ascii="仿宋_GB2312" w:hAnsi="仿宋_GB2312" w:cs="仿宋_GB2312" w:eastAsia="仿宋_GB2312"/>
                    </w:rPr>
                    <w:t>7</w:t>
                  </w:r>
                </w:p>
              </w:tc>
              <w:tc>
                <w:tcPr>
                  <w:tcW w:type="dxa" w:w="638"/>
                </w:tcPr>
                <w:p>
                  <w:pPr>
                    <w:pStyle w:val="null3"/>
                  </w:pPr>
                  <w:r>
                    <w:rPr>
                      <w:rFonts w:ascii="仿宋_GB2312" w:hAnsi="仿宋_GB2312" w:cs="仿宋_GB2312" w:eastAsia="仿宋_GB2312"/>
                    </w:rPr>
                    <w:t>重大光缆故障修复</w:t>
                  </w:r>
                </w:p>
              </w:tc>
              <w:tc>
                <w:tcPr>
                  <w:tcW w:type="dxa" w:w="638"/>
                </w:tcPr>
                <w:p>
                  <w:pPr>
                    <w:pStyle w:val="null3"/>
                  </w:pPr>
                  <w:r>
                    <w:rPr>
                      <w:rFonts w:ascii="仿宋_GB2312" w:hAnsi="仿宋_GB2312" w:cs="仿宋_GB2312" w:eastAsia="仿宋_GB2312"/>
                    </w:rPr>
                    <w:t>≤24小时</w:t>
                  </w:r>
                </w:p>
              </w:tc>
              <w:tc>
                <w:tcPr>
                  <w:tcW w:type="dxa" w:w="638"/>
                </w:tcPr>
                <w:p>
                  <w:pPr>
                    <w:pStyle w:val="null3"/>
                  </w:pPr>
                  <w:r>
                    <w:rPr>
                      <w:rFonts w:ascii="仿宋_GB2312" w:hAnsi="仿宋_GB2312" w:cs="仿宋_GB2312" w:eastAsia="仿宋_GB2312"/>
                    </w:rPr>
                    <w:t>不可抗力除外</w:t>
                  </w:r>
                </w:p>
              </w:tc>
            </w:tr>
            <w:tr>
              <w:tc>
                <w:tcPr>
                  <w:tcW w:type="dxa" w:w="638"/>
                </w:tcPr>
                <w:p>
                  <w:pPr>
                    <w:pStyle w:val="null3"/>
                  </w:pPr>
                  <w:r>
                    <w:rPr>
                      <w:rFonts w:ascii="仿宋_GB2312" w:hAnsi="仿宋_GB2312" w:cs="仿宋_GB2312" w:eastAsia="仿宋_GB2312"/>
                    </w:rPr>
                    <w:t>8</w:t>
                  </w:r>
                </w:p>
              </w:tc>
              <w:tc>
                <w:tcPr>
                  <w:tcW w:type="dxa" w:w="638"/>
                </w:tcPr>
                <w:p>
                  <w:pPr>
                    <w:pStyle w:val="null3"/>
                  </w:pPr>
                  <w:r>
                    <w:rPr>
                      <w:rFonts w:ascii="仿宋_GB2312" w:hAnsi="仿宋_GB2312" w:cs="仿宋_GB2312" w:eastAsia="仿宋_GB2312"/>
                    </w:rPr>
                    <w:t>机房温度</w:t>
                  </w:r>
                </w:p>
              </w:tc>
              <w:tc>
                <w:tcPr>
                  <w:tcW w:type="dxa" w:w="638"/>
                </w:tcPr>
                <w:p>
                  <w:pPr>
                    <w:pStyle w:val="null3"/>
                  </w:pPr>
                  <w:r>
                    <w:rPr>
                      <w:rFonts w:ascii="仿宋_GB2312" w:hAnsi="仿宋_GB2312" w:cs="仿宋_GB2312" w:eastAsia="仿宋_GB2312"/>
                    </w:rPr>
                    <w:t>24℃ ± 2℃</w:t>
                  </w:r>
                </w:p>
              </w:tc>
              <w:tc>
                <w:tcPr>
                  <w:tcW w:type="dxa" w:w="638"/>
                </w:tcPr>
                <w:p>
                  <w:pPr>
                    <w:pStyle w:val="null3"/>
                  </w:pPr>
                  <w:r>
                    <w:rPr>
                      <w:rFonts w:ascii="仿宋_GB2312" w:hAnsi="仿宋_GB2312" w:cs="仿宋_GB2312" w:eastAsia="仿宋_GB2312"/>
                    </w:rPr>
                    <w:t>-</w:t>
                  </w:r>
                </w:p>
              </w:tc>
            </w:tr>
            <w:tr>
              <w:tc>
                <w:tcPr>
                  <w:tcW w:type="dxa" w:w="638"/>
                </w:tcPr>
                <w:p>
                  <w:pPr>
                    <w:pStyle w:val="null3"/>
                  </w:pPr>
                  <w:r>
                    <w:rPr>
                      <w:rFonts w:ascii="仿宋_GB2312" w:hAnsi="仿宋_GB2312" w:cs="仿宋_GB2312" w:eastAsia="仿宋_GB2312"/>
                    </w:rPr>
                    <w:t>9</w:t>
                  </w:r>
                </w:p>
              </w:tc>
              <w:tc>
                <w:tcPr>
                  <w:tcW w:type="dxa" w:w="638"/>
                </w:tcPr>
                <w:p>
                  <w:pPr>
                    <w:pStyle w:val="null3"/>
                  </w:pPr>
                  <w:r>
                    <w:rPr>
                      <w:rFonts w:ascii="仿宋_GB2312" w:hAnsi="仿宋_GB2312" w:cs="仿宋_GB2312" w:eastAsia="仿宋_GB2312"/>
                    </w:rPr>
                    <w:t>机房相对湿度</w:t>
                  </w:r>
                </w:p>
              </w:tc>
              <w:tc>
                <w:tcPr>
                  <w:tcW w:type="dxa" w:w="638"/>
                </w:tcPr>
                <w:p>
                  <w:pPr>
                    <w:pStyle w:val="null3"/>
                  </w:pPr>
                  <w:r>
                    <w:rPr>
                      <w:rFonts w:ascii="仿宋_GB2312" w:hAnsi="仿宋_GB2312" w:cs="仿宋_GB2312" w:eastAsia="仿宋_GB2312"/>
                    </w:rPr>
                    <w:t>40% - 60%</w:t>
                  </w:r>
                </w:p>
              </w:tc>
              <w:tc>
                <w:tcPr>
                  <w:tcW w:type="dxa" w:w="638"/>
                </w:tcPr>
                <w:p>
                  <w:pPr>
                    <w:pStyle w:val="null3"/>
                  </w:pPr>
                  <w:r>
                    <w:rPr>
                      <w:rFonts w:ascii="仿宋_GB2312" w:hAnsi="仿宋_GB2312" w:cs="仿宋_GB2312" w:eastAsia="仿宋_GB2312"/>
                    </w:rPr>
                    <w:t>-</w:t>
                  </w:r>
                </w:p>
              </w:tc>
            </w:tr>
          </w:tbl>
          <w:p>
            <w:pPr>
              <w:pStyle w:val="null3"/>
            </w:pPr>
            <w:r>
              <w:rPr>
                <w:rFonts w:ascii="仿宋_GB2312" w:hAnsi="仿宋_GB2312" w:cs="仿宋_GB2312" w:eastAsia="仿宋_GB2312"/>
              </w:rPr>
              <w:t>五、服务交付与验收</w:t>
            </w:r>
          </w:p>
          <w:p>
            <w:pPr>
              <w:pStyle w:val="null3"/>
            </w:pPr>
            <w:r>
              <w:rPr>
                <w:rFonts w:ascii="仿宋_GB2312" w:hAnsi="仿宋_GB2312" w:cs="仿宋_GB2312" w:eastAsia="仿宋_GB2312"/>
              </w:rPr>
              <w:t>5.1服务交付：服务提供商须在合同签订后完成所有站点的合规性检查与技术对接，确保服务按时全面开通。</w:t>
            </w:r>
          </w:p>
          <w:p>
            <w:pPr>
              <w:pStyle w:val="null3"/>
            </w:pPr>
            <w:r>
              <w:rPr>
                <w:rFonts w:ascii="仿宋_GB2312" w:hAnsi="仿宋_GB2312" w:cs="仿宋_GB2312" w:eastAsia="仿宋_GB2312"/>
              </w:rPr>
              <w:t>5.2过程管理：服务提供商应按要求提供季度/年度运维报告。</w:t>
            </w:r>
          </w:p>
          <w:p>
            <w:pPr>
              <w:pStyle w:val="null3"/>
            </w:pPr>
            <w:r>
              <w:rPr>
                <w:rFonts w:ascii="仿宋_GB2312" w:hAnsi="仿宋_GB2312" w:cs="仿宋_GB2312" w:eastAsia="仿宋_GB2312"/>
              </w:rPr>
              <w:t>5.3项目验收：服务期满，服务提供商提交年度运维报告及相关证明材料。监测中心将依据本合同约定、服务指标要求及政府采购相关规定，组织对全年服务的履约情况进行最终验收。</w:t>
            </w:r>
          </w:p>
          <w:p>
            <w:pPr>
              <w:pStyle w:val="null3"/>
            </w:pPr>
            <w:r>
              <w:rPr>
                <w:rFonts w:ascii="仿宋_GB2312" w:hAnsi="仿宋_GB2312" w:cs="仿宋_GB2312" w:eastAsia="仿宋_GB2312"/>
              </w:rPr>
              <w:t>六、服务站点明细</w:t>
            </w:r>
          </w:p>
          <w:p>
            <w:pPr>
              <w:pStyle w:val="null3"/>
            </w:pPr>
            <w:r>
              <w:rPr>
                <w:rFonts w:ascii="仿宋_GB2312" w:hAnsi="仿宋_GB2312" w:cs="仿宋_GB2312" w:eastAsia="仿宋_GB2312"/>
              </w:rPr>
              <w:t>本项目覆盖陕西省10个市（区）及下辖县（区）共计103个广播电视监测前端站点，详细名单如下：</w:t>
            </w:r>
          </w:p>
          <w:tbl>
            <w:tblPr>
              <w:tblBorders>
                <w:top w:val="single"/>
                <w:left w:val="single"/>
                <w:bottom w:val="single"/>
                <w:right w:val="single"/>
                <w:insideH w:val="single"/>
                <w:insideV w:val="single"/>
              </w:tblBorders>
            </w:tblPr>
            <w:tblGrid>
              <w:gridCol w:w="1276"/>
              <w:gridCol w:w="1276"/>
            </w:tblGrid>
            <w:tr>
              <w:tc>
                <w:tcPr>
                  <w:tcW w:type="dxa" w:w="1276"/>
                </w:tcPr>
                <w:p>
                  <w:pPr>
                    <w:pStyle w:val="null3"/>
                  </w:pPr>
                  <w:r>
                    <w:rPr>
                      <w:rFonts w:ascii="仿宋_GB2312" w:hAnsi="仿宋_GB2312" w:cs="仿宋_GB2312" w:eastAsia="仿宋_GB2312"/>
                    </w:rPr>
                    <w:t>区域</w:t>
                  </w:r>
                </w:p>
              </w:tc>
              <w:tc>
                <w:tcPr>
                  <w:tcW w:type="dxa" w:w="1276"/>
                </w:tcPr>
                <w:p>
                  <w:pPr>
                    <w:pStyle w:val="null3"/>
                  </w:pPr>
                  <w:r>
                    <w:rPr>
                      <w:rFonts w:ascii="仿宋_GB2312" w:hAnsi="仿宋_GB2312" w:cs="仿宋_GB2312" w:eastAsia="仿宋_GB2312"/>
                    </w:rPr>
                    <w:t>站点明细</w:t>
                  </w:r>
                </w:p>
              </w:tc>
            </w:tr>
            <w:tr>
              <w:tc>
                <w:tcPr>
                  <w:tcW w:type="dxa" w:w="1276"/>
                </w:tcPr>
                <w:p>
                  <w:pPr>
                    <w:pStyle w:val="null3"/>
                  </w:pPr>
                  <w:r>
                    <w:rPr>
                      <w:rFonts w:ascii="仿宋_GB2312" w:hAnsi="仿宋_GB2312" w:cs="仿宋_GB2312" w:eastAsia="仿宋_GB2312"/>
                    </w:rPr>
                    <w:t>西安（11个）</w:t>
                  </w:r>
                </w:p>
              </w:tc>
              <w:tc>
                <w:tcPr>
                  <w:tcW w:type="dxa" w:w="1276"/>
                </w:tcPr>
                <w:p>
                  <w:pPr>
                    <w:pStyle w:val="null3"/>
                  </w:pPr>
                  <w:r>
                    <w:rPr>
                      <w:rFonts w:ascii="仿宋_GB2312" w:hAnsi="仿宋_GB2312" w:cs="仿宋_GB2312" w:eastAsia="仿宋_GB2312"/>
                    </w:rPr>
                    <w:t>监测中心、西安建西街、西安北、西安东、西安西、临潼、</w:t>
                  </w:r>
                </w:p>
                <w:p>
                  <w:pPr>
                    <w:pStyle w:val="null3"/>
                  </w:pPr>
                  <w:r>
                    <w:rPr>
                      <w:rFonts w:ascii="仿宋_GB2312" w:hAnsi="仿宋_GB2312" w:cs="仿宋_GB2312" w:eastAsia="仿宋_GB2312"/>
                    </w:rPr>
                    <w:t>蓝田、周至、户县、高陵、长安</w:t>
                  </w:r>
                </w:p>
              </w:tc>
            </w:tr>
            <w:tr>
              <w:tc>
                <w:tcPr>
                  <w:tcW w:type="dxa" w:w="1276"/>
                </w:tcPr>
                <w:p>
                  <w:pPr>
                    <w:pStyle w:val="null3"/>
                  </w:pPr>
                  <w:r>
                    <w:rPr>
                      <w:rFonts w:ascii="仿宋_GB2312" w:hAnsi="仿宋_GB2312" w:cs="仿宋_GB2312" w:eastAsia="仿宋_GB2312"/>
                    </w:rPr>
                    <w:t>宝鸡（12个）</w:t>
                  </w:r>
                </w:p>
              </w:tc>
              <w:tc>
                <w:tcPr>
                  <w:tcW w:type="dxa" w:w="1276"/>
                </w:tcPr>
                <w:p>
                  <w:pPr>
                    <w:pStyle w:val="null3"/>
                  </w:pPr>
                  <w:r>
                    <w:rPr>
                      <w:rFonts w:ascii="仿宋_GB2312" w:hAnsi="仿宋_GB2312" w:cs="仿宋_GB2312" w:eastAsia="仿宋_GB2312"/>
                    </w:rPr>
                    <w:t>宝鸡、岐山、眉县、陇县、凤县、凤翔、扶风、麟游、太白、</w:t>
                  </w:r>
                </w:p>
                <w:p>
                  <w:pPr>
                    <w:pStyle w:val="null3"/>
                  </w:pPr>
                  <w:r>
                    <w:rPr>
                      <w:rFonts w:ascii="仿宋_GB2312" w:hAnsi="仿宋_GB2312" w:cs="仿宋_GB2312" w:eastAsia="仿宋_GB2312"/>
                    </w:rPr>
                    <w:t>陈仓、千阳、杨凌</w:t>
                  </w:r>
                </w:p>
              </w:tc>
            </w:tr>
            <w:tr>
              <w:tc>
                <w:tcPr>
                  <w:tcW w:type="dxa" w:w="1276"/>
                </w:tcPr>
                <w:p>
                  <w:pPr>
                    <w:pStyle w:val="null3"/>
                  </w:pPr>
                  <w:r>
                    <w:rPr>
                      <w:rFonts w:ascii="仿宋_GB2312" w:hAnsi="仿宋_GB2312" w:cs="仿宋_GB2312" w:eastAsia="仿宋_GB2312"/>
                    </w:rPr>
                    <w:t>咸阳（12个）</w:t>
                  </w:r>
                </w:p>
              </w:tc>
              <w:tc>
                <w:tcPr>
                  <w:tcW w:type="dxa" w:w="1276"/>
                </w:tcPr>
                <w:p>
                  <w:pPr>
                    <w:pStyle w:val="null3"/>
                  </w:pPr>
                  <w:r>
                    <w:rPr>
                      <w:rFonts w:ascii="仿宋_GB2312" w:hAnsi="仿宋_GB2312" w:cs="仿宋_GB2312" w:eastAsia="仿宋_GB2312"/>
                    </w:rPr>
                    <w:t>咸阳、三原、泾阳、乾县、礼泉、永寿、彬县、旬邑、淳化、</w:t>
                  </w:r>
                </w:p>
                <w:p>
                  <w:pPr>
                    <w:pStyle w:val="null3"/>
                  </w:pPr>
                  <w:r>
                    <w:rPr>
                      <w:rFonts w:ascii="仿宋_GB2312" w:hAnsi="仿宋_GB2312" w:cs="仿宋_GB2312" w:eastAsia="仿宋_GB2312"/>
                    </w:rPr>
                    <w:t>武功、兴平、长武</w:t>
                  </w:r>
                </w:p>
              </w:tc>
            </w:tr>
            <w:tr>
              <w:tc>
                <w:tcPr>
                  <w:tcW w:type="dxa" w:w="1276"/>
                </w:tcPr>
                <w:p>
                  <w:pPr>
                    <w:pStyle w:val="null3"/>
                  </w:pPr>
                  <w:r>
                    <w:rPr>
                      <w:rFonts w:ascii="仿宋_GB2312" w:hAnsi="仿宋_GB2312" w:cs="仿宋_GB2312" w:eastAsia="仿宋_GB2312"/>
                    </w:rPr>
                    <w:t>渭南（11个）</w:t>
                  </w:r>
                </w:p>
              </w:tc>
              <w:tc>
                <w:tcPr>
                  <w:tcW w:type="dxa" w:w="1276"/>
                </w:tcPr>
                <w:p>
                  <w:pPr>
                    <w:pStyle w:val="null3"/>
                  </w:pPr>
                  <w:r>
                    <w:rPr>
                      <w:rFonts w:ascii="仿宋_GB2312" w:hAnsi="仿宋_GB2312" w:cs="仿宋_GB2312" w:eastAsia="仿宋_GB2312"/>
                    </w:rPr>
                    <w:t>渭南、华阴、华县、合阳、澄城、蒲城、白水、富平、韩城、</w:t>
                  </w:r>
                </w:p>
                <w:p>
                  <w:pPr>
                    <w:pStyle w:val="null3"/>
                  </w:pPr>
                  <w:r>
                    <w:rPr>
                      <w:rFonts w:ascii="仿宋_GB2312" w:hAnsi="仿宋_GB2312" w:cs="仿宋_GB2312" w:eastAsia="仿宋_GB2312"/>
                    </w:rPr>
                    <w:t>潼关、大荔</w:t>
                  </w:r>
                </w:p>
              </w:tc>
            </w:tr>
            <w:tr>
              <w:tc>
                <w:tcPr>
                  <w:tcW w:type="dxa" w:w="1276"/>
                </w:tcPr>
                <w:p>
                  <w:pPr>
                    <w:pStyle w:val="null3"/>
                  </w:pPr>
                  <w:r>
                    <w:rPr>
                      <w:rFonts w:ascii="仿宋_GB2312" w:hAnsi="仿宋_GB2312" w:cs="仿宋_GB2312" w:eastAsia="仿宋_GB2312"/>
                    </w:rPr>
                    <w:t>铜川（4个）</w:t>
                  </w:r>
                </w:p>
              </w:tc>
              <w:tc>
                <w:tcPr>
                  <w:tcW w:type="dxa" w:w="1276"/>
                </w:tcPr>
                <w:p>
                  <w:pPr>
                    <w:pStyle w:val="null3"/>
                  </w:pPr>
                  <w:r>
                    <w:rPr>
                      <w:rFonts w:ascii="仿宋_GB2312" w:hAnsi="仿宋_GB2312" w:cs="仿宋_GB2312" w:eastAsia="仿宋_GB2312"/>
                    </w:rPr>
                    <w:t>铜川、王益区、耀州区、宜君</w:t>
                  </w:r>
                </w:p>
              </w:tc>
            </w:tr>
            <w:tr>
              <w:tc>
                <w:tcPr>
                  <w:tcW w:type="dxa" w:w="1276"/>
                </w:tcPr>
                <w:p>
                  <w:pPr>
                    <w:pStyle w:val="null3"/>
                  </w:pPr>
                  <w:r>
                    <w:rPr>
                      <w:rFonts w:ascii="仿宋_GB2312" w:hAnsi="仿宋_GB2312" w:cs="仿宋_GB2312" w:eastAsia="仿宋_GB2312"/>
                    </w:rPr>
                    <w:t>延安（13个）</w:t>
                  </w:r>
                </w:p>
              </w:tc>
              <w:tc>
                <w:tcPr>
                  <w:tcW w:type="dxa" w:w="1276"/>
                </w:tcPr>
                <w:p>
                  <w:pPr>
                    <w:pStyle w:val="null3"/>
                  </w:pPr>
                  <w:r>
                    <w:rPr>
                      <w:rFonts w:ascii="仿宋_GB2312" w:hAnsi="仿宋_GB2312" w:cs="仿宋_GB2312" w:eastAsia="仿宋_GB2312"/>
                    </w:rPr>
                    <w:t>延安、延长、延川、安塞、吴起、宜川、黄龙、黄陵、志丹、</w:t>
                  </w:r>
                </w:p>
                <w:p>
                  <w:pPr>
                    <w:pStyle w:val="null3"/>
                  </w:pPr>
                  <w:r>
                    <w:rPr>
                      <w:rFonts w:ascii="仿宋_GB2312" w:hAnsi="仿宋_GB2312" w:cs="仿宋_GB2312" w:eastAsia="仿宋_GB2312"/>
                    </w:rPr>
                    <w:t>子长、甘泉、富县、洛川</w:t>
                  </w:r>
                </w:p>
              </w:tc>
            </w:tr>
            <w:tr>
              <w:tc>
                <w:tcPr>
                  <w:tcW w:type="dxa" w:w="1276"/>
                </w:tcPr>
                <w:p>
                  <w:pPr>
                    <w:pStyle w:val="null3"/>
                  </w:pPr>
                  <w:r>
                    <w:rPr>
                      <w:rFonts w:ascii="仿宋_GB2312" w:hAnsi="仿宋_GB2312" w:cs="仿宋_GB2312" w:eastAsia="仿宋_GB2312"/>
                    </w:rPr>
                    <w:t>榆林（12个）</w:t>
                  </w:r>
                </w:p>
              </w:tc>
              <w:tc>
                <w:tcPr>
                  <w:tcW w:type="dxa" w:w="1276"/>
                </w:tcPr>
                <w:p>
                  <w:pPr>
                    <w:pStyle w:val="null3"/>
                  </w:pPr>
                  <w:r>
                    <w:rPr>
                      <w:rFonts w:ascii="仿宋_GB2312" w:hAnsi="仿宋_GB2312" w:cs="仿宋_GB2312" w:eastAsia="仿宋_GB2312"/>
                    </w:rPr>
                    <w:t>榆林、定边、靖边、米脂、佳县、吴堡、子洲、神木、府谷、</w:t>
                  </w:r>
                </w:p>
                <w:p>
                  <w:pPr>
                    <w:pStyle w:val="null3"/>
                  </w:pPr>
                  <w:r>
                    <w:rPr>
                      <w:rFonts w:ascii="仿宋_GB2312" w:hAnsi="仿宋_GB2312" w:cs="仿宋_GB2312" w:eastAsia="仿宋_GB2312"/>
                    </w:rPr>
                    <w:t>横山、绥德、清涧</w:t>
                  </w:r>
                </w:p>
              </w:tc>
            </w:tr>
            <w:tr>
              <w:tc>
                <w:tcPr>
                  <w:tcW w:type="dxa" w:w="1276"/>
                </w:tcPr>
                <w:p>
                  <w:pPr>
                    <w:pStyle w:val="null3"/>
                  </w:pPr>
                  <w:r>
                    <w:rPr>
                      <w:rFonts w:ascii="仿宋_GB2312" w:hAnsi="仿宋_GB2312" w:cs="仿宋_GB2312" w:eastAsia="仿宋_GB2312"/>
                    </w:rPr>
                    <w:t>汉中（11个）</w:t>
                  </w:r>
                </w:p>
              </w:tc>
              <w:tc>
                <w:tcPr>
                  <w:tcW w:type="dxa" w:w="1276"/>
                </w:tcPr>
                <w:p>
                  <w:pPr>
                    <w:pStyle w:val="null3"/>
                  </w:pPr>
                  <w:r>
                    <w:rPr>
                      <w:rFonts w:ascii="仿宋_GB2312" w:hAnsi="仿宋_GB2312" w:cs="仿宋_GB2312" w:eastAsia="仿宋_GB2312"/>
                    </w:rPr>
                    <w:t>汉中、南郑、城固、洋县、西乡、勉县、宁强、留坝、佛坪、</w:t>
                  </w:r>
                </w:p>
                <w:p>
                  <w:pPr>
                    <w:pStyle w:val="null3"/>
                  </w:pPr>
                  <w:r>
                    <w:rPr>
                      <w:rFonts w:ascii="仿宋_GB2312" w:hAnsi="仿宋_GB2312" w:cs="仿宋_GB2312" w:eastAsia="仿宋_GB2312"/>
                    </w:rPr>
                    <w:t>略阳、镇巴</w:t>
                  </w:r>
                </w:p>
              </w:tc>
            </w:tr>
            <w:tr>
              <w:tc>
                <w:tcPr>
                  <w:tcW w:type="dxa" w:w="1276"/>
                </w:tcPr>
                <w:p>
                  <w:pPr>
                    <w:pStyle w:val="null3"/>
                  </w:pPr>
                  <w:r>
                    <w:rPr>
                      <w:rFonts w:ascii="仿宋_GB2312" w:hAnsi="仿宋_GB2312" w:cs="仿宋_GB2312" w:eastAsia="仿宋_GB2312"/>
                    </w:rPr>
                    <w:t>安康（10个）</w:t>
                  </w:r>
                </w:p>
              </w:tc>
              <w:tc>
                <w:tcPr>
                  <w:tcW w:type="dxa" w:w="1276"/>
                </w:tcPr>
                <w:p>
                  <w:pPr>
                    <w:pStyle w:val="null3"/>
                  </w:pPr>
                  <w:r>
                    <w:rPr>
                      <w:rFonts w:ascii="仿宋_GB2312" w:hAnsi="仿宋_GB2312" w:cs="仿宋_GB2312" w:eastAsia="仿宋_GB2312"/>
                    </w:rPr>
                    <w:t>安康、汉阴、石泉、宁陕、紫阳、岚皋、平利、镇坪、白河、</w:t>
                  </w:r>
                </w:p>
                <w:p>
                  <w:pPr>
                    <w:pStyle w:val="null3"/>
                  </w:pPr>
                  <w:r>
                    <w:rPr>
                      <w:rFonts w:ascii="仿宋_GB2312" w:hAnsi="仿宋_GB2312" w:cs="仿宋_GB2312" w:eastAsia="仿宋_GB2312"/>
                    </w:rPr>
                    <w:t>旬阳</w:t>
                  </w:r>
                </w:p>
              </w:tc>
            </w:tr>
            <w:tr>
              <w:tc>
                <w:tcPr>
                  <w:tcW w:type="dxa" w:w="1276"/>
                </w:tcPr>
                <w:p>
                  <w:pPr>
                    <w:pStyle w:val="null3"/>
                  </w:pPr>
                  <w:r>
                    <w:rPr>
                      <w:rFonts w:ascii="仿宋_GB2312" w:hAnsi="仿宋_GB2312" w:cs="仿宋_GB2312" w:eastAsia="仿宋_GB2312"/>
                    </w:rPr>
                    <w:t>商洛（7个）</w:t>
                  </w:r>
                </w:p>
              </w:tc>
              <w:tc>
                <w:tcPr>
                  <w:tcW w:type="dxa" w:w="1276"/>
                </w:tcPr>
                <w:p>
                  <w:pPr>
                    <w:pStyle w:val="null3"/>
                  </w:pPr>
                  <w:r>
                    <w:rPr>
                      <w:rFonts w:ascii="仿宋_GB2312" w:hAnsi="仿宋_GB2312" w:cs="仿宋_GB2312" w:eastAsia="仿宋_GB2312"/>
                    </w:rPr>
                    <w:t>商洛、丹凤、商南、山阳、镇安、柞水、洛南</w:t>
                  </w:r>
                </w:p>
              </w:tc>
            </w:tr>
            <w:tr>
              <w:tc>
                <w:tcPr>
                  <w:tcW w:type="dxa" w:w="2552"/>
                  <w:gridSpan w:val="2"/>
                </w:tcPr>
                <w:p>
                  <w:pPr>
                    <w:pStyle w:val="null3"/>
                  </w:pPr>
                  <w:r>
                    <w:rPr>
                      <w:rFonts w:ascii="仿宋_GB2312" w:hAnsi="仿宋_GB2312" w:cs="仿宋_GB2312" w:eastAsia="仿宋_GB2312"/>
                    </w:rPr>
                    <w:t>总计：103个</w:t>
                  </w:r>
                </w:p>
              </w:tc>
            </w:tr>
          </w:tbl>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符合采购人对本项目的人员配置要求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符合采购人对本项目的设施设备要求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质量要求：满足采购人对本项目的服务要求。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服务期限为 1年。具体起止时间以合同签订为准。</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陕西省广播电视监测中心采购人指定地点。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服务期满，服务提供商提交年度运维报告及相关证明材料。监测中心将依据本项目合同约定、服务指标要求及政府采购相关规定，组织对全年服务的履约情况进行最终验收。</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其他，合同签订后10个工作日内，供应商向采购人提供符合国家规定的全额发票，采购人收到履约保证金（或履约保函）和全额发票后，达到付款条件起10个工作日内，支付合同总金额的100.0%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遵照国家有关规定和合同约定执行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各供应商应根据“陕西省财政厅 陕财办采函[2023]14号文”陕西省财政厅关于省级预算单位全面推行政府采购项目电子化交易的通知”、《政府采购项目电子化交易规则》等文件的要求，做好人员配备、设施设备、系统操作的相应准备，熟悉并正确实施相关操作流程，承担由于操作或其他因素造成的不利后果。</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供应商为向采购人提供相应服务的法人或其他组织</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信用资格查询</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p>
        </w:tc>
        <w:tc>
          <w:tcPr>
            <w:tcW w:type="dxa" w:w="1661"/>
          </w:tcPr>
          <w:p>
            <w:pPr>
              <w:pStyle w:val="null3"/>
            </w:pPr>
            <w:r>
              <w:rPr>
                <w:rFonts w:ascii="仿宋_GB2312" w:hAnsi="仿宋_GB2312" w:cs="仿宋_GB2312" w:eastAsia="仿宋_GB2312"/>
              </w:rPr>
              <w:t>供应商应提交的相关资格证明材料.docx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响应文件是否按竞争性磋商文件要求签署、盖章的</w:t>
            </w:r>
          </w:p>
        </w:tc>
        <w:tc>
          <w:tcPr>
            <w:tcW w:type="dxa" w:w="3322"/>
          </w:tcPr>
          <w:p>
            <w:pPr>
              <w:pStyle w:val="null3"/>
            </w:pPr>
            <w:r>
              <w:rPr>
                <w:rFonts w:ascii="仿宋_GB2312" w:hAnsi="仿宋_GB2312" w:cs="仿宋_GB2312" w:eastAsia="仿宋_GB2312"/>
              </w:rPr>
              <w:t>响应文件按竞争性磋商文件要求签署、盖章的</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报价是否超过竞争性磋商文件中规定的最高限价的</w:t>
            </w:r>
          </w:p>
        </w:tc>
        <w:tc>
          <w:tcPr>
            <w:tcW w:type="dxa" w:w="3322"/>
          </w:tcPr>
          <w:p>
            <w:pPr>
              <w:pStyle w:val="null3"/>
            </w:pPr>
            <w:r>
              <w:rPr>
                <w:rFonts w:ascii="仿宋_GB2312" w:hAnsi="仿宋_GB2312" w:cs="仿宋_GB2312" w:eastAsia="仿宋_GB2312"/>
              </w:rPr>
              <w:t>响应报价未超过竞争性磋商文件中规定的最高限价的</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响应文件是否含有采购人不能接受的附加条件的或其他情形</w:t>
            </w:r>
          </w:p>
        </w:tc>
        <w:tc>
          <w:tcPr>
            <w:tcW w:type="dxa" w:w="3322"/>
          </w:tcPr>
          <w:p>
            <w:pPr>
              <w:pStyle w:val="null3"/>
            </w:pPr>
            <w:r>
              <w:rPr>
                <w:rFonts w:ascii="仿宋_GB2312" w:hAnsi="仿宋_GB2312" w:cs="仿宋_GB2312" w:eastAsia="仿宋_GB2312"/>
              </w:rPr>
              <w:t>响应文件未含有采购人不能接受的附加条件的或其他情形</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商务要求各项条款、标记“★”条款（文件中无“★”项的内容不适用）、本文件规定的其他实质性要求和条件均为不允许偏离的实质性要求和条件，不满足的为无效响应</w:t>
            </w:r>
          </w:p>
        </w:tc>
        <w:tc>
          <w:tcPr>
            <w:tcW w:type="dxa" w:w="3322"/>
          </w:tcPr>
          <w:p>
            <w:pPr>
              <w:pStyle w:val="null3"/>
            </w:pPr>
            <w:r>
              <w:rPr>
                <w:rFonts w:ascii="仿宋_GB2312" w:hAnsi="仿宋_GB2312" w:cs="仿宋_GB2312" w:eastAsia="仿宋_GB2312"/>
              </w:rPr>
              <w:t>商务要求各项条款、标记“★”条款（文件中无“★”项的内容不适用）、本文件规定的其他实质性要求和条件均为不允许偏离的实质性要求和条件，不满足的为无效响应</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是否发现法律法规和竞争性磋商文件规定的其他无效情形</w:t>
            </w:r>
          </w:p>
        </w:tc>
        <w:tc>
          <w:tcPr>
            <w:tcW w:type="dxa" w:w="3322"/>
          </w:tcPr>
          <w:p>
            <w:pPr>
              <w:pStyle w:val="null3"/>
            </w:pPr>
            <w:r>
              <w:rPr>
                <w:rFonts w:ascii="仿宋_GB2312" w:hAnsi="仿宋_GB2312" w:cs="仿宋_GB2312" w:eastAsia="仿宋_GB2312"/>
              </w:rPr>
              <w:t>响应文件未发现法律法规和竞争性磋商文件规定的其他无效情形。</w:t>
            </w:r>
          </w:p>
        </w:tc>
        <w:tc>
          <w:tcPr>
            <w:tcW w:type="dxa" w:w="1661"/>
          </w:tcPr>
          <w:p>
            <w:pPr>
              <w:pStyle w:val="null3"/>
            </w:pPr>
            <w:r>
              <w:rPr>
                <w:rFonts w:ascii="仿宋_GB2312" w:hAnsi="仿宋_GB2312" w:cs="仿宋_GB2312" w:eastAsia="仿宋_GB2312"/>
              </w:rPr>
              <w:t>商务应答表 服务内容及服务要求应答表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供应商应授权合法的人员参加本项目磋商会议全过程</w:t>
            </w:r>
          </w:p>
        </w:tc>
        <w:tc>
          <w:tcPr>
            <w:tcW w:type="dxa" w:w="3322"/>
          </w:tcPr>
          <w:p>
            <w:pPr>
              <w:pStyle w:val="null3"/>
            </w:pPr>
            <w:r>
              <w:rPr>
                <w:rFonts w:ascii="仿宋_GB2312" w:hAnsi="仿宋_GB2312" w:cs="仿宋_GB2312" w:eastAsia="仿宋_GB2312"/>
              </w:rPr>
              <w:t>法定代表人参加磋商会议的，应出具法定代表人证明书以及法定代表人合法有效的身份证，且应与营业执照上信息一致。 法定代表人授权合法授权代表参加磋商会议的，应出具法定代表人证明书、法定代表人授权书及授权代表合法有效的身份证，同时提供截至响应文件递交时间前6个月中任意1个月的社会保险缴纳证明</w:t>
            </w:r>
          </w:p>
        </w:tc>
        <w:tc>
          <w:tcPr>
            <w:tcW w:type="dxa" w:w="1661"/>
          </w:tcPr>
          <w:p>
            <w:pPr>
              <w:pStyle w:val="null3"/>
            </w:pPr>
            <w:r>
              <w:rPr>
                <w:rFonts w:ascii="仿宋_GB2312" w:hAnsi="仿宋_GB2312" w:cs="仿宋_GB2312" w:eastAsia="仿宋_GB2312"/>
              </w:rPr>
              <w:t>法定代表人身份证明或法定代表人授权书.docx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项目整体理解与重难点分析</w:t>
            </w:r>
          </w:p>
        </w:tc>
        <w:tc>
          <w:tcPr>
            <w:tcW w:type="dxa" w:w="2492"/>
          </w:tcPr>
          <w:p>
            <w:pPr>
              <w:pStyle w:val="null3"/>
            </w:pPr>
            <w:r>
              <w:rPr>
                <w:rFonts w:ascii="仿宋_GB2312" w:hAnsi="仿宋_GB2312" w:cs="仿宋_GB2312" w:eastAsia="仿宋_GB2312"/>
              </w:rPr>
              <w:t>供应商所提供的项目整体理解与重难点分析，包括①项目背景、服务范围（103个站点）、核心目标（安全、稳定、可靠）的理解深度；②对工作重点分析（如全省链路保障、102个机房环境）；③难点（如偏远站点运维、重大故障抢修）分析，共3项内容，每项满分3分，总分9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网络架构与资源保障</w:t>
            </w:r>
          </w:p>
        </w:tc>
        <w:tc>
          <w:tcPr>
            <w:tcW w:type="dxa" w:w="2492"/>
          </w:tcPr>
          <w:p>
            <w:pPr>
              <w:pStyle w:val="null3"/>
            </w:pPr>
            <w:r>
              <w:rPr>
                <w:rFonts w:ascii="仿宋_GB2312" w:hAnsi="仿宋_GB2312" w:cs="仿宋_GB2312" w:eastAsia="仿宋_GB2312"/>
              </w:rPr>
              <w:t>① 提供清晰的省-市-县三级网络架构图，且承诺站点数量覆盖全部103个，计3分，需提供网络架构图和书面承诺函，缺项不计分； ② 承诺所有站点采用MPLS VPN或等效技术的专用通道，且单站点带宽≥200Mbps，计3分，需提供书面承诺函，缺项不计分。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链路性能指标承诺</w:t>
            </w:r>
          </w:p>
        </w:tc>
        <w:tc>
          <w:tcPr>
            <w:tcW w:type="dxa" w:w="2492"/>
          </w:tcPr>
          <w:p>
            <w:pPr>
              <w:pStyle w:val="null3"/>
            </w:pPr>
            <w:r>
              <w:rPr>
                <w:rFonts w:ascii="仿宋_GB2312" w:hAnsi="仿宋_GB2312" w:cs="仿宋_GB2312" w:eastAsia="仿宋_GB2312"/>
              </w:rPr>
              <w:t>针对本项目提供链路性能指标承诺包括对以下四项核心指标作出明确书面承诺： ①网络可用率≥99%； ② 丢包率≤5‰； ③ 网络时延≤30ms（各站点至省中心）； ④ 提供标准网络接口（RJ45/光口）及技术支持。 全部承诺，计4分；每缺一项扣1分，扣完为止。（需提供承诺函，格式自拟）</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链路安全与稳定性方案</w:t>
            </w:r>
          </w:p>
        </w:tc>
        <w:tc>
          <w:tcPr>
            <w:tcW w:type="dxa" w:w="2492"/>
          </w:tcPr>
          <w:p>
            <w:pPr>
              <w:pStyle w:val="null3"/>
            </w:pPr>
            <w:r>
              <w:rPr>
                <w:rFonts w:ascii="仿宋_GB2312" w:hAnsi="仿宋_GB2312" w:cs="仿宋_GB2312" w:eastAsia="仿宋_GB2312"/>
              </w:rPr>
              <w:t>供应商所提供的链路安全与稳定性方案包括①数据链路资源的安全性、可靠性规划；②确保通信传输畅通的具体技术措施，共2项内容，每项满分3分，总分6分。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机房环境保障方案</w:t>
            </w:r>
          </w:p>
        </w:tc>
        <w:tc>
          <w:tcPr>
            <w:tcW w:type="dxa" w:w="2492"/>
          </w:tcPr>
          <w:p>
            <w:pPr>
              <w:pStyle w:val="null3"/>
            </w:pPr>
            <w:r>
              <w:rPr>
                <w:rFonts w:ascii="仿宋_GB2312" w:hAnsi="仿宋_GB2312" w:cs="仿宋_GB2312" w:eastAsia="仿宋_GB2312"/>
              </w:rPr>
              <w:t>供应商所提供的为全省102个前端站点（不含省中心）提供标准化机房环境的能力和方案，包括①机柜空间（市级≥20U/县级≥10U）；②UPS供电保障、温湿度控制（24℃±2℃，40%-60%）；③物理安全（门禁/监控），共3项内容，每项满分3分，总分9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信号接入与授权保障</w:t>
            </w:r>
          </w:p>
        </w:tc>
        <w:tc>
          <w:tcPr>
            <w:tcW w:type="dxa" w:w="2492"/>
          </w:tcPr>
          <w:p>
            <w:pPr>
              <w:pStyle w:val="null3"/>
            </w:pPr>
            <w:r>
              <w:rPr>
                <w:rFonts w:ascii="仿宋_GB2312" w:hAnsi="仿宋_GB2312" w:cs="仿宋_GB2312" w:eastAsia="仿宋_GB2312"/>
              </w:rPr>
              <w:t>供应商所提供的信号接入与授权保障包括提供①符合广电标准的有线数字电视信号源（全频段覆盖）、保障CA卡授权及时有效，②提供专职负责人及≤2小时授权恢复承诺（需提供书面承诺函，承诺函格式自拟），共2项内容，每项满分3分，总分6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日常维护与巡检制度</w:t>
            </w:r>
          </w:p>
        </w:tc>
        <w:tc>
          <w:tcPr>
            <w:tcW w:type="dxa" w:w="2492"/>
          </w:tcPr>
          <w:p>
            <w:pPr>
              <w:pStyle w:val="null3"/>
            </w:pPr>
            <w:r>
              <w:rPr>
                <w:rFonts w:ascii="仿宋_GB2312" w:hAnsi="仿宋_GB2312" w:cs="仿宋_GB2312" w:eastAsia="仿宋_GB2312"/>
              </w:rPr>
              <w:t>供应商所提供的日常维护与巡检制度包括① 提供完善的日常维护工作制度（含工作内容、流程、标准）；② 提供详细的设备巡检制度（季度全站点巡检），明确巡检内容（网络、电源、除尘、硬件等），共2项内容，每项满分3分，总分6分。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故障应急处理能力</w:t>
            </w:r>
          </w:p>
        </w:tc>
        <w:tc>
          <w:tcPr>
            <w:tcW w:type="dxa" w:w="2492"/>
          </w:tcPr>
          <w:p>
            <w:pPr>
              <w:pStyle w:val="null3"/>
            </w:pPr>
            <w:r>
              <w:rPr>
                <w:rFonts w:ascii="仿宋_GB2312" w:hAnsi="仿宋_GB2312" w:cs="仿宋_GB2312" w:eastAsia="仿宋_GB2312"/>
              </w:rPr>
              <w:t>供应商所提供的故障应急处理能力包括①故障处理预案（含响应、普通故障、重大光缆故障、不可抗力）②机房搬迁/网络割接等计划性中断的预案进行评分。要求响应时间≤1小时，普通修复≤8小时，重大光缆≤24小时，计划中断提前72小时通知，共2项内容，每项满分3分，总分6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项目负责人具有信息化相关专业高级职称，计3分；中级职称，计1分，未提供不得分。同一人提供多个职称按最高职称计。</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提供站点负责人详细资料的承诺</w:t>
            </w:r>
          </w:p>
        </w:tc>
        <w:tc>
          <w:tcPr>
            <w:tcW w:type="dxa" w:w="2492"/>
          </w:tcPr>
          <w:p>
            <w:pPr>
              <w:pStyle w:val="null3"/>
            </w:pPr>
            <w:r>
              <w:rPr>
                <w:rFonts w:ascii="仿宋_GB2312" w:hAnsi="仿宋_GB2312" w:cs="仿宋_GB2312" w:eastAsia="仿宋_GB2312"/>
              </w:rPr>
              <w:t>为每个监测站点配置一名负责人，并承诺合同签订后1个月内提供人员详细资料的书面承诺，计1分，未提供不得分。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站点负责人保障措施</w:t>
            </w:r>
          </w:p>
        </w:tc>
        <w:tc>
          <w:tcPr>
            <w:tcW w:type="dxa" w:w="2492"/>
          </w:tcPr>
          <w:p>
            <w:pPr>
              <w:pStyle w:val="null3"/>
            </w:pPr>
            <w:r>
              <w:rPr>
                <w:rFonts w:ascii="仿宋_GB2312" w:hAnsi="仿宋_GB2312" w:cs="仿宋_GB2312" w:eastAsia="仿宋_GB2312"/>
              </w:rPr>
              <w:t>供应商所提供的站点负责人不出现缺岗、断档的保障措施（如备勤机制等），共1项内容，每项满分3分，总分3分。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运维记录与报告模板</w:t>
            </w:r>
          </w:p>
        </w:tc>
        <w:tc>
          <w:tcPr>
            <w:tcW w:type="dxa" w:w="2492"/>
          </w:tcPr>
          <w:p>
            <w:pPr>
              <w:pStyle w:val="null3"/>
            </w:pPr>
            <w:r>
              <w:rPr>
                <w:rFonts w:ascii="仿宋_GB2312" w:hAnsi="仿宋_GB2312" w:cs="仿宋_GB2312" w:eastAsia="仿宋_GB2312"/>
              </w:rPr>
              <w:t>供应商所提供的运维记录与报告模板包括提供①日常运维记录表；②季度/年度运维报告格式文件，要求内容完整、规范、可溯源，共2项内容，每项满分3分，总分6分。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保密制度</w:t>
            </w:r>
          </w:p>
        </w:tc>
        <w:tc>
          <w:tcPr>
            <w:tcW w:type="dxa" w:w="2492"/>
          </w:tcPr>
          <w:p>
            <w:pPr>
              <w:pStyle w:val="null3"/>
            </w:pPr>
            <w:r>
              <w:rPr>
                <w:rFonts w:ascii="仿宋_GB2312" w:hAnsi="仿宋_GB2312" w:cs="仿宋_GB2312" w:eastAsia="仿宋_GB2312"/>
              </w:rPr>
              <w:t>供应商所提供的保密制度包括提供完善的数据保密及网络安全管理制度，措施合理、符合国家法规要求，共1项内容，每项满分3分，总分3分。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站点迁移方案</w:t>
            </w:r>
          </w:p>
        </w:tc>
        <w:tc>
          <w:tcPr>
            <w:tcW w:type="dxa" w:w="2492"/>
          </w:tcPr>
          <w:p>
            <w:pPr>
              <w:pStyle w:val="null3"/>
            </w:pPr>
            <w:r>
              <w:rPr>
                <w:rFonts w:ascii="仿宋_GB2312" w:hAnsi="仿宋_GB2312" w:cs="仿宋_GB2312" w:eastAsia="仿宋_GB2312"/>
              </w:rPr>
              <w:t>供应商所提供的站点迁移方案包括①提供完整的站点迁移工作方案；②要求链条完整（含天线防雷设计、设备搬迁、线路铺设、业务恢复），时效性强，共2项内容，每项满分3分，总分6分。 其中，每项以具体内容与本项目的针对性、可行性、方案完善性作为采分点；每个采分点按照1分、0.9分、0.5分、0.3分、0.1分、0分作为具体赋分分值，完全符合采分点要求的得1分，存在个别瑕疵但是符合采分点要素的得0.9分，基本符合采分点要求但是存在一定不足的得0.5分，存在明显不符合采分点要求的得0.3分，完全不符合采分点要求的得0.1分，未响应相应内容的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增值服务</w:t>
            </w:r>
          </w:p>
        </w:tc>
        <w:tc>
          <w:tcPr>
            <w:tcW w:type="dxa" w:w="2492"/>
          </w:tcPr>
          <w:p>
            <w:pPr>
              <w:pStyle w:val="null3"/>
            </w:pPr>
            <w:r>
              <w:rPr>
                <w:rFonts w:ascii="仿宋_GB2312" w:hAnsi="仿宋_GB2312" w:cs="仿宋_GB2312" w:eastAsia="仿宋_GB2312"/>
              </w:rPr>
              <w:t>在满足磋商文件所有要求的基础上，每提供一项经评审专家认定的具有实用性的增值服务（如：提供备用链路、延长服务时间增强型安全监测等），计1.5分，满分3分。 （需提供明确的书面服务和承诺书）</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提供供应商自2023年1月1日起至今的类似业绩（通信网络运维或其他专网服务）证明材料，每提供一项有效合同的得2分，满分8分。 备注：供应商应在响应文件中提供业绩合同复印件或扫描件，时间以合同签订时间为准。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磋商报价采用低价优先法计算，即满足竞争性磋商文件要求且最后磋商报价最低的报价为评审基准价，其价格分为满分。其他供应商的价格分统一按照下列公式计算：磋商报价得分=（评审基准价/最后磋商报价）×15。</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90%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详见附件：法定代表人身份证明或法定代表人授权书.docx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详见附件：供应商应提交的相关资格证明材料.docx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lvl w:ilvl="1">
      <w:start w:val="1"/>
      <w:numFmt w:val="decimal"/>
      <w:lvlText w:val="%2."/>
      <w:lvlJc w:val="left"/>
      <w:pPr>
        <w:ind w:left="360"/>
      </w:pPr>
    </w:lvl>
    <w:lvl w:ilvl="2">
      <w:start w:val="1"/>
      <w:numFmt w:val="decimal"/>
      <w:lvlText w:val="%3."/>
      <w:lvlJc w:val="left"/>
      <w:pPr>
        <w:ind w:left="720"/>
      </w:pPr>
    </w:lvl>
  </w:abstractNum>
  <w:abstractNum w:abstractNumId="1">
    <w:multiLevelType w:val="hybridMultilevel"/>
    <w:lvl w:ilvl="0">
      <w:start w:val="1"/>
      <w:numFmt w:val="bullet"/>
      <w:lvlText w:val=""/>
      <w:lvlJc w:val="left"/>
      <w:pPr>
        <w:ind w:left="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