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版本号：【KRDL】K4-260816620260810002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临潼校区教学楼、图书馆及食堂消防设施更新改造工程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【KRDL】K4-2608166</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临潼校区教学楼、图书馆及食堂消防设施更新改造工程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【KRDL】K4-2608166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临潼校区教学楼、图书馆及食堂消防设施更新改造工程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临潼校区教学楼、图书馆及食堂消防设施更新改造工程，本工程位于西安市临潼区西安工程大学校区内，拟分为2个采购包： 【第一包：临潼校区图书馆及食堂消防设施更新改造工程】：建筑面积约9万平方米，最高层为6层。主要施工改造内容包含：对图书馆、综合楼及老食堂楼内的消防设施进行更新改造，包括楼宇内的火灾自动报警系统、应急照明及疏散指示系统、防火封堵等设施进行改造更新；新增室内消火栓系统；拆除部分原有门、窗改为防火门、窗户处采用水泥压力板进行防火封堵等。具体以本项目竞争性磋商文件、工程量清单及图纸为准。 【第二包：临潼校区教学楼消防设施更新改造工程】：建筑面积约11万平方米，最高层为6层。主要施工改造内容包含：对教学楼ABCD、人文楼、工训中心、南锅炉房、校医院、大学生活动中心的消防设施进行更新改造，包括楼宇内的火灾自动报警系统、应急照明及疏散指示系统、防火封堵等设施进行改造更新；新增室内消火栓系统；拆除部分原有门、窗改为防火门等。具体以本项目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采购包1（【第一包：临潼校区图书馆及食堂消防设施更新改造工程】）：属于专门面向中小企业采购。</w:t>
      </w:r>
    </w:p>
    <w:p>
      <w:pPr>
        <w:pStyle w:val="null3"/>
      </w:pPr>
      <w:r>
        <w:rPr>
          <w:rFonts w:ascii="仿宋_GB2312" w:hAnsi="仿宋_GB2312" w:cs="仿宋_GB2312" w:eastAsia="仿宋_GB2312"/>
        </w:rPr>
        <w:t>采购包2（【第二包：临潼校区教学楼消防设施更新改造工程】）：属于专门面向中小企业采购。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2、供应商资质要求1：供应商应具备建设行政主管部门颁发的消防设施工程专业承包二级（含）以上资质；并在人员、设备、资金等方面具备相应的能力；</w:t>
      </w:r>
    </w:p>
    <w:p>
      <w:pPr>
        <w:pStyle w:val="null3"/>
      </w:pPr>
      <w:r>
        <w:rPr>
          <w:rFonts w:ascii="仿宋_GB2312" w:hAnsi="仿宋_GB2312" w:cs="仿宋_GB2312" w:eastAsia="仿宋_GB2312"/>
        </w:rPr>
        <w:t>3、供应商资质要求2：供应商具备有效的安全生产许可证，且未被“全国工程质量安全监管信息平台公共服务门户”网站列为暂扣或吊销状态；</w:t>
      </w:r>
    </w:p>
    <w:p>
      <w:pPr>
        <w:pStyle w:val="null3"/>
      </w:pPr>
      <w:r>
        <w:rPr>
          <w:rFonts w:ascii="仿宋_GB2312" w:hAnsi="仿宋_GB2312" w:cs="仿宋_GB2312" w:eastAsia="仿宋_GB2312"/>
        </w:rPr>
        <w:t>4、拟派项目经理资质和专业要求：供应商拟派项目经理须具备合法有效的机电工程专业注册建造师二级（含）以上执业资格，同时具备有效的安全生产考核合格证书（安全B证），在本单位注册且无在建工程；</w:t>
      </w:r>
    </w:p>
    <w:p>
      <w:pPr>
        <w:pStyle w:val="null3"/>
      </w:pPr>
      <w:r>
        <w:rPr>
          <w:rFonts w:ascii="仿宋_GB2312" w:hAnsi="仿宋_GB2312" w:cs="仿宋_GB2312" w:eastAsia="仿宋_GB2312"/>
        </w:rPr>
        <w:t>5、信誉要求：供应商未被“信用中国”网站列入“安全生产严重失信主体名单（法人）、“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6、其他要求：供应商及其拟派项目经理须在“陕西省住房和城乡建设厅”官方网站可查询；如供应商为外省进陕企业，还须同时提供“陕西省住房和城乡建设厅”官网企业库外省进陕施工企业信息首页截图。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2、供应商资质要求1：供应商应具备建设行政主管部门颁发的消防设施工程专业承包二级（含）以上资质；并在人员、设备、资金等方面具备相应的能力；</w:t>
      </w:r>
    </w:p>
    <w:p>
      <w:pPr>
        <w:pStyle w:val="null3"/>
      </w:pPr>
      <w:r>
        <w:rPr>
          <w:rFonts w:ascii="仿宋_GB2312" w:hAnsi="仿宋_GB2312" w:cs="仿宋_GB2312" w:eastAsia="仿宋_GB2312"/>
        </w:rPr>
        <w:t>3、供应商资质要求2：供应商具备有效的安全生产许可证，且未被“全国工程质量安全监管信息平台公共服务门户”网站列为暂扣或吊销状态；</w:t>
      </w:r>
    </w:p>
    <w:p>
      <w:pPr>
        <w:pStyle w:val="null3"/>
      </w:pPr>
      <w:r>
        <w:rPr>
          <w:rFonts w:ascii="仿宋_GB2312" w:hAnsi="仿宋_GB2312" w:cs="仿宋_GB2312" w:eastAsia="仿宋_GB2312"/>
        </w:rPr>
        <w:t>4、拟派项目经理资质和专业要求：供应商拟派项目经理须具备合法有效的机电工程专业注册建造师二级（含）以上执业资格，同时具备有效的安全生产考核合格证书（安全B证），在本单位注册且无在建工程；</w:t>
      </w:r>
    </w:p>
    <w:p>
      <w:pPr>
        <w:pStyle w:val="null3"/>
      </w:pPr>
      <w:r>
        <w:rPr>
          <w:rFonts w:ascii="仿宋_GB2312" w:hAnsi="仿宋_GB2312" w:cs="仿宋_GB2312" w:eastAsia="仿宋_GB2312"/>
        </w:rPr>
        <w:t>5、信誉要求：供应商未被“信用中国”网站列入“安全生产严重失信主体名单（法人）、“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6、其他要求：供应商及其拟派项目经理须在“陕西省住房和城乡建设厅”官方网站可查询；如供应商为外省进陕企业，还须同时提供“陕西省住房和城乡建设厅”官网企业库外省进陕施工企业信息首页截图。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029-89581863、17320095323、17302920968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采购包1：1,914,303.58元</w:t>
            </w:r>
          </w:p>
          <w:p>
            <w:pPr>
              <w:pStyle w:val="null3"/>
            </w:pPr>
            <w:r>
              <w:rPr>
                <w:rFonts w:ascii="仿宋_GB2312" w:hAnsi="仿宋_GB2312" w:cs="仿宋_GB2312" w:eastAsia="仿宋_GB2312"/>
              </w:rPr>
              <w:t>采购包2：1,876,170.32元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采购包1保证金金额：30,004.00元</w:t>
            </w:r>
          </w:p>
          <w:p>
            <w:pPr>
              <w:pStyle w:val="null3"/>
            </w:pPr>
            <w:r>
              <w:rPr>
                <w:rFonts w:ascii="仿宋_GB2312" w:hAnsi="仿宋_GB2312" w:cs="仿宋_GB2312" w:eastAsia="仿宋_GB2312"/>
              </w:rPr>
              <w:t>采购包2保证金金额：20,004.00元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说明：（1）供应商成交后凭成交通知书向采购人缴纳合同金额的5%作为履约保证金；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（3）采购人验收合格后，成交供应商提出书面申请，采购人将履约保证金（无息）退还至成交供应商。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说明：（1）供应商成交后凭成交通知书向采购人缴纳合同金额的5%作为履约保证金；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（3）采购人验收合格后，成交供应商提出书面申请，采购人将履约保证金（无息）退还至成交供应商。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代理服务费收费标准：参照国家计委颁布的《招标代理服务收费管理暂行办法》（计价格[2002]1980号）及发改办价格[2003]857号文件的规定标准收取，本项目代理服务费按工程计取。 备注：在对采购代理服务费转账时需备注项目名称+采购包名称+采购代理服务费。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踏勘时间：2026-08-18 10:30:00</w:t>
            </w:r>
          </w:p>
          <w:p>
            <w:pPr>
              <w:pStyle w:val="null3"/>
              <w:ind w:firstLine="975"/>
            </w:pPr>
            <w:r>
              <w:rPr>
                <w:rFonts w:ascii="仿宋_GB2312" w:hAnsi="仿宋_GB2312" w:cs="仿宋_GB2312" w:eastAsia="仿宋_GB2312"/>
              </w:rPr>
              <w:t>踏勘地点：西安工程大学临潼校区保卫部</w:t>
            </w:r>
          </w:p>
          <w:p>
            <w:pPr>
              <w:pStyle w:val="null3"/>
              <w:ind w:firstLine="975"/>
            </w:pPr>
            <w:r>
              <w:rPr>
                <w:rFonts w:ascii="仿宋_GB2312" w:hAnsi="仿宋_GB2312" w:cs="仿宋_GB2312" w:eastAsia="仿宋_GB2312"/>
              </w:rPr>
              <w:t>联系人：屈延洁</w:t>
            </w:r>
          </w:p>
          <w:p>
            <w:pPr>
              <w:pStyle w:val="null3"/>
              <w:ind w:firstLine="975"/>
            </w:pPr>
            <w:r>
              <w:rPr>
                <w:rFonts w:ascii="仿宋_GB2312" w:hAnsi="仿宋_GB2312" w:cs="仿宋_GB2312" w:eastAsia="仿宋_GB2312"/>
              </w:rPr>
              <w:t>联系电话号码：17391959019</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踏勘时间：2026-08-18 10:30:00</w:t>
            </w:r>
          </w:p>
          <w:p>
            <w:pPr>
              <w:pStyle w:val="null3"/>
              <w:ind w:firstLine="975"/>
            </w:pPr>
            <w:r>
              <w:rPr>
                <w:rFonts w:ascii="仿宋_GB2312" w:hAnsi="仿宋_GB2312" w:cs="仿宋_GB2312" w:eastAsia="仿宋_GB2312"/>
              </w:rPr>
              <w:t>踏勘地点：西安工程大学临潼校区保卫部</w:t>
            </w:r>
          </w:p>
          <w:p>
            <w:pPr>
              <w:pStyle w:val="null3"/>
              <w:ind w:firstLine="975"/>
            </w:pPr>
            <w:r>
              <w:rPr>
                <w:rFonts w:ascii="仿宋_GB2312" w:hAnsi="仿宋_GB2312" w:cs="仿宋_GB2312" w:eastAsia="仿宋_GB2312"/>
              </w:rPr>
              <w:t>联系人：屈延洁</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西安工程大学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以竞争性磋商文件及合同要求为准。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以竞争性磋商文件及合同要求为准。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联系人：代光艳、路坦</w:t>
      </w:r>
    </w:p>
    <w:p>
      <w:pPr>
        <w:pStyle w:val="null3"/>
      </w:pPr>
      <w:r>
        <w:rPr>
          <w:rFonts w:ascii="仿宋_GB2312" w:hAnsi="仿宋_GB2312" w:cs="仿宋_GB2312" w:eastAsia="仿宋_GB2312"/>
        </w:rPr>
        <w:t>联系电话：17320095323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1,914,303.58</w:t>
      </w:r>
    </w:p>
    <w:p>
      <w:pPr>
        <w:pStyle w:val="null3"/>
      </w:pPr>
      <w:r>
        <w:rPr>
          <w:rFonts w:ascii="仿宋_GB2312" w:hAnsi="仿宋_GB2312" w:cs="仿宋_GB2312" w:eastAsia="仿宋_GB2312"/>
        </w:rPr>
        <w:t>采购包最高限价（元）: 1,914,303.58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临潼校区图书馆及食堂消防设施更新改造工程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1,914,303.58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1,876,170.32</w:t>
      </w:r>
    </w:p>
    <w:p>
      <w:pPr>
        <w:pStyle w:val="null3"/>
      </w:pPr>
      <w:r>
        <w:rPr>
          <w:rFonts w:ascii="仿宋_GB2312" w:hAnsi="仿宋_GB2312" w:cs="仿宋_GB2312" w:eastAsia="仿宋_GB2312"/>
        </w:rPr>
        <w:t>采购包最高限价（元）: 1,876,170.32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临潼校区教学楼消防设施更新改造工程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1,876,170.32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标的名称：临潼校区图书馆及食堂消防设施更新改造工程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本工程位于西安市临潼区西安工程大学校区内，建筑面积约</w:t>
            </w:r>
            <w:r>
              <w:rPr>
                <w:rFonts w:ascii="仿宋_GB2312" w:hAnsi="仿宋_GB2312" w:cs="仿宋_GB2312" w:eastAsia="仿宋_GB2312"/>
                <w:sz w:val="24"/>
              </w:rPr>
              <w:t>9万平方米，最高层为6层。主要施工改造内容包含：对图书馆、综合楼及老食堂楼内的消防设施进行更新改造，包括楼宇内的火灾自动报警系统、应急照明及疏散指示系统、防火封堵等设施进行改造更新；新增室内消火栓系统；拆除部分原有门、窗改为防火门、窗户处采用水泥压力板进行防火封堵等。</w:t>
            </w:r>
          </w:p>
          <w:p>
            <w:pPr>
              <w:pStyle w:val="null3"/>
              <w:ind w:firstLine="482"/>
              <w:jc w:val="both"/>
            </w:pPr>
            <w:r>
              <w:rPr>
                <w:rFonts w:ascii="仿宋_GB2312" w:hAnsi="仿宋_GB2312" w:cs="仿宋_GB2312" w:eastAsia="仿宋_GB2312"/>
                <w:sz w:val="24"/>
                <w:b/>
              </w:rPr>
              <w:t>二、工程技术标准及要求</w:t>
            </w:r>
          </w:p>
          <w:p>
            <w:pPr>
              <w:pStyle w:val="null3"/>
              <w:ind w:firstLine="480"/>
              <w:jc w:val="both"/>
            </w:pPr>
            <w:r>
              <w:rPr>
                <w:rFonts w:ascii="仿宋_GB2312" w:hAnsi="仿宋_GB2312" w:cs="仿宋_GB2312" w:eastAsia="仿宋_GB2312"/>
                <w:sz w:val="24"/>
              </w:rPr>
              <w:t>1.本项目需执行的国家标准、行业标准、地方标准或者其他标准、规范等：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406"/>
              <w:gridCol w:w="2779"/>
            </w:tblGrid>
            <w:tr>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序号</w:t>
                  </w:r>
                </w:p>
              </w:tc>
              <w:tc>
                <w:tcPr>
                  <w:tcW w:type="dxa" w:w="27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标准、规范、规程名称</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满足国家建筑工程施工及验收规范标准以及材料、设备所涉及的现行国家、省、市或行业的工程建设标准、规范的要求；</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国家现行《建筑工程施工及验收规范》和相关技术规程；</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国家现行《工程建设标准强制性条文》、《建筑工程施工质量及验收统一标准》；</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工程所在地建设主管部门的标准、规范；</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工程所在地行业的标准、规范；</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满足《关于开展排查化解高校校内建筑消防安全隐患专项行动的通知》和</w:t>
                  </w:r>
                  <w:r>
                    <w:rPr>
                      <w:rFonts w:ascii="仿宋_GB2312" w:hAnsi="仿宋_GB2312" w:cs="仿宋_GB2312" w:eastAsia="仿宋_GB2312"/>
                      <w:sz w:val="24"/>
                    </w:rPr>
                    <w:t>“已交楼未进行消防验收”三年攻坚行动工作的有关要求；</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发包人其他具体要求；</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国家、省、市或行业的其他相关工程建设标准、规范的要求。</w:t>
                  </w:r>
                </w:p>
              </w:tc>
            </w:tr>
          </w:tbl>
          <w:p>
            <w:pPr>
              <w:pStyle w:val="null3"/>
              <w:ind w:firstLine="480"/>
              <w:jc w:val="both"/>
            </w:pPr>
            <w:r>
              <w:rPr>
                <w:rFonts w:ascii="仿宋_GB2312" w:hAnsi="仿宋_GB2312" w:cs="仿宋_GB2312" w:eastAsia="仿宋_GB2312"/>
                <w:sz w:val="24"/>
              </w:rPr>
              <w:t>2.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rPr>
              <w:t>3.本工程其他技术标准及要求执行现行规范和采购人实际需求。</w:t>
            </w:r>
          </w:p>
          <w:p>
            <w:pPr>
              <w:pStyle w:val="null3"/>
              <w:ind w:firstLine="480"/>
              <w:jc w:val="both"/>
            </w:pPr>
            <w:r>
              <w:rPr>
                <w:rFonts w:ascii="仿宋_GB2312" w:hAnsi="仿宋_GB2312" w:cs="仿宋_GB2312" w:eastAsia="仿宋_GB2312"/>
                <w:sz w:val="24"/>
              </w:rPr>
              <w:t>4.在施工过程中，如果国家或有关部门颁布了新的技术部分准或规范，则承包人应采用新的标准或规范进行施工。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rPr>
              <w:t>5.采购人提供工程的施工方案和相关技术文件，是采购人现有的能被供应商利用的资料，采购人对供应商做出的任何推论、理解均不负责任。</w:t>
            </w:r>
          </w:p>
          <w:p>
            <w:pPr>
              <w:pStyle w:val="null3"/>
              <w:ind w:firstLine="480"/>
              <w:jc w:val="both"/>
            </w:pPr>
            <w:r>
              <w:rPr>
                <w:rFonts w:ascii="仿宋_GB2312" w:hAnsi="仿宋_GB2312" w:cs="仿宋_GB2312" w:eastAsia="仿宋_GB2312"/>
                <w:sz w:val="24"/>
              </w:rPr>
              <w:t>6.供应商可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rPr>
              <w:t>7.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rPr>
              <w:t>8.成交供应商未经采购人及有关部门同意，不得擅自变更本项目在竞争性磋商过程承诺中认定的采购范围、实施组织方案和项目经理（响应文件中应明确项目经理的姓名及联系方法，以备检查）。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rPr>
              <w:t>9.成交供应商必须自行施工，不得转包、分包。</w:t>
            </w:r>
          </w:p>
          <w:p>
            <w:pPr>
              <w:pStyle w:val="null3"/>
              <w:ind w:firstLine="480"/>
              <w:jc w:val="both"/>
            </w:pPr>
            <w:r>
              <w:rPr>
                <w:rFonts w:ascii="仿宋_GB2312" w:hAnsi="仿宋_GB2312" w:cs="仿宋_GB2312" w:eastAsia="仿宋_GB2312"/>
                <w:sz w:val="24"/>
              </w:rPr>
              <w:t>10.成交供应商在施工过程中不得影响学校的日常生活、工作秩序。</w:t>
            </w:r>
          </w:p>
          <w:p>
            <w:pPr>
              <w:pStyle w:val="null3"/>
              <w:ind w:firstLine="480"/>
              <w:jc w:val="both"/>
            </w:pPr>
            <w:r>
              <w:rPr>
                <w:rFonts w:ascii="仿宋_GB2312" w:hAnsi="仿宋_GB2312" w:cs="仿宋_GB2312" w:eastAsia="仿宋_GB2312"/>
                <w:sz w:val="24"/>
              </w:rPr>
              <w:t>11.现场垃圾清运、治污减霾工作由成交供应商全权负责，供应商应负责做好项目的扬尘防治工作及垃圾清运工作。</w:t>
            </w:r>
          </w:p>
          <w:p>
            <w:pPr>
              <w:pStyle w:val="null3"/>
              <w:ind w:firstLine="480"/>
              <w:jc w:val="both"/>
            </w:pPr>
            <w:r>
              <w:rPr>
                <w:rFonts w:ascii="仿宋_GB2312" w:hAnsi="仿宋_GB2312" w:cs="仿宋_GB2312" w:eastAsia="仿宋_GB2312"/>
                <w:sz w:val="24"/>
              </w:rPr>
              <w:t>12.供应商在响应文件中须提供消防验收承诺，承诺达到属地住建部门验收标准。建筑物改造完成后，供应商承诺取得整改楼宇《建设工程消防评估论证意见函》。</w:t>
            </w:r>
          </w:p>
          <w:p>
            <w:pPr>
              <w:pStyle w:val="null3"/>
              <w:ind w:firstLine="482"/>
              <w:jc w:val="both"/>
            </w:pPr>
            <w:r>
              <w:rPr>
                <w:rFonts w:ascii="仿宋_GB2312" w:hAnsi="仿宋_GB2312" w:cs="仿宋_GB2312" w:eastAsia="仿宋_GB2312"/>
                <w:sz w:val="24"/>
                <w:b/>
              </w:rPr>
              <w:t>三、工程量清单、图纸及主要材料</w:t>
            </w:r>
          </w:p>
          <w:p>
            <w:pPr>
              <w:pStyle w:val="null3"/>
              <w:ind w:firstLine="482"/>
              <w:jc w:val="both"/>
            </w:pPr>
            <w:r>
              <w:rPr>
                <w:rFonts w:ascii="仿宋_GB2312" w:hAnsi="仿宋_GB2312" w:cs="仿宋_GB2312" w:eastAsia="仿宋_GB2312"/>
                <w:sz w:val="24"/>
                <w:b/>
              </w:rPr>
              <w:t>（一）工程量清单：</w:t>
            </w:r>
            <w:r>
              <w:rPr>
                <w:rFonts w:ascii="仿宋_GB2312" w:hAnsi="仿宋_GB2312" w:cs="仿宋_GB2312" w:eastAsia="仿宋_GB2312"/>
                <w:sz w:val="24"/>
              </w:rPr>
              <w:t>详见附件。</w:t>
            </w:r>
          </w:p>
          <w:p>
            <w:pPr>
              <w:pStyle w:val="null3"/>
              <w:ind w:firstLine="482"/>
              <w:jc w:val="both"/>
            </w:pPr>
            <w:r>
              <w:rPr>
                <w:rFonts w:ascii="仿宋_GB2312" w:hAnsi="仿宋_GB2312" w:cs="仿宋_GB2312" w:eastAsia="仿宋_GB2312"/>
                <w:sz w:val="24"/>
                <w:b/>
              </w:rPr>
              <w:t>（二）图纸：</w:t>
            </w:r>
            <w:r>
              <w:rPr>
                <w:rFonts w:ascii="仿宋_GB2312" w:hAnsi="仿宋_GB2312" w:cs="仿宋_GB2312" w:eastAsia="仿宋_GB2312"/>
                <w:sz w:val="24"/>
              </w:rPr>
              <w:t>详见附件。</w:t>
            </w:r>
          </w:p>
          <w:p>
            <w:pPr>
              <w:pStyle w:val="null3"/>
              <w:ind w:firstLine="482"/>
              <w:jc w:val="both"/>
            </w:pPr>
            <w:r>
              <w:rPr>
                <w:rFonts w:ascii="仿宋_GB2312" w:hAnsi="仿宋_GB2312" w:cs="仿宋_GB2312" w:eastAsia="仿宋_GB2312"/>
                <w:sz w:val="24"/>
                <w:b/>
              </w:rPr>
              <w:t>（三）主要材料（设备）技术参数要求</w:t>
            </w:r>
          </w:p>
          <w:tbl>
            <w:tblPr>
              <w:tblBorders>
                <w:top w:val="none" w:color="000000" w:sz="4"/>
                <w:left w:val="none" w:color="000000" w:sz="4"/>
                <w:bottom w:val="none" w:color="000000" w:sz="4"/>
                <w:right w:val="none" w:color="000000" w:sz="4"/>
                <w:insideH w:val="none"/>
                <w:insideV w:val="none"/>
              </w:tblBorders>
            </w:tblPr>
            <w:tblGrid>
              <w:gridCol w:w="243"/>
              <w:gridCol w:w="524"/>
              <w:gridCol w:w="593"/>
              <w:gridCol w:w="1232"/>
              <w:gridCol w:w="289"/>
              <w:gridCol w:w="289"/>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材料（设备）名称</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规格型号</w:t>
                  </w:r>
                </w:p>
              </w:tc>
              <w:tc>
                <w:tcPr>
                  <w:tcW w:type="dxa" w:w="1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技术参数、性能指标及配置要求</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应急照明控制箱</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740×480×210mm（高×宽×深）</w:t>
                  </w:r>
                </w:p>
                <w:p>
                  <w:pPr>
                    <w:pStyle w:val="null3"/>
                    <w:jc w:val="center"/>
                  </w:pPr>
                  <w:r>
                    <w:rPr>
                      <w:rFonts w:ascii="仿宋_GB2312" w:hAnsi="仿宋_GB2312" w:cs="仿宋_GB2312" w:eastAsia="仿宋_GB2312"/>
                      <w:sz w:val="24"/>
                    </w:rPr>
                    <w:t>（参考尺寸）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1.额定功率：1000W</w:t>
                  </w:r>
                </w:p>
                <w:p>
                  <w:pPr>
                    <w:pStyle w:val="null3"/>
                    <w:jc w:val="both"/>
                  </w:pPr>
                  <w:r>
                    <w:rPr>
                      <w:rFonts w:ascii="仿宋_GB2312" w:hAnsi="仿宋_GB2312" w:cs="仿宋_GB2312" w:eastAsia="仿宋_GB2312"/>
                      <w:sz w:val="24"/>
                    </w:rPr>
                    <w:t>2.输出电压：DC36V</w:t>
                  </w:r>
                </w:p>
                <w:p>
                  <w:pPr>
                    <w:pStyle w:val="null3"/>
                    <w:jc w:val="both"/>
                  </w:pPr>
                  <w:r>
                    <w:rPr>
                      <w:rFonts w:ascii="仿宋_GB2312" w:hAnsi="仿宋_GB2312" w:cs="仿宋_GB2312" w:eastAsia="仿宋_GB2312"/>
                      <w:sz w:val="24"/>
                    </w:rPr>
                    <w:t>3.输出支路：8回路</w:t>
                  </w:r>
                </w:p>
                <w:p>
                  <w:pPr>
                    <w:pStyle w:val="null3"/>
                    <w:jc w:val="both"/>
                  </w:pPr>
                  <w:r>
                    <w:rPr>
                      <w:rFonts w:ascii="仿宋_GB2312" w:hAnsi="仿宋_GB2312" w:cs="仿宋_GB2312" w:eastAsia="仿宋_GB2312"/>
                      <w:sz w:val="24"/>
                    </w:rPr>
                    <w:t>4.输出电流：单回路电流≤5A、总电流≤27.8A</w:t>
                  </w:r>
                </w:p>
                <w:p>
                  <w:pPr>
                    <w:pStyle w:val="null3"/>
                    <w:jc w:val="both"/>
                  </w:pPr>
                  <w:r>
                    <w:rPr>
                      <w:rFonts w:ascii="仿宋_GB2312" w:hAnsi="仿宋_GB2312" w:cs="仿宋_GB2312" w:eastAsia="仿宋_GB2312"/>
                      <w:sz w:val="24"/>
                    </w:rPr>
                    <w:t>5.额定输入电压：AC220V</w:t>
                  </w:r>
                </w:p>
                <w:p>
                  <w:pPr>
                    <w:pStyle w:val="null3"/>
                    <w:jc w:val="both"/>
                  </w:pPr>
                  <w:r>
                    <w:rPr>
                      <w:rFonts w:ascii="仿宋_GB2312" w:hAnsi="仿宋_GB2312" w:cs="仿宋_GB2312" w:eastAsia="仿宋_GB2312"/>
                      <w:sz w:val="24"/>
                    </w:rPr>
                    <w:t>6.市电频率：50Hz</w:t>
                  </w:r>
                </w:p>
                <w:p>
                  <w:pPr>
                    <w:pStyle w:val="null3"/>
                    <w:jc w:val="both"/>
                  </w:pPr>
                  <w:r>
                    <w:rPr>
                      <w:rFonts w:ascii="仿宋_GB2312" w:hAnsi="仿宋_GB2312" w:cs="仿宋_GB2312" w:eastAsia="仿宋_GB2312"/>
                      <w:sz w:val="24"/>
                    </w:rPr>
                    <w:t>7.电池类型：磷酸铁锂电池</w:t>
                  </w:r>
                </w:p>
                <w:p>
                  <w:pPr>
                    <w:pStyle w:val="null3"/>
                    <w:jc w:val="both"/>
                  </w:pPr>
                  <w:r>
                    <w:rPr>
                      <w:rFonts w:ascii="仿宋_GB2312" w:hAnsi="仿宋_GB2312" w:cs="仿宋_GB2312" w:eastAsia="仿宋_GB2312"/>
                      <w:sz w:val="24"/>
                    </w:rPr>
                    <w:t>8.电池组电压：38.4V</w:t>
                  </w:r>
                </w:p>
                <w:p>
                  <w:pPr>
                    <w:pStyle w:val="null3"/>
                    <w:jc w:val="both"/>
                  </w:pPr>
                  <w:r>
                    <w:rPr>
                      <w:rFonts w:ascii="仿宋_GB2312" w:hAnsi="仿宋_GB2312" w:cs="仿宋_GB2312" w:eastAsia="仿宋_GB2312"/>
                      <w:sz w:val="24"/>
                    </w:rPr>
                    <w:t>9.电池组容量：44Ah</w:t>
                  </w:r>
                </w:p>
                <w:p>
                  <w:pPr>
                    <w:pStyle w:val="null3"/>
                    <w:jc w:val="both"/>
                  </w:pPr>
                  <w:r>
                    <w:rPr>
                      <w:rFonts w:ascii="仿宋_GB2312" w:hAnsi="仿宋_GB2312" w:cs="仿宋_GB2312" w:eastAsia="仿宋_GB2312"/>
                      <w:sz w:val="24"/>
                    </w:rPr>
                    <w:t>10.电池组数：1组</w:t>
                  </w:r>
                </w:p>
                <w:p>
                  <w:pPr>
                    <w:pStyle w:val="null3"/>
                    <w:jc w:val="both"/>
                  </w:pPr>
                  <w:r>
                    <w:rPr>
                      <w:rFonts w:ascii="仿宋_GB2312" w:hAnsi="仿宋_GB2312" w:cs="仿宋_GB2312" w:eastAsia="仿宋_GB2312"/>
                      <w:sz w:val="24"/>
                    </w:rPr>
                    <w:t>11.防护等级：IP33</w:t>
                  </w:r>
                </w:p>
                <w:p>
                  <w:pPr>
                    <w:pStyle w:val="null3"/>
                    <w:jc w:val="both"/>
                  </w:pPr>
                  <w:r>
                    <w:rPr>
                      <w:rFonts w:ascii="仿宋_GB2312" w:hAnsi="仿宋_GB2312" w:cs="仿宋_GB2312" w:eastAsia="仿宋_GB2312"/>
                      <w:sz w:val="24"/>
                    </w:rPr>
                    <w:t>12.应急转换时间：≤0.1s</w:t>
                  </w:r>
                </w:p>
                <w:p>
                  <w:pPr>
                    <w:pStyle w:val="null3"/>
                    <w:jc w:val="both"/>
                  </w:pPr>
                  <w:r>
                    <w:rPr>
                      <w:rFonts w:ascii="仿宋_GB2312" w:hAnsi="仿宋_GB2312" w:cs="仿宋_GB2312" w:eastAsia="仿宋_GB2312"/>
                      <w:sz w:val="24"/>
                    </w:rPr>
                    <w:t>13.应急时间：≥90分钟</w:t>
                  </w:r>
                </w:p>
                <w:p>
                  <w:pPr>
                    <w:pStyle w:val="null3"/>
                    <w:jc w:val="both"/>
                  </w:pPr>
                  <w:r>
                    <w:rPr>
                      <w:rFonts w:ascii="仿宋_GB2312" w:hAnsi="仿宋_GB2312" w:cs="仿宋_GB2312" w:eastAsia="仿宋_GB2312"/>
                      <w:sz w:val="24"/>
                    </w:rPr>
                    <w:t>14.电池充电时间：≤24小时</w:t>
                  </w:r>
                </w:p>
                <w:p>
                  <w:pPr>
                    <w:pStyle w:val="null3"/>
                    <w:jc w:val="both"/>
                  </w:pPr>
                  <w:r>
                    <w:rPr>
                      <w:rFonts w:ascii="仿宋_GB2312" w:hAnsi="仿宋_GB2312" w:cs="仿宋_GB2312" w:eastAsia="仿宋_GB2312"/>
                      <w:sz w:val="24"/>
                    </w:rPr>
                    <w:t>15.保护功能：短路、开路、电池组过放</w:t>
                  </w:r>
                </w:p>
                <w:p>
                  <w:pPr>
                    <w:pStyle w:val="null3"/>
                    <w:jc w:val="both"/>
                  </w:pPr>
                  <w:r>
                    <w:rPr>
                      <w:rFonts w:ascii="仿宋_GB2312" w:hAnsi="仿宋_GB2312" w:cs="仿宋_GB2312" w:eastAsia="仿宋_GB2312"/>
                      <w:sz w:val="24"/>
                    </w:rPr>
                    <w:t>16.显示方式：LED运行状态显示、LCD汉字信息显示</w:t>
                  </w:r>
                </w:p>
                <w:p>
                  <w:pPr>
                    <w:pStyle w:val="null3"/>
                    <w:jc w:val="both"/>
                  </w:pPr>
                  <w:r>
                    <w:rPr>
                      <w:rFonts w:ascii="仿宋_GB2312" w:hAnsi="仿宋_GB2312" w:cs="仿宋_GB2312" w:eastAsia="仿宋_GB2312"/>
                      <w:sz w:val="24"/>
                    </w:rPr>
                    <w:t>17.远程通讯：通讯方式：KWIB</w:t>
                  </w:r>
                </w:p>
                <w:p>
                  <w:pPr>
                    <w:pStyle w:val="null3"/>
                    <w:jc w:val="both"/>
                  </w:pPr>
                  <w:r>
                    <w:rPr>
                      <w:rFonts w:ascii="仿宋_GB2312" w:hAnsi="仿宋_GB2312" w:cs="仿宋_GB2312" w:eastAsia="仿宋_GB2312"/>
                      <w:sz w:val="24"/>
                    </w:rPr>
                    <w:t>18.绝缘电阻：≥50MΩ</w:t>
                  </w:r>
                </w:p>
                <w:p>
                  <w:pPr>
                    <w:pStyle w:val="null3"/>
                    <w:jc w:val="both"/>
                  </w:pPr>
                  <w:r>
                    <w:rPr>
                      <w:rFonts w:ascii="仿宋_GB2312" w:hAnsi="仿宋_GB2312" w:cs="仿宋_GB2312" w:eastAsia="仿宋_GB2312"/>
                      <w:sz w:val="24"/>
                    </w:rPr>
                    <w:t>19.相对湿度：0〜90%不结露</w:t>
                  </w:r>
                </w:p>
                <w:p>
                  <w:pPr>
                    <w:pStyle w:val="null3"/>
                    <w:jc w:val="both"/>
                  </w:pPr>
                  <w:r>
                    <w:rPr>
                      <w:rFonts w:ascii="仿宋_GB2312" w:hAnsi="仿宋_GB2312" w:cs="仿宋_GB2312" w:eastAsia="仿宋_GB2312"/>
                      <w:sz w:val="24"/>
                    </w:rPr>
                    <w:t>20.环境温度：-10℃〜+55℃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区域型火灾报警控制器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540mm 高×410mm 宽×125mm 厚（参考尺寸）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1.供电主电：AC220V +10% -15% 50Hz</w:t>
                  </w:r>
                </w:p>
                <w:p>
                  <w:pPr>
                    <w:pStyle w:val="null3"/>
                    <w:jc w:val="both"/>
                  </w:pPr>
                  <w:r>
                    <w:rPr>
                      <w:rFonts w:ascii="仿宋_GB2312" w:hAnsi="仿宋_GB2312" w:cs="仿宋_GB2312" w:eastAsia="仿宋_GB2312"/>
                      <w:sz w:val="24"/>
                    </w:rPr>
                    <w:t>2.备电：DC24V    DC.12V/7Ah×2</w:t>
                  </w:r>
                </w:p>
                <w:p>
                  <w:pPr>
                    <w:pStyle w:val="null3"/>
                    <w:jc w:val="both"/>
                  </w:pPr>
                  <w:r>
                    <w:rPr>
                      <w:rFonts w:ascii="仿宋_GB2312" w:hAnsi="仿宋_GB2312" w:cs="仿宋_GB2312" w:eastAsia="仿宋_GB2312"/>
                      <w:sz w:val="24"/>
                    </w:rPr>
                    <w:t>3.系统容量：2个报警回路、2路气灭控制、6路专线控制</w:t>
                  </w:r>
                </w:p>
                <w:p>
                  <w:pPr>
                    <w:pStyle w:val="null3"/>
                    <w:jc w:val="both"/>
                  </w:pPr>
                  <w:r>
                    <w:rPr>
                      <w:rFonts w:ascii="仿宋_GB2312" w:hAnsi="仿宋_GB2312" w:cs="仿宋_GB2312" w:eastAsia="仿宋_GB2312"/>
                      <w:sz w:val="24"/>
                    </w:rPr>
                    <w:t>气灭回路容量：每回路</w:t>
                  </w:r>
                  <w:r>
                    <w:rPr>
                      <w:rFonts w:ascii="仿宋_GB2312" w:hAnsi="仿宋_GB2312" w:cs="仿宋_GB2312" w:eastAsia="仿宋_GB2312"/>
                      <w:sz w:val="24"/>
                    </w:rPr>
                    <w:t>80点（紧急启停按钮、手自动转换盒、声光警报器、输入/输出模块）</w:t>
                  </w:r>
                </w:p>
                <w:p>
                  <w:pPr>
                    <w:pStyle w:val="null3"/>
                    <w:jc w:val="both"/>
                  </w:pPr>
                  <w:r>
                    <w:rPr>
                      <w:rFonts w:ascii="仿宋_GB2312" w:hAnsi="仿宋_GB2312" w:cs="仿宋_GB2312" w:eastAsia="仿宋_GB2312"/>
                      <w:sz w:val="24"/>
                    </w:rPr>
                    <w:t>4.报警回路容量：每回路200点（编址型感烟探测器、感温探测器、手动报警按钮、消火栓报警按钮、输入模块、输入/输出模块等）</w:t>
                  </w:r>
                </w:p>
                <w:p>
                  <w:pPr>
                    <w:pStyle w:val="null3"/>
                    <w:jc w:val="both"/>
                  </w:pPr>
                  <w:r>
                    <w:rPr>
                      <w:rFonts w:ascii="仿宋_GB2312" w:hAnsi="仿宋_GB2312" w:cs="仿宋_GB2312" w:eastAsia="仿宋_GB2312"/>
                      <w:sz w:val="24"/>
                    </w:rPr>
                    <w:t>5.专线控制容量6路，每路需配接1只 JBF5155 输入/输出模块</w:t>
                  </w:r>
                </w:p>
                <w:p>
                  <w:pPr>
                    <w:pStyle w:val="null3"/>
                    <w:jc w:val="both"/>
                  </w:pPr>
                  <w:r>
                    <w:rPr>
                      <w:rFonts w:ascii="仿宋_GB2312" w:hAnsi="仿宋_GB2312" w:cs="仿宋_GB2312" w:eastAsia="仿宋_GB2312"/>
                      <w:sz w:val="24"/>
                    </w:rPr>
                    <w:t>6.输出电流：喷洒输出**电流 2A</w:t>
                  </w:r>
                </w:p>
                <w:p>
                  <w:pPr>
                    <w:pStyle w:val="null3"/>
                    <w:jc w:val="both"/>
                  </w:pPr>
                  <w:r>
                    <w:rPr>
                      <w:rFonts w:ascii="仿宋_GB2312" w:hAnsi="仿宋_GB2312" w:cs="仿宋_GB2312" w:eastAsia="仿宋_GB2312"/>
                      <w:sz w:val="24"/>
                    </w:rPr>
                    <w:t>7.工作温度：-10</w:t>
                  </w:r>
                  <w:r>
                    <w:rPr>
                      <w:rFonts w:ascii="仿宋_GB2312" w:hAnsi="仿宋_GB2312" w:cs="仿宋_GB2312" w:eastAsia="仿宋_GB2312"/>
                      <w:sz w:val="24"/>
                      <w:shd w:fill="FFFFFF" w:val="clear"/>
                    </w:rPr>
                    <w:t>~</w:t>
                  </w:r>
                  <w:r>
                    <w:rPr>
                      <w:rFonts w:ascii="仿宋_GB2312" w:hAnsi="仿宋_GB2312" w:cs="仿宋_GB2312" w:eastAsia="仿宋_GB2312"/>
                      <w:sz w:val="24"/>
                    </w:rPr>
                    <w:t>+50℃</w:t>
                  </w:r>
                </w:p>
                <w:p>
                  <w:pPr>
                    <w:pStyle w:val="null3"/>
                    <w:jc w:val="both"/>
                  </w:pPr>
                  <w:r>
                    <w:rPr>
                      <w:rFonts w:ascii="仿宋_GB2312" w:hAnsi="仿宋_GB2312" w:cs="仿宋_GB2312" w:eastAsia="仿宋_GB2312"/>
                      <w:sz w:val="24"/>
                    </w:rPr>
                    <w:t>8.贮存温度：-20</w:t>
                  </w:r>
                  <w:r>
                    <w:rPr>
                      <w:rFonts w:ascii="仿宋_GB2312" w:hAnsi="仿宋_GB2312" w:cs="仿宋_GB2312" w:eastAsia="仿宋_GB2312"/>
                      <w:sz w:val="24"/>
                      <w:shd w:fill="FFFFFF" w:val="clear"/>
                    </w:rPr>
                    <w:t>~</w:t>
                  </w:r>
                  <w:r>
                    <w:rPr>
                      <w:rFonts w:ascii="仿宋_GB2312" w:hAnsi="仿宋_GB2312" w:cs="仿宋_GB2312" w:eastAsia="仿宋_GB2312"/>
                      <w:sz w:val="24"/>
                    </w:rPr>
                    <w:t>+50℃</w:t>
                  </w:r>
                </w:p>
                <w:p>
                  <w:pPr>
                    <w:pStyle w:val="null3"/>
                    <w:jc w:val="both"/>
                  </w:pPr>
                  <w:r>
                    <w:rPr>
                      <w:rFonts w:ascii="仿宋_GB2312" w:hAnsi="仿宋_GB2312" w:cs="仿宋_GB2312" w:eastAsia="仿宋_GB2312"/>
                      <w:sz w:val="24"/>
                    </w:rPr>
                    <w:t>9.相对湿度：≤95%(40±2℃)</w:t>
                  </w:r>
                </w:p>
                <w:p>
                  <w:pPr>
                    <w:pStyle w:val="null3"/>
                    <w:jc w:val="both"/>
                  </w:pPr>
                  <w:r>
                    <w:rPr>
                      <w:rFonts w:ascii="仿宋_GB2312" w:hAnsi="仿宋_GB2312" w:cs="仿宋_GB2312" w:eastAsia="仿宋_GB2312"/>
                      <w:sz w:val="24"/>
                    </w:rPr>
                    <w:t>10.本控制器为壁挂式结构设计，可直接明装在墙壁上。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消防应急照明灯具</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120mm×40mm</w:t>
                  </w:r>
                </w:p>
                <w:p>
                  <w:pPr>
                    <w:pStyle w:val="null3"/>
                    <w:jc w:val="center"/>
                  </w:pPr>
                  <w:r>
                    <w:rPr>
                      <w:rFonts w:ascii="仿宋_GB2312" w:hAnsi="仿宋_GB2312" w:cs="仿宋_GB2312" w:eastAsia="仿宋_GB2312"/>
                      <w:sz w:val="24"/>
                    </w:rPr>
                    <w:t>（参考尺寸）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1.工作温度：-10~+55°C</w:t>
                  </w:r>
                </w:p>
                <w:p>
                  <w:pPr>
                    <w:pStyle w:val="null3"/>
                    <w:jc w:val="both"/>
                  </w:pPr>
                  <w:r>
                    <w:rPr>
                      <w:rFonts w:ascii="仿宋_GB2312" w:hAnsi="仿宋_GB2312" w:cs="仿宋_GB2312" w:eastAsia="仿宋_GB2312"/>
                      <w:sz w:val="24"/>
                    </w:rPr>
                    <w:t>2.贮存温度：-20~+65°C</w:t>
                  </w:r>
                </w:p>
                <w:p>
                  <w:pPr>
                    <w:pStyle w:val="null3"/>
                    <w:jc w:val="both"/>
                  </w:pPr>
                  <w:r>
                    <w:rPr>
                      <w:rFonts w:ascii="仿宋_GB2312" w:hAnsi="仿宋_GB2312" w:cs="仿宋_GB2312" w:eastAsia="仿宋_GB2312"/>
                      <w:sz w:val="24"/>
                    </w:rPr>
                    <w:t>3.工作相对湿度：&lt;90%（无凝露）</w:t>
                  </w:r>
                </w:p>
                <w:p>
                  <w:pPr>
                    <w:pStyle w:val="null3"/>
                    <w:jc w:val="both"/>
                  </w:pPr>
                  <w:r>
                    <w:rPr>
                      <w:rFonts w:ascii="仿宋_GB2312" w:hAnsi="仿宋_GB2312" w:cs="仿宋_GB2312" w:eastAsia="仿宋_GB2312"/>
                      <w:sz w:val="24"/>
                    </w:rPr>
                    <w:t>4.储存相对湿度：&lt;90%（无凝露）</w:t>
                  </w:r>
                </w:p>
                <w:p>
                  <w:pPr>
                    <w:pStyle w:val="null3"/>
                    <w:jc w:val="both"/>
                  </w:pPr>
                  <w:r>
                    <w:rPr>
                      <w:rFonts w:ascii="仿宋_GB2312" w:hAnsi="仿宋_GB2312" w:cs="仿宋_GB2312" w:eastAsia="仿宋_GB2312"/>
                      <w:sz w:val="24"/>
                    </w:rPr>
                    <w:t>5.额定工作电压：DC36V</w:t>
                  </w:r>
                </w:p>
                <w:p>
                  <w:pPr>
                    <w:pStyle w:val="null3"/>
                    <w:jc w:val="both"/>
                  </w:pPr>
                  <w:r>
                    <w:rPr>
                      <w:rFonts w:ascii="仿宋_GB2312" w:hAnsi="仿宋_GB2312" w:cs="仿宋_GB2312" w:eastAsia="仿宋_GB2312"/>
                      <w:sz w:val="24"/>
                    </w:rPr>
                    <w:t>6.工作方式：非持续型</w:t>
                  </w:r>
                </w:p>
                <w:p>
                  <w:pPr>
                    <w:pStyle w:val="null3"/>
                    <w:jc w:val="both"/>
                  </w:pPr>
                  <w:r>
                    <w:rPr>
                      <w:rFonts w:ascii="仿宋_GB2312" w:hAnsi="仿宋_GB2312" w:cs="仿宋_GB2312" w:eastAsia="仿宋_GB2312"/>
                      <w:sz w:val="24"/>
                    </w:rPr>
                    <w:t>7.光源：高亮、低功耗LED</w:t>
                  </w:r>
                </w:p>
                <w:p>
                  <w:pPr>
                    <w:pStyle w:val="null3"/>
                    <w:jc w:val="both"/>
                  </w:pPr>
                  <w:r>
                    <w:rPr>
                      <w:rFonts w:ascii="仿宋_GB2312" w:hAnsi="仿宋_GB2312" w:cs="仿宋_GB2312" w:eastAsia="仿宋_GB2312"/>
                      <w:sz w:val="24"/>
                    </w:rPr>
                    <w:t>应急时间</w:t>
                  </w:r>
                  <w:r>
                    <w:rPr>
                      <w:rFonts w:ascii="仿宋_GB2312" w:hAnsi="仿宋_GB2312" w:cs="仿宋_GB2312" w:eastAsia="仿宋_GB2312"/>
                      <w:sz w:val="24"/>
                    </w:rPr>
                    <w:t>&gt;=90min</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626</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疏散指示标志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尺寸：</w:t>
                  </w:r>
                  <w:r>
                    <w:rPr>
                      <w:rFonts w:ascii="仿宋_GB2312" w:hAnsi="仿宋_GB2312" w:cs="仿宋_GB2312" w:eastAsia="仿宋_GB2312"/>
                      <w:sz w:val="24"/>
                    </w:rPr>
                    <w:t>352×138×8mm</w:t>
                  </w:r>
                </w:p>
                <w:p>
                  <w:pPr>
                    <w:pStyle w:val="null3"/>
                    <w:jc w:val="center"/>
                  </w:pPr>
                  <w:r>
                    <w:rPr>
                      <w:rFonts w:ascii="仿宋_GB2312" w:hAnsi="仿宋_GB2312" w:cs="仿宋_GB2312" w:eastAsia="仿宋_GB2312"/>
                      <w:sz w:val="24"/>
                    </w:rPr>
                    <w:t>（参考尺寸）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1.功率：4W</w:t>
                  </w:r>
                </w:p>
                <w:p>
                  <w:pPr>
                    <w:pStyle w:val="null3"/>
                    <w:jc w:val="both"/>
                  </w:pPr>
                  <w:r>
                    <w:rPr>
                      <w:rFonts w:ascii="仿宋_GB2312" w:hAnsi="仿宋_GB2312" w:cs="仿宋_GB2312" w:eastAsia="仿宋_GB2312"/>
                      <w:sz w:val="24"/>
                    </w:rPr>
                    <w:t>2.应急时间：≥90min</w:t>
                  </w:r>
                </w:p>
                <w:p>
                  <w:pPr>
                    <w:pStyle w:val="null3"/>
                    <w:jc w:val="both"/>
                  </w:pPr>
                  <w:r>
                    <w:rPr>
                      <w:rFonts w:ascii="仿宋_GB2312" w:hAnsi="仿宋_GB2312" w:cs="仿宋_GB2312" w:eastAsia="仿宋_GB2312"/>
                      <w:sz w:val="24"/>
                    </w:rPr>
                    <w:t>3.电压：24V/36V/220V高低压通用</w:t>
                  </w:r>
                </w:p>
                <w:p>
                  <w:pPr>
                    <w:pStyle w:val="null3"/>
                    <w:jc w:val="both"/>
                  </w:pPr>
                  <w:r>
                    <w:rPr>
                      <w:rFonts w:ascii="仿宋_GB2312" w:hAnsi="仿宋_GB2312" w:cs="仿宋_GB2312" w:eastAsia="仿宋_GB2312"/>
                      <w:sz w:val="24"/>
                    </w:rPr>
                    <w:t>4.材质：不锈钢</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618</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闭门器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国标尺寸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1.材质：高压铸铝阀体、耐高温液压油、钢制连杆；</w:t>
                  </w:r>
                </w:p>
                <w:p>
                  <w:pPr>
                    <w:pStyle w:val="null3"/>
                    <w:jc w:val="left"/>
                  </w:pPr>
                  <w:r>
                    <w:rPr>
                      <w:rFonts w:ascii="仿宋_GB2312" w:hAnsi="仿宋_GB2312" w:cs="仿宋_GB2312" w:eastAsia="仿宋_GB2312"/>
                      <w:sz w:val="24"/>
                    </w:rPr>
                    <w:t>2.耐火要求：随防火门整体通过耐火1.5h实验，高温不融化、不漏油。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227</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顺位器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国标尺寸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1.材质：钢制/304不锈钢</w:t>
                  </w:r>
                </w:p>
                <w:p>
                  <w:pPr>
                    <w:pStyle w:val="null3"/>
                    <w:jc w:val="left"/>
                  </w:pPr>
                  <w:r>
                    <w:rPr>
                      <w:rFonts w:ascii="仿宋_GB2312" w:hAnsi="仿宋_GB2312" w:cs="仿宋_GB2312" w:eastAsia="仿宋_GB2312"/>
                      <w:sz w:val="24"/>
                    </w:rPr>
                    <w:t>2.耐火要求：随防火门整体通过耐火1.5h实验，高温不融化、不漏油。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12mm厚耐火石膏板</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12mm</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1.导热系数：0.16-0.19W。</w:t>
                  </w:r>
                </w:p>
                <w:p>
                  <w:pPr>
                    <w:pStyle w:val="null3"/>
                    <w:jc w:val="left"/>
                  </w:pPr>
                  <w:r>
                    <w:rPr>
                      <w:rFonts w:ascii="仿宋_GB2312" w:hAnsi="仿宋_GB2312" w:cs="仿宋_GB2312" w:eastAsia="仿宋_GB2312"/>
                      <w:sz w:val="24"/>
                    </w:rPr>
                    <w:t>2.适用温度：-20℃-60℃，短时火场1000℃高温维持结构完整。</w:t>
                  </w:r>
                </w:p>
                <w:p>
                  <w:pPr>
                    <w:pStyle w:val="null3"/>
                    <w:jc w:val="left"/>
                  </w:pPr>
                  <w:r>
                    <w:rPr>
                      <w:rFonts w:ascii="仿宋_GB2312" w:hAnsi="仿宋_GB2312" w:cs="仿宋_GB2312" w:eastAsia="仿宋_GB2312"/>
                      <w:sz w:val="24"/>
                    </w:rPr>
                    <w:t>3.环保无石棉、甲醛，烟毒等级AQ1低毒安全级。</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339</w:t>
                  </w:r>
                </w:p>
              </w:tc>
            </w:tr>
          </w:tbl>
          <w:p>
            <w:pPr>
              <w:pStyle w:val="null3"/>
              <w:ind w:firstLine="482"/>
              <w:jc w:val="both"/>
            </w:pPr>
            <w:r>
              <w:rPr>
                <w:rFonts w:ascii="仿宋_GB2312" w:hAnsi="仿宋_GB2312" w:cs="仿宋_GB2312" w:eastAsia="仿宋_GB2312"/>
                <w:sz w:val="24"/>
                <w:b/>
              </w:rPr>
              <w:t>备注：</w:t>
            </w:r>
          </w:p>
          <w:p>
            <w:pPr>
              <w:pStyle w:val="null3"/>
              <w:ind w:firstLine="480"/>
              <w:jc w:val="both"/>
            </w:pPr>
            <w:r>
              <w:rPr>
                <w:rFonts w:ascii="仿宋_GB2312" w:hAnsi="仿宋_GB2312" w:cs="仿宋_GB2312" w:eastAsia="仿宋_GB2312"/>
                <w:sz w:val="24"/>
              </w:rPr>
              <w:t>本工程中所用材料必须符合国家、行业标准，供应商在响应文件须注明品牌。所有原材料进场前须由成交供应商提供样品，经校方及监理方考察认质，认定样品质量后封存，大批量材料进场时比对查验，上述常规因素供应商组价时须一并考虑。在施工过程中成交供应商若提出性能、质量、品质、实力等同于或高于投标时的选定的产品或厂家时，必须经采购人书面同意，但由此增加的费用由供应商自行承担。</w:t>
            </w:r>
          </w:p>
          <w:p>
            <w:pPr>
              <w:pStyle w:val="null3"/>
              <w:ind w:firstLine="482"/>
              <w:jc w:val="both"/>
            </w:pPr>
            <w:r>
              <w:rPr>
                <w:rFonts w:ascii="仿宋_GB2312" w:hAnsi="仿宋_GB2312" w:cs="仿宋_GB2312" w:eastAsia="仿宋_GB2312"/>
                <w:sz w:val="24"/>
                <w:b/>
              </w:rPr>
              <w:t>四、商务要求</w:t>
            </w:r>
          </w:p>
          <w:p>
            <w:pPr>
              <w:pStyle w:val="null3"/>
              <w:ind w:firstLine="482"/>
              <w:jc w:val="both"/>
            </w:pPr>
            <w:r>
              <w:rPr>
                <w:rFonts w:ascii="仿宋_GB2312" w:hAnsi="仿宋_GB2312" w:cs="仿宋_GB2312" w:eastAsia="仿宋_GB2312"/>
                <w:sz w:val="24"/>
                <w:b/>
              </w:rPr>
              <w:t>（一）工期：</w:t>
            </w:r>
            <w:r>
              <w:rPr>
                <w:rFonts w:ascii="仿宋_GB2312" w:hAnsi="仿宋_GB2312" w:cs="仿宋_GB2312" w:eastAsia="仿宋_GB2312"/>
                <w:sz w:val="24"/>
              </w:rPr>
              <w:t>自接到采购人开工通知之日起</w:t>
            </w:r>
            <w:r>
              <w:rPr>
                <w:rFonts w:ascii="仿宋_GB2312" w:hAnsi="仿宋_GB2312" w:cs="仿宋_GB2312" w:eastAsia="仿宋_GB2312"/>
                <w:sz w:val="24"/>
              </w:rPr>
              <w:t>20个日历天，具体以项目实际需求及采购人要求为准。</w:t>
            </w:r>
          </w:p>
          <w:p>
            <w:pPr>
              <w:pStyle w:val="null3"/>
              <w:ind w:firstLine="482"/>
              <w:jc w:val="both"/>
            </w:pPr>
            <w:r>
              <w:rPr>
                <w:rFonts w:ascii="仿宋_GB2312" w:hAnsi="仿宋_GB2312" w:cs="仿宋_GB2312" w:eastAsia="仿宋_GB2312"/>
                <w:sz w:val="24"/>
                <w:b/>
              </w:rPr>
              <w:t>（二）工程地点：</w:t>
            </w:r>
            <w:r>
              <w:rPr>
                <w:rFonts w:ascii="仿宋_GB2312" w:hAnsi="仿宋_GB2312" w:cs="仿宋_GB2312" w:eastAsia="仿宋_GB2312"/>
                <w:sz w:val="24"/>
              </w:rPr>
              <w:t>西安工程大学临潼校区。</w:t>
            </w:r>
          </w:p>
          <w:p>
            <w:pPr>
              <w:pStyle w:val="null3"/>
              <w:ind w:firstLine="482"/>
              <w:jc w:val="both"/>
            </w:pPr>
            <w:r>
              <w:rPr>
                <w:rFonts w:ascii="仿宋_GB2312" w:hAnsi="仿宋_GB2312" w:cs="仿宋_GB2312" w:eastAsia="仿宋_GB2312"/>
                <w:sz w:val="24"/>
                <w:b/>
              </w:rPr>
              <w:t>（三）质量要求：</w:t>
            </w:r>
            <w:r>
              <w:rPr>
                <w:rFonts w:ascii="仿宋_GB2312" w:hAnsi="仿宋_GB2312" w:cs="仿宋_GB2312" w:eastAsia="仿宋_GB2312"/>
                <w:sz w:val="24"/>
              </w:rPr>
              <w:t>符合本工程竞争性磋商文件技术要求及国家、行业标准，达到合格。</w:t>
            </w:r>
          </w:p>
          <w:p>
            <w:pPr>
              <w:pStyle w:val="null3"/>
              <w:ind w:firstLine="482"/>
              <w:jc w:val="both"/>
            </w:pPr>
            <w:r>
              <w:rPr>
                <w:rFonts w:ascii="仿宋_GB2312" w:hAnsi="仿宋_GB2312" w:cs="仿宋_GB2312" w:eastAsia="仿宋_GB2312"/>
                <w:sz w:val="24"/>
                <w:b/>
              </w:rPr>
              <w:t>（四）付款方式：</w:t>
            </w:r>
          </w:p>
          <w:p>
            <w:pPr>
              <w:pStyle w:val="null3"/>
              <w:ind w:firstLine="480"/>
              <w:jc w:val="both"/>
            </w:pPr>
            <w:r>
              <w:rPr>
                <w:rFonts w:ascii="仿宋_GB2312" w:hAnsi="仿宋_GB2312" w:cs="仿宋_GB2312" w:eastAsia="仿宋_GB2312"/>
                <w:sz w:val="24"/>
              </w:rPr>
              <w:t>合同签订后，待成交供应商向采购人提供预付款等额的银行保函后，采购人向成交供应商支付合同总价款的</w:t>
            </w:r>
            <w:r>
              <w:rPr>
                <w:rFonts w:ascii="仿宋_GB2312" w:hAnsi="仿宋_GB2312" w:cs="仿宋_GB2312" w:eastAsia="仿宋_GB2312"/>
                <w:sz w:val="24"/>
              </w:rPr>
              <w:t>40%作为预付款；待正式审计报告出具后采购人办理完校内工程款支付审批手续后，支付至工程审定造价的</w:t>
            </w:r>
            <w:r>
              <w:rPr>
                <w:rFonts w:ascii="仿宋_GB2312" w:hAnsi="仿宋_GB2312" w:cs="仿宋_GB2312" w:eastAsia="仿宋_GB2312"/>
                <w:sz w:val="24"/>
              </w:rPr>
              <w:t>95%</w:t>
            </w:r>
            <w:r>
              <w:rPr>
                <w:rFonts w:ascii="仿宋_GB2312" w:hAnsi="仿宋_GB2312" w:cs="仿宋_GB2312" w:eastAsia="仿宋_GB2312"/>
                <w:sz w:val="24"/>
              </w:rPr>
              <w:t>；</w:t>
            </w:r>
            <w:r>
              <w:rPr>
                <w:rFonts w:ascii="仿宋_GB2312" w:hAnsi="仿宋_GB2312" w:cs="仿宋_GB2312" w:eastAsia="仿宋_GB2312"/>
                <w:sz w:val="24"/>
              </w:rPr>
              <w:t>剩余</w:t>
            </w:r>
            <w:r>
              <w:rPr>
                <w:rFonts w:ascii="仿宋_GB2312" w:hAnsi="仿宋_GB2312" w:cs="仿宋_GB2312" w:eastAsia="仿宋_GB2312"/>
                <w:sz w:val="24"/>
              </w:rPr>
              <w:t>5%余款在乙方履行保修义务无质量问题后支付。</w:t>
            </w:r>
            <w:r>
              <w:rPr>
                <w:rFonts w:ascii="仿宋_GB2312" w:hAnsi="仿宋_GB2312" w:cs="仿宋_GB2312" w:eastAsia="仿宋_GB2312"/>
                <w:sz w:val="24"/>
              </w:rPr>
              <w:t>每次付款前，成交供应商需向采购人出具合法有效的等额增值税专用或普通发票。若因成交供应商未开具或逾期开具合法有效的发票，采购人有权顺延付款期限且不承担逾期付款责任。</w:t>
            </w:r>
          </w:p>
          <w:p>
            <w:pPr>
              <w:pStyle w:val="null3"/>
              <w:ind w:firstLine="482"/>
              <w:jc w:val="both"/>
            </w:pPr>
            <w:r>
              <w:rPr>
                <w:rFonts w:ascii="仿宋_GB2312" w:hAnsi="仿宋_GB2312" w:cs="仿宋_GB2312" w:eastAsia="仿宋_GB2312"/>
                <w:sz w:val="24"/>
                <w:b/>
              </w:rPr>
              <w:t>（五）结算方式：</w:t>
            </w:r>
          </w:p>
          <w:p>
            <w:pPr>
              <w:pStyle w:val="null3"/>
              <w:ind w:firstLine="480"/>
              <w:jc w:val="both"/>
            </w:pPr>
            <w:r>
              <w:rPr>
                <w:rFonts w:ascii="仿宋_GB2312" w:hAnsi="仿宋_GB2312" w:cs="仿宋_GB2312" w:eastAsia="仿宋_GB2312"/>
                <w:sz w:val="24"/>
              </w:rPr>
              <w:t>1.本工程为包工包料、包工期、包质量、包安全、包文明施工的施工总承包。工程发包采用固定单价合同，投标综合单价在约定的范围内不变。招标范围内执行成交供应商中标综合单价，工程量据实结算。施工合同以外经采购人批准的工程价款确认办法：合同中已有适用于变更工程的价格，按合同已有价格；合同中没有适用的单价，由成交供应商提出变更认价报告，采购人对主材认价，相关取费参照《陕西省建设工程费用规则（2025）》、《陕西省房屋建筑与装饰工程消耗量定额（2025）》、《陕西省通用安装工程消耗量定额（2025）》及其配套的2025基价表和学校相关规定执行。</w:t>
            </w:r>
          </w:p>
          <w:p>
            <w:pPr>
              <w:pStyle w:val="null3"/>
              <w:ind w:firstLine="480"/>
              <w:jc w:val="both"/>
            </w:pPr>
            <w:r>
              <w:rPr>
                <w:rFonts w:ascii="仿宋_GB2312" w:hAnsi="仿宋_GB2312" w:cs="仿宋_GB2312" w:eastAsia="仿宋_GB2312"/>
                <w:sz w:val="24"/>
              </w:rPr>
              <w:t>2.本项目招标工程量为暂定量，结算时，依据采购人审定的工程量，按实际发生量据实结算，工程价款结算时依据最终价款和一次报价的下浮比例执行。</w:t>
            </w:r>
          </w:p>
          <w:p>
            <w:pPr>
              <w:pStyle w:val="null3"/>
              <w:ind w:firstLine="480"/>
              <w:jc w:val="both"/>
            </w:pPr>
            <w:r>
              <w:rPr>
                <w:rFonts w:ascii="仿宋_GB2312" w:hAnsi="仿宋_GB2312" w:cs="仿宋_GB2312" w:eastAsia="仿宋_GB2312"/>
                <w:sz w:val="24"/>
              </w:rPr>
              <w:t>3.工程施工结算阶段，成交供应商应据实申报结算资料及组价，经审计后审减率超出10%（含10%）时，发生的审计成果费由成交供应商承担。</w:t>
            </w:r>
          </w:p>
          <w:p>
            <w:pPr>
              <w:pStyle w:val="null3"/>
              <w:ind w:firstLine="480"/>
              <w:jc w:val="both"/>
            </w:pPr>
            <w:r>
              <w:rPr>
                <w:rFonts w:ascii="仿宋_GB2312" w:hAnsi="仿宋_GB2312" w:cs="仿宋_GB2312" w:eastAsia="仿宋_GB2312"/>
                <w:sz w:val="24"/>
              </w:rPr>
              <w:t>4.本工程所发生的水电费按工程审定造价的5‰（其中电费为3‰，水费为2‰）从工程款项中一次性扣除。</w:t>
            </w:r>
          </w:p>
          <w:p>
            <w:pPr>
              <w:pStyle w:val="null3"/>
              <w:ind w:firstLine="480"/>
              <w:jc w:val="both"/>
            </w:pPr>
            <w:r>
              <w:rPr>
                <w:rFonts w:ascii="仿宋_GB2312" w:hAnsi="仿宋_GB2312" w:cs="仿宋_GB2312" w:eastAsia="仿宋_GB2312"/>
                <w:sz w:val="24"/>
              </w:rPr>
              <w:t>5.因施工产生的建筑垃圾及清运均包含在综合单价内，不再另行计费。</w:t>
            </w:r>
          </w:p>
          <w:p>
            <w:pPr>
              <w:pStyle w:val="null3"/>
              <w:ind w:firstLine="480"/>
              <w:jc w:val="both"/>
            </w:pPr>
            <w:r>
              <w:rPr>
                <w:rFonts w:ascii="仿宋_GB2312" w:hAnsi="仿宋_GB2312" w:cs="仿宋_GB2312" w:eastAsia="仿宋_GB2312"/>
                <w:sz w:val="24"/>
              </w:rPr>
              <w:t>6.所有分项工程施工工艺需由成交供应商根据行业规范及现场实际情况科学组价，与施工相关的一切费用均包含在相关综合单价中，不再另行计费。</w:t>
            </w:r>
          </w:p>
          <w:p>
            <w:pPr>
              <w:pStyle w:val="null3"/>
              <w:ind w:firstLine="480"/>
              <w:jc w:val="both"/>
            </w:pPr>
            <w:r>
              <w:rPr>
                <w:rFonts w:ascii="仿宋_GB2312" w:hAnsi="仿宋_GB2312" w:cs="仿宋_GB2312" w:eastAsia="仿宋_GB2312"/>
                <w:sz w:val="24"/>
              </w:rPr>
              <w:t>7.本工程若需到相应行政管理机关办理审批、备案手续的，由成交供应商负责，由此发生的一切其他费用概由成交供应商承担。</w:t>
            </w:r>
          </w:p>
          <w:p>
            <w:pPr>
              <w:pStyle w:val="null3"/>
              <w:ind w:firstLine="480"/>
              <w:jc w:val="both"/>
            </w:pPr>
            <w:r>
              <w:rPr>
                <w:rFonts w:ascii="仿宋_GB2312" w:hAnsi="仿宋_GB2312" w:cs="仿宋_GB2312" w:eastAsia="仿宋_GB2312"/>
                <w:sz w:val="24"/>
              </w:rPr>
              <w:t>8.本工程内容包括二次深化设计，由此产生的一切其他费用均由成交供应商承担。</w:t>
            </w:r>
          </w:p>
          <w:p>
            <w:pPr>
              <w:pStyle w:val="null3"/>
              <w:ind w:firstLine="480"/>
              <w:jc w:val="both"/>
            </w:pPr>
            <w:r>
              <w:rPr>
                <w:rFonts w:ascii="仿宋_GB2312" w:hAnsi="仿宋_GB2312" w:cs="仿宋_GB2312" w:eastAsia="仿宋_GB2312"/>
                <w:sz w:val="24"/>
              </w:rPr>
              <w:t>9.本工程应严格执行施工工期，每无故拖延一天，按照合同价的1%按天累计从工程款项中一次性扣除。</w:t>
            </w:r>
          </w:p>
          <w:p>
            <w:pPr>
              <w:pStyle w:val="null3"/>
              <w:ind w:firstLine="482"/>
              <w:jc w:val="both"/>
            </w:pPr>
            <w:r>
              <w:rPr>
                <w:rFonts w:ascii="仿宋_GB2312" w:hAnsi="仿宋_GB2312" w:cs="仿宋_GB2312" w:eastAsia="仿宋_GB2312"/>
                <w:sz w:val="24"/>
                <w:b/>
              </w:rPr>
              <w:t>（六）质量保证期及保修要求</w:t>
            </w:r>
          </w:p>
          <w:p>
            <w:pPr>
              <w:pStyle w:val="null3"/>
              <w:ind w:firstLine="480"/>
              <w:jc w:val="both"/>
            </w:pPr>
            <w:r>
              <w:rPr>
                <w:rFonts w:ascii="仿宋_GB2312" w:hAnsi="仿宋_GB2312" w:cs="仿宋_GB2312" w:eastAsia="仿宋_GB2312"/>
                <w:sz w:val="24"/>
              </w:rPr>
              <w:t>1.质量保证期：自本项目竣工验收合格通过之日起2年，供应商可在此基础上根据自身情况自主响应予以延长。</w:t>
            </w:r>
          </w:p>
          <w:p>
            <w:pPr>
              <w:pStyle w:val="null3"/>
              <w:ind w:firstLine="480"/>
              <w:jc w:val="both"/>
            </w:pPr>
            <w:r>
              <w:rPr>
                <w:rFonts w:ascii="仿宋_GB2312" w:hAnsi="仿宋_GB2312" w:cs="仿宋_GB2312" w:eastAsia="仿宋_GB2312"/>
                <w:sz w:val="24"/>
              </w:rPr>
              <w:t>2.保修要求（含维修响应条件、培训要求等）：质保期内如因施工及设备质量问题需要维修，成交供应商应保证48小时内提供维修方案，5天内完成维修，无条件免费维修，否则采购人有权另行委托他人完成，所发生的费用均由成交供应商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标的名称：临潼校区教学楼消防设施更新改造工程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本工程位于西安市临潼区西安工程大学校区内，建筑面积约</w:t>
            </w:r>
            <w:r>
              <w:rPr>
                <w:rFonts w:ascii="仿宋_GB2312" w:hAnsi="仿宋_GB2312" w:cs="仿宋_GB2312" w:eastAsia="仿宋_GB2312"/>
                <w:sz w:val="24"/>
              </w:rPr>
              <w:t>11万平方米，最高层为6层。主要施工改造内容包含：对教学楼ABCD、人文楼、工训中心、南锅炉房、校医院、大学生活动中心的消防设施进行更新改造，包括楼宇内的火灾自动报警系统、应急照明及疏散指示系统、防火封堵等设施进行改造更新；新增室内消火栓系统；拆除部分原有门、窗改为防火门等。</w:t>
            </w:r>
          </w:p>
          <w:p>
            <w:pPr>
              <w:pStyle w:val="null3"/>
              <w:ind w:firstLine="482"/>
              <w:jc w:val="both"/>
            </w:pPr>
            <w:r>
              <w:rPr>
                <w:rFonts w:ascii="仿宋_GB2312" w:hAnsi="仿宋_GB2312" w:cs="仿宋_GB2312" w:eastAsia="仿宋_GB2312"/>
                <w:sz w:val="24"/>
                <w:b/>
              </w:rPr>
              <w:t>二、工程技术标准及要求</w:t>
            </w:r>
          </w:p>
          <w:p>
            <w:pPr>
              <w:pStyle w:val="null3"/>
              <w:ind w:firstLine="480"/>
              <w:jc w:val="both"/>
            </w:pPr>
            <w:r>
              <w:rPr>
                <w:rFonts w:ascii="仿宋_GB2312" w:hAnsi="仿宋_GB2312" w:cs="仿宋_GB2312" w:eastAsia="仿宋_GB2312"/>
                <w:sz w:val="24"/>
              </w:rPr>
              <w:t>1.本项目需执行的国家标准、行业标准、地方标准或者其他标准、规范等：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406"/>
              <w:gridCol w:w="2779"/>
            </w:tblGrid>
            <w:tr>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序号</w:t>
                  </w:r>
                </w:p>
              </w:tc>
              <w:tc>
                <w:tcPr>
                  <w:tcW w:type="dxa" w:w="27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标准、规范、规程名称</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满足国家建筑工程施工及验收规范标准以及材料、设备所涉及的现行国家、省、市或行业的工程建设标准、规范的要求；</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国家现行《建筑工程施工及验收规范》和相关技术规程；</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国家现行《工程建设标准强制性条文》、《建筑工程施工质量及验收统一标准》；</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工程所在地建设主管部门的标准、规范；</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工程所在地行业的标准、规范；</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满足《关于开展排查化解高校校内建筑消防安全隐患专项行动的通知》和</w:t>
                  </w:r>
                  <w:r>
                    <w:rPr>
                      <w:rFonts w:ascii="仿宋_GB2312" w:hAnsi="仿宋_GB2312" w:cs="仿宋_GB2312" w:eastAsia="仿宋_GB2312"/>
                      <w:sz w:val="24"/>
                    </w:rPr>
                    <w:t>“已交楼未进行消防验收”三年攻坚行动工作的有关要求；</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发包人的具体要求；</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27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国家、省、市或行业的其他相关工程建设标准、规范的要求。</w:t>
                  </w:r>
                </w:p>
              </w:tc>
            </w:tr>
          </w:tbl>
          <w:p>
            <w:pPr>
              <w:pStyle w:val="null3"/>
              <w:ind w:firstLine="480"/>
              <w:jc w:val="both"/>
            </w:pPr>
            <w:r>
              <w:rPr>
                <w:rFonts w:ascii="仿宋_GB2312" w:hAnsi="仿宋_GB2312" w:cs="仿宋_GB2312" w:eastAsia="仿宋_GB2312"/>
                <w:sz w:val="24"/>
              </w:rPr>
              <w:t>2.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rPr>
              <w:t>3.本工程其他技术标准及要求执行现行规范和采购人实际需求。</w:t>
            </w:r>
          </w:p>
          <w:p>
            <w:pPr>
              <w:pStyle w:val="null3"/>
              <w:ind w:firstLine="480"/>
              <w:jc w:val="both"/>
            </w:pPr>
            <w:r>
              <w:rPr>
                <w:rFonts w:ascii="仿宋_GB2312" w:hAnsi="仿宋_GB2312" w:cs="仿宋_GB2312" w:eastAsia="仿宋_GB2312"/>
                <w:sz w:val="24"/>
              </w:rPr>
              <w:t>4.在施工过程中，如果国家或有关部门颁布了新的技术部分准或规范，则承包人应采用新的标准或规范进行施工。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rPr>
              <w:t>5.采购人提供工程的施工方案和相关技术文件，是采购人现有的能被供应商利用的资料，采购人对供应商做出的任何推论、理解均不负责任。</w:t>
            </w:r>
          </w:p>
          <w:p>
            <w:pPr>
              <w:pStyle w:val="null3"/>
              <w:ind w:firstLine="480"/>
              <w:jc w:val="both"/>
            </w:pPr>
            <w:r>
              <w:rPr>
                <w:rFonts w:ascii="仿宋_GB2312" w:hAnsi="仿宋_GB2312" w:cs="仿宋_GB2312" w:eastAsia="仿宋_GB2312"/>
                <w:sz w:val="24"/>
              </w:rPr>
              <w:t>6.供应商可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rPr>
              <w:t>7.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rPr>
              <w:t>8.成交供应商未经采购人及有关部门同意，不得擅自变更本项目在竞争性磋商过程承诺中认定的采购范围、实施组织方案和项目经理（响应文件中应明确项目经理的姓名及联系方法，以备检查）。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rPr>
              <w:t>9.成交供应商必须自行施工，不得转包、分包。</w:t>
            </w:r>
          </w:p>
          <w:p>
            <w:pPr>
              <w:pStyle w:val="null3"/>
              <w:ind w:firstLine="480"/>
              <w:jc w:val="both"/>
            </w:pPr>
            <w:r>
              <w:rPr>
                <w:rFonts w:ascii="仿宋_GB2312" w:hAnsi="仿宋_GB2312" w:cs="仿宋_GB2312" w:eastAsia="仿宋_GB2312"/>
                <w:sz w:val="24"/>
              </w:rPr>
              <w:t>10.成交供应商在施工过程中不得影响学校的日常生活、工作秩序。</w:t>
            </w:r>
          </w:p>
          <w:p>
            <w:pPr>
              <w:pStyle w:val="null3"/>
              <w:ind w:firstLine="480"/>
              <w:jc w:val="both"/>
            </w:pPr>
            <w:r>
              <w:rPr>
                <w:rFonts w:ascii="仿宋_GB2312" w:hAnsi="仿宋_GB2312" w:cs="仿宋_GB2312" w:eastAsia="仿宋_GB2312"/>
                <w:sz w:val="24"/>
              </w:rPr>
              <w:t>11.现场垃圾清运、治污减霾工作由成交供应商全权负责，供应商应负责做好项目的扬尘防治工作及垃圾清运工作。</w:t>
            </w:r>
          </w:p>
          <w:p>
            <w:pPr>
              <w:pStyle w:val="null3"/>
              <w:ind w:firstLine="480"/>
              <w:jc w:val="both"/>
            </w:pPr>
            <w:r>
              <w:rPr>
                <w:rFonts w:ascii="仿宋_GB2312" w:hAnsi="仿宋_GB2312" w:cs="仿宋_GB2312" w:eastAsia="仿宋_GB2312"/>
                <w:sz w:val="24"/>
              </w:rPr>
              <w:t>12.供应商在响应文件中须提供消防验收承诺，承诺达到属地住建部门验收标准。建筑物改造完成后，供应商承诺取得整改楼宇《建设工程消防评估论证意见函》。</w:t>
            </w:r>
          </w:p>
          <w:p>
            <w:pPr>
              <w:pStyle w:val="null3"/>
              <w:ind w:firstLine="482"/>
              <w:jc w:val="both"/>
            </w:pPr>
            <w:r>
              <w:rPr>
                <w:rFonts w:ascii="仿宋_GB2312" w:hAnsi="仿宋_GB2312" w:cs="仿宋_GB2312" w:eastAsia="仿宋_GB2312"/>
                <w:sz w:val="24"/>
                <w:b/>
              </w:rPr>
              <w:t>三、工程量清单、图纸及主要材料</w:t>
            </w:r>
          </w:p>
          <w:p>
            <w:pPr>
              <w:pStyle w:val="null3"/>
              <w:ind w:firstLine="482"/>
              <w:jc w:val="both"/>
            </w:pPr>
            <w:r>
              <w:rPr>
                <w:rFonts w:ascii="仿宋_GB2312" w:hAnsi="仿宋_GB2312" w:cs="仿宋_GB2312" w:eastAsia="仿宋_GB2312"/>
                <w:sz w:val="24"/>
                <w:b/>
              </w:rPr>
              <w:t>（一）工程量清单：</w:t>
            </w:r>
            <w:r>
              <w:rPr>
                <w:rFonts w:ascii="仿宋_GB2312" w:hAnsi="仿宋_GB2312" w:cs="仿宋_GB2312" w:eastAsia="仿宋_GB2312"/>
                <w:sz w:val="24"/>
              </w:rPr>
              <w:t>详见附件。</w:t>
            </w:r>
          </w:p>
          <w:p>
            <w:pPr>
              <w:pStyle w:val="null3"/>
              <w:ind w:firstLine="482"/>
              <w:jc w:val="both"/>
            </w:pPr>
            <w:r>
              <w:rPr>
                <w:rFonts w:ascii="仿宋_GB2312" w:hAnsi="仿宋_GB2312" w:cs="仿宋_GB2312" w:eastAsia="仿宋_GB2312"/>
                <w:sz w:val="24"/>
                <w:b/>
              </w:rPr>
              <w:t>（二）图纸：</w:t>
            </w:r>
            <w:r>
              <w:rPr>
                <w:rFonts w:ascii="仿宋_GB2312" w:hAnsi="仿宋_GB2312" w:cs="仿宋_GB2312" w:eastAsia="仿宋_GB2312"/>
                <w:sz w:val="24"/>
              </w:rPr>
              <w:t>详见附件。</w:t>
            </w:r>
          </w:p>
          <w:p>
            <w:pPr>
              <w:pStyle w:val="null3"/>
              <w:ind w:firstLine="482"/>
              <w:jc w:val="both"/>
            </w:pPr>
            <w:r>
              <w:rPr>
                <w:rFonts w:ascii="仿宋_GB2312" w:hAnsi="仿宋_GB2312" w:cs="仿宋_GB2312" w:eastAsia="仿宋_GB2312"/>
                <w:sz w:val="24"/>
                <w:b/>
              </w:rPr>
              <w:t>（三）主要材料（设备）技术参数要求</w:t>
            </w:r>
          </w:p>
          <w:tbl>
            <w:tblPr>
              <w:tblBorders>
                <w:top w:val="none" w:color="000000" w:sz="4"/>
                <w:left w:val="none" w:color="000000" w:sz="4"/>
                <w:bottom w:val="none" w:color="000000" w:sz="4"/>
                <w:right w:val="none" w:color="000000" w:sz="4"/>
                <w:insideH w:val="none"/>
                <w:insideV w:val="none"/>
              </w:tblBorders>
            </w:tblPr>
            <w:tblGrid>
              <w:gridCol w:w="234"/>
              <w:gridCol w:w="495"/>
              <w:gridCol w:w="785"/>
              <w:gridCol w:w="1106"/>
              <w:gridCol w:w="280"/>
              <w:gridCol w:w="280"/>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材料（设备）名称</w:t>
                  </w:r>
                </w:p>
              </w:tc>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规格型号</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技术参数、性能指标及配置要求</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应急照明控制箱</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740×480×210mm（高×宽×深）（参考尺寸）</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1.额定功率：1000W</w:t>
                  </w:r>
                </w:p>
                <w:p>
                  <w:pPr>
                    <w:pStyle w:val="null3"/>
                    <w:jc w:val="both"/>
                  </w:pPr>
                  <w:r>
                    <w:rPr>
                      <w:rFonts w:ascii="仿宋_GB2312" w:hAnsi="仿宋_GB2312" w:cs="仿宋_GB2312" w:eastAsia="仿宋_GB2312"/>
                      <w:sz w:val="24"/>
                    </w:rPr>
                    <w:t>2.输出电压：DC36V</w:t>
                  </w:r>
                </w:p>
                <w:p>
                  <w:pPr>
                    <w:pStyle w:val="null3"/>
                    <w:jc w:val="both"/>
                  </w:pPr>
                  <w:r>
                    <w:rPr>
                      <w:rFonts w:ascii="仿宋_GB2312" w:hAnsi="仿宋_GB2312" w:cs="仿宋_GB2312" w:eastAsia="仿宋_GB2312"/>
                      <w:sz w:val="24"/>
                    </w:rPr>
                    <w:t>3.输出支路：8回路</w:t>
                  </w:r>
                </w:p>
                <w:p>
                  <w:pPr>
                    <w:pStyle w:val="null3"/>
                    <w:jc w:val="both"/>
                  </w:pPr>
                  <w:r>
                    <w:rPr>
                      <w:rFonts w:ascii="仿宋_GB2312" w:hAnsi="仿宋_GB2312" w:cs="仿宋_GB2312" w:eastAsia="仿宋_GB2312"/>
                      <w:sz w:val="24"/>
                    </w:rPr>
                    <w:t>4.输出电流：单回路电流≤5A、总电流≤27.8A</w:t>
                  </w:r>
                </w:p>
                <w:p>
                  <w:pPr>
                    <w:pStyle w:val="null3"/>
                    <w:jc w:val="both"/>
                  </w:pPr>
                  <w:r>
                    <w:rPr>
                      <w:rFonts w:ascii="仿宋_GB2312" w:hAnsi="仿宋_GB2312" w:cs="仿宋_GB2312" w:eastAsia="仿宋_GB2312"/>
                      <w:sz w:val="24"/>
                    </w:rPr>
                    <w:t>5.额定输入电压：AC220V</w:t>
                  </w:r>
                </w:p>
                <w:p>
                  <w:pPr>
                    <w:pStyle w:val="null3"/>
                    <w:jc w:val="both"/>
                  </w:pPr>
                  <w:r>
                    <w:rPr>
                      <w:rFonts w:ascii="仿宋_GB2312" w:hAnsi="仿宋_GB2312" w:cs="仿宋_GB2312" w:eastAsia="仿宋_GB2312"/>
                      <w:sz w:val="24"/>
                    </w:rPr>
                    <w:t>6.市电频率：50Hz</w:t>
                  </w:r>
                </w:p>
                <w:p>
                  <w:pPr>
                    <w:pStyle w:val="null3"/>
                    <w:jc w:val="both"/>
                  </w:pPr>
                  <w:r>
                    <w:rPr>
                      <w:rFonts w:ascii="仿宋_GB2312" w:hAnsi="仿宋_GB2312" w:cs="仿宋_GB2312" w:eastAsia="仿宋_GB2312"/>
                      <w:sz w:val="24"/>
                    </w:rPr>
                    <w:t>7.电池类型：磷酸铁锂电池</w:t>
                  </w:r>
                </w:p>
                <w:p>
                  <w:pPr>
                    <w:pStyle w:val="null3"/>
                    <w:jc w:val="both"/>
                  </w:pPr>
                  <w:r>
                    <w:rPr>
                      <w:rFonts w:ascii="仿宋_GB2312" w:hAnsi="仿宋_GB2312" w:cs="仿宋_GB2312" w:eastAsia="仿宋_GB2312"/>
                      <w:sz w:val="24"/>
                    </w:rPr>
                    <w:t>8.电池组电压：38.4V</w:t>
                  </w:r>
                </w:p>
                <w:p>
                  <w:pPr>
                    <w:pStyle w:val="null3"/>
                    <w:jc w:val="both"/>
                  </w:pPr>
                  <w:r>
                    <w:rPr>
                      <w:rFonts w:ascii="仿宋_GB2312" w:hAnsi="仿宋_GB2312" w:cs="仿宋_GB2312" w:eastAsia="仿宋_GB2312"/>
                      <w:sz w:val="24"/>
                    </w:rPr>
                    <w:t>9.电池组容量：44Ah</w:t>
                  </w:r>
                </w:p>
                <w:p>
                  <w:pPr>
                    <w:pStyle w:val="null3"/>
                    <w:jc w:val="both"/>
                  </w:pPr>
                  <w:r>
                    <w:rPr>
                      <w:rFonts w:ascii="仿宋_GB2312" w:hAnsi="仿宋_GB2312" w:cs="仿宋_GB2312" w:eastAsia="仿宋_GB2312"/>
                      <w:sz w:val="24"/>
                    </w:rPr>
                    <w:t>10.电池组数：1组</w:t>
                  </w:r>
                </w:p>
                <w:p>
                  <w:pPr>
                    <w:pStyle w:val="null3"/>
                    <w:jc w:val="both"/>
                  </w:pPr>
                  <w:r>
                    <w:rPr>
                      <w:rFonts w:ascii="仿宋_GB2312" w:hAnsi="仿宋_GB2312" w:cs="仿宋_GB2312" w:eastAsia="仿宋_GB2312"/>
                      <w:sz w:val="24"/>
                    </w:rPr>
                    <w:t>11.防护等级：IP33</w:t>
                  </w:r>
                </w:p>
                <w:p>
                  <w:pPr>
                    <w:pStyle w:val="null3"/>
                    <w:jc w:val="both"/>
                  </w:pPr>
                  <w:r>
                    <w:rPr>
                      <w:rFonts w:ascii="仿宋_GB2312" w:hAnsi="仿宋_GB2312" w:cs="仿宋_GB2312" w:eastAsia="仿宋_GB2312"/>
                      <w:sz w:val="24"/>
                    </w:rPr>
                    <w:t>12.应急转换时间：≤0.1s</w:t>
                  </w:r>
                </w:p>
                <w:p>
                  <w:pPr>
                    <w:pStyle w:val="null3"/>
                    <w:jc w:val="both"/>
                  </w:pPr>
                  <w:r>
                    <w:rPr>
                      <w:rFonts w:ascii="仿宋_GB2312" w:hAnsi="仿宋_GB2312" w:cs="仿宋_GB2312" w:eastAsia="仿宋_GB2312"/>
                      <w:sz w:val="24"/>
                    </w:rPr>
                    <w:t>13.应急时间：≥90分钟</w:t>
                  </w:r>
                </w:p>
                <w:p>
                  <w:pPr>
                    <w:pStyle w:val="null3"/>
                    <w:jc w:val="both"/>
                  </w:pPr>
                  <w:r>
                    <w:rPr>
                      <w:rFonts w:ascii="仿宋_GB2312" w:hAnsi="仿宋_GB2312" w:cs="仿宋_GB2312" w:eastAsia="仿宋_GB2312"/>
                      <w:sz w:val="24"/>
                    </w:rPr>
                    <w:t>14.电池充电时间：≤24小时</w:t>
                  </w:r>
                </w:p>
                <w:p>
                  <w:pPr>
                    <w:pStyle w:val="null3"/>
                    <w:jc w:val="both"/>
                  </w:pPr>
                  <w:r>
                    <w:rPr>
                      <w:rFonts w:ascii="仿宋_GB2312" w:hAnsi="仿宋_GB2312" w:cs="仿宋_GB2312" w:eastAsia="仿宋_GB2312"/>
                      <w:sz w:val="24"/>
                    </w:rPr>
                    <w:t>15.保护功能：短路、开路、电池组过放</w:t>
                  </w:r>
                </w:p>
                <w:p>
                  <w:pPr>
                    <w:pStyle w:val="null3"/>
                    <w:jc w:val="both"/>
                  </w:pPr>
                  <w:r>
                    <w:rPr>
                      <w:rFonts w:ascii="仿宋_GB2312" w:hAnsi="仿宋_GB2312" w:cs="仿宋_GB2312" w:eastAsia="仿宋_GB2312"/>
                      <w:sz w:val="24"/>
                    </w:rPr>
                    <w:t>16.显示方式：LED运行状态显示、LCD汉字信息显示</w:t>
                  </w:r>
                </w:p>
                <w:p>
                  <w:pPr>
                    <w:pStyle w:val="null3"/>
                    <w:jc w:val="both"/>
                  </w:pPr>
                  <w:r>
                    <w:rPr>
                      <w:rFonts w:ascii="仿宋_GB2312" w:hAnsi="仿宋_GB2312" w:cs="仿宋_GB2312" w:eastAsia="仿宋_GB2312"/>
                      <w:sz w:val="24"/>
                    </w:rPr>
                    <w:t>17.远程通讯：通讯方式：KWIB</w:t>
                  </w:r>
                </w:p>
                <w:p>
                  <w:pPr>
                    <w:pStyle w:val="null3"/>
                    <w:jc w:val="both"/>
                  </w:pPr>
                  <w:r>
                    <w:rPr>
                      <w:rFonts w:ascii="仿宋_GB2312" w:hAnsi="仿宋_GB2312" w:cs="仿宋_GB2312" w:eastAsia="仿宋_GB2312"/>
                      <w:sz w:val="24"/>
                    </w:rPr>
                    <w:t>18.绝缘电阻：≥50MΩ</w:t>
                  </w:r>
                </w:p>
                <w:p>
                  <w:pPr>
                    <w:pStyle w:val="null3"/>
                    <w:jc w:val="both"/>
                  </w:pPr>
                  <w:r>
                    <w:rPr>
                      <w:rFonts w:ascii="仿宋_GB2312" w:hAnsi="仿宋_GB2312" w:cs="仿宋_GB2312" w:eastAsia="仿宋_GB2312"/>
                      <w:sz w:val="24"/>
                    </w:rPr>
                    <w:t>19.相对湿度：0〜90%不结露</w:t>
                  </w:r>
                </w:p>
                <w:p>
                  <w:pPr>
                    <w:pStyle w:val="null3"/>
                    <w:jc w:val="both"/>
                  </w:pPr>
                  <w:r>
                    <w:rPr>
                      <w:rFonts w:ascii="仿宋_GB2312" w:hAnsi="仿宋_GB2312" w:cs="仿宋_GB2312" w:eastAsia="仿宋_GB2312"/>
                      <w:sz w:val="24"/>
                    </w:rPr>
                    <w:t>20.环境温度：-10℃〜+55℃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区域型火灾报警控制器</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540mm高×410mm宽×125mm厚</w:t>
                  </w:r>
                </w:p>
                <w:p>
                  <w:pPr>
                    <w:pStyle w:val="null3"/>
                    <w:jc w:val="center"/>
                  </w:pPr>
                  <w:r>
                    <w:rPr>
                      <w:rFonts w:ascii="仿宋_GB2312" w:hAnsi="仿宋_GB2312" w:cs="仿宋_GB2312" w:eastAsia="仿宋_GB2312"/>
                      <w:sz w:val="24"/>
                    </w:rPr>
                    <w:t>（参考尺寸）</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1.供电主电：AC220V +10% -15% 50Hz</w:t>
                  </w:r>
                </w:p>
                <w:p>
                  <w:pPr>
                    <w:pStyle w:val="null3"/>
                    <w:jc w:val="both"/>
                  </w:pPr>
                  <w:r>
                    <w:rPr>
                      <w:rFonts w:ascii="仿宋_GB2312" w:hAnsi="仿宋_GB2312" w:cs="仿宋_GB2312" w:eastAsia="仿宋_GB2312"/>
                      <w:sz w:val="24"/>
                    </w:rPr>
                    <w:t>2.备电：DC24V    DC.12V/7Ah×2</w:t>
                  </w:r>
                </w:p>
                <w:p>
                  <w:pPr>
                    <w:pStyle w:val="null3"/>
                    <w:jc w:val="both"/>
                  </w:pPr>
                  <w:r>
                    <w:rPr>
                      <w:rFonts w:ascii="仿宋_GB2312" w:hAnsi="仿宋_GB2312" w:cs="仿宋_GB2312" w:eastAsia="仿宋_GB2312"/>
                      <w:sz w:val="24"/>
                    </w:rPr>
                    <w:t>3.系统容量：2个报警回路、2路气灭控制、6路专线控制</w:t>
                  </w:r>
                </w:p>
                <w:p>
                  <w:pPr>
                    <w:pStyle w:val="null3"/>
                    <w:jc w:val="both"/>
                  </w:pPr>
                  <w:r>
                    <w:rPr>
                      <w:rFonts w:ascii="仿宋_GB2312" w:hAnsi="仿宋_GB2312" w:cs="仿宋_GB2312" w:eastAsia="仿宋_GB2312"/>
                      <w:sz w:val="24"/>
                    </w:rPr>
                    <w:t>气灭回路容量：每回路</w:t>
                  </w:r>
                  <w:r>
                    <w:rPr>
                      <w:rFonts w:ascii="仿宋_GB2312" w:hAnsi="仿宋_GB2312" w:cs="仿宋_GB2312" w:eastAsia="仿宋_GB2312"/>
                      <w:sz w:val="24"/>
                    </w:rPr>
                    <w:t>80点（紧急启停按钮、手自动转换盒、声光警报器、输入/输出模块）</w:t>
                  </w:r>
                </w:p>
                <w:p>
                  <w:pPr>
                    <w:pStyle w:val="null3"/>
                    <w:jc w:val="both"/>
                  </w:pPr>
                  <w:r>
                    <w:rPr>
                      <w:rFonts w:ascii="仿宋_GB2312" w:hAnsi="仿宋_GB2312" w:cs="仿宋_GB2312" w:eastAsia="仿宋_GB2312"/>
                      <w:sz w:val="24"/>
                    </w:rPr>
                    <w:t>4.报警回路容量：每回路200点（编址型感烟探测器、感温探测器、手动报警按钮、消火栓报警按钮、输入模块、输入/输出模块等）</w:t>
                  </w:r>
                </w:p>
                <w:p>
                  <w:pPr>
                    <w:pStyle w:val="null3"/>
                    <w:jc w:val="both"/>
                  </w:pPr>
                  <w:r>
                    <w:rPr>
                      <w:rFonts w:ascii="仿宋_GB2312" w:hAnsi="仿宋_GB2312" w:cs="仿宋_GB2312" w:eastAsia="仿宋_GB2312"/>
                      <w:sz w:val="24"/>
                    </w:rPr>
                    <w:t>5.专线控制容量：6路，每路需配接1只 JBF5155输入/输出模块</w:t>
                  </w:r>
                </w:p>
                <w:p>
                  <w:pPr>
                    <w:pStyle w:val="null3"/>
                    <w:jc w:val="both"/>
                  </w:pPr>
                  <w:r>
                    <w:rPr>
                      <w:rFonts w:ascii="仿宋_GB2312" w:hAnsi="仿宋_GB2312" w:cs="仿宋_GB2312" w:eastAsia="仿宋_GB2312"/>
                      <w:sz w:val="24"/>
                    </w:rPr>
                    <w:t>6.输出电流：喷洒输出**电流 2A</w:t>
                  </w:r>
                </w:p>
                <w:p>
                  <w:pPr>
                    <w:pStyle w:val="null3"/>
                    <w:jc w:val="both"/>
                  </w:pPr>
                  <w:r>
                    <w:rPr>
                      <w:rFonts w:ascii="仿宋_GB2312" w:hAnsi="仿宋_GB2312" w:cs="仿宋_GB2312" w:eastAsia="仿宋_GB2312"/>
                      <w:sz w:val="24"/>
                    </w:rPr>
                    <w:t>7.工作温度：-10</w:t>
                  </w:r>
                  <w:r>
                    <w:rPr>
                      <w:rFonts w:ascii="仿宋_GB2312" w:hAnsi="仿宋_GB2312" w:cs="仿宋_GB2312" w:eastAsia="仿宋_GB2312"/>
                      <w:sz w:val="24"/>
                      <w:shd w:fill="FFFFFF" w:val="clear"/>
                    </w:rPr>
                    <w:t>~</w:t>
                  </w:r>
                  <w:r>
                    <w:rPr>
                      <w:rFonts w:ascii="仿宋_GB2312" w:hAnsi="仿宋_GB2312" w:cs="仿宋_GB2312" w:eastAsia="仿宋_GB2312"/>
                      <w:sz w:val="24"/>
                    </w:rPr>
                    <w:t xml:space="preserve"> </w:t>
                  </w:r>
                  <w:r>
                    <w:rPr>
                      <w:rFonts w:ascii="仿宋_GB2312" w:hAnsi="仿宋_GB2312" w:cs="仿宋_GB2312" w:eastAsia="仿宋_GB2312"/>
                      <w:sz w:val="24"/>
                    </w:rPr>
                    <w:t>+50℃</w:t>
                  </w:r>
                </w:p>
                <w:p>
                  <w:pPr>
                    <w:pStyle w:val="null3"/>
                    <w:jc w:val="both"/>
                  </w:pPr>
                  <w:r>
                    <w:rPr>
                      <w:rFonts w:ascii="仿宋_GB2312" w:hAnsi="仿宋_GB2312" w:cs="仿宋_GB2312" w:eastAsia="仿宋_GB2312"/>
                      <w:sz w:val="24"/>
                    </w:rPr>
                    <w:t>8.贮存温度：-20</w:t>
                  </w:r>
                  <w:r>
                    <w:rPr>
                      <w:rFonts w:ascii="仿宋_GB2312" w:hAnsi="仿宋_GB2312" w:cs="仿宋_GB2312" w:eastAsia="仿宋_GB2312"/>
                      <w:sz w:val="24"/>
                      <w:shd w:fill="FFFFFF" w:val="clear"/>
                    </w:rPr>
                    <w:t>~</w:t>
                  </w:r>
                  <w:r>
                    <w:rPr>
                      <w:rFonts w:ascii="仿宋_GB2312" w:hAnsi="仿宋_GB2312" w:cs="仿宋_GB2312" w:eastAsia="仿宋_GB2312"/>
                      <w:sz w:val="24"/>
                    </w:rPr>
                    <w:t xml:space="preserve"> </w:t>
                  </w:r>
                  <w:r>
                    <w:rPr>
                      <w:rFonts w:ascii="仿宋_GB2312" w:hAnsi="仿宋_GB2312" w:cs="仿宋_GB2312" w:eastAsia="仿宋_GB2312"/>
                      <w:sz w:val="24"/>
                    </w:rPr>
                    <w:t>+50℃</w:t>
                  </w:r>
                </w:p>
                <w:p>
                  <w:pPr>
                    <w:pStyle w:val="null3"/>
                    <w:jc w:val="both"/>
                  </w:pPr>
                  <w:r>
                    <w:rPr>
                      <w:rFonts w:ascii="仿宋_GB2312" w:hAnsi="仿宋_GB2312" w:cs="仿宋_GB2312" w:eastAsia="仿宋_GB2312"/>
                      <w:sz w:val="24"/>
                    </w:rPr>
                    <w:t>9.相对湿度：≤95%(40±2℃)</w:t>
                  </w:r>
                </w:p>
                <w:p>
                  <w:pPr>
                    <w:pStyle w:val="null3"/>
                    <w:jc w:val="both"/>
                  </w:pPr>
                  <w:r>
                    <w:rPr>
                      <w:rFonts w:ascii="仿宋_GB2312" w:hAnsi="仿宋_GB2312" w:cs="仿宋_GB2312" w:eastAsia="仿宋_GB2312"/>
                      <w:sz w:val="24"/>
                    </w:rPr>
                    <w:t>10.本控制器为壁挂式结构设计，可直接明装在墙壁上。</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消防应急照明灯具</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120mm×40 mm（参考尺寸）</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1.工作温度：-10~+55°C</w:t>
                  </w:r>
                </w:p>
                <w:p>
                  <w:pPr>
                    <w:pStyle w:val="null3"/>
                    <w:jc w:val="both"/>
                  </w:pPr>
                  <w:r>
                    <w:rPr>
                      <w:rFonts w:ascii="仿宋_GB2312" w:hAnsi="仿宋_GB2312" w:cs="仿宋_GB2312" w:eastAsia="仿宋_GB2312"/>
                      <w:sz w:val="24"/>
                    </w:rPr>
                    <w:t>2.贮存温度：-20~+65°C</w:t>
                  </w:r>
                </w:p>
                <w:p>
                  <w:pPr>
                    <w:pStyle w:val="null3"/>
                    <w:jc w:val="both"/>
                  </w:pPr>
                  <w:r>
                    <w:rPr>
                      <w:rFonts w:ascii="仿宋_GB2312" w:hAnsi="仿宋_GB2312" w:cs="仿宋_GB2312" w:eastAsia="仿宋_GB2312"/>
                      <w:sz w:val="24"/>
                    </w:rPr>
                    <w:t>3.工作相对湿度：&lt;90%（无凝露）</w:t>
                  </w:r>
                </w:p>
                <w:p>
                  <w:pPr>
                    <w:pStyle w:val="null3"/>
                    <w:jc w:val="both"/>
                  </w:pPr>
                  <w:r>
                    <w:rPr>
                      <w:rFonts w:ascii="仿宋_GB2312" w:hAnsi="仿宋_GB2312" w:cs="仿宋_GB2312" w:eastAsia="仿宋_GB2312"/>
                      <w:sz w:val="24"/>
                    </w:rPr>
                    <w:t>4.储存相对湿度：&lt;90%（无凝露）</w:t>
                  </w:r>
                </w:p>
                <w:p>
                  <w:pPr>
                    <w:pStyle w:val="null3"/>
                    <w:jc w:val="both"/>
                  </w:pPr>
                  <w:r>
                    <w:rPr>
                      <w:rFonts w:ascii="仿宋_GB2312" w:hAnsi="仿宋_GB2312" w:cs="仿宋_GB2312" w:eastAsia="仿宋_GB2312"/>
                      <w:sz w:val="24"/>
                    </w:rPr>
                    <w:t>5.额定工作电压：DC36V</w:t>
                  </w:r>
                </w:p>
                <w:p>
                  <w:pPr>
                    <w:pStyle w:val="null3"/>
                    <w:jc w:val="both"/>
                  </w:pPr>
                  <w:r>
                    <w:rPr>
                      <w:rFonts w:ascii="仿宋_GB2312" w:hAnsi="仿宋_GB2312" w:cs="仿宋_GB2312" w:eastAsia="仿宋_GB2312"/>
                      <w:sz w:val="24"/>
                    </w:rPr>
                    <w:t>6.工作方式：非持续型</w:t>
                  </w:r>
                </w:p>
                <w:p>
                  <w:pPr>
                    <w:pStyle w:val="null3"/>
                    <w:jc w:val="both"/>
                  </w:pPr>
                  <w:r>
                    <w:rPr>
                      <w:rFonts w:ascii="仿宋_GB2312" w:hAnsi="仿宋_GB2312" w:cs="仿宋_GB2312" w:eastAsia="仿宋_GB2312"/>
                      <w:sz w:val="24"/>
                    </w:rPr>
                    <w:t>7.光源：高亮、低功耗LED</w:t>
                  </w:r>
                </w:p>
                <w:p>
                  <w:pPr>
                    <w:pStyle w:val="null3"/>
                    <w:ind w:firstLine="480"/>
                    <w:jc w:val="both"/>
                  </w:pPr>
                  <w:r>
                    <w:rPr>
                      <w:rFonts w:ascii="仿宋_GB2312" w:hAnsi="仿宋_GB2312" w:cs="仿宋_GB2312" w:eastAsia="仿宋_GB2312"/>
                      <w:sz w:val="24"/>
                    </w:rPr>
                    <w:t>应急时间</w:t>
                  </w:r>
                  <w:r>
                    <w:rPr>
                      <w:rFonts w:ascii="仿宋_GB2312" w:hAnsi="仿宋_GB2312" w:cs="仿宋_GB2312" w:eastAsia="仿宋_GB2312"/>
                      <w:sz w:val="24"/>
                    </w:rPr>
                    <w:t>&gt;=90min</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918</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疏散指示标志</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尺寸：</w:t>
                  </w:r>
                  <w:r>
                    <w:rPr>
                      <w:rFonts w:ascii="仿宋_GB2312" w:hAnsi="仿宋_GB2312" w:cs="仿宋_GB2312" w:eastAsia="仿宋_GB2312"/>
                      <w:sz w:val="24"/>
                    </w:rPr>
                    <w:t>352×138×8mm（参考尺寸）</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1.功率：4W</w:t>
                  </w:r>
                </w:p>
                <w:p>
                  <w:pPr>
                    <w:pStyle w:val="null3"/>
                    <w:jc w:val="both"/>
                  </w:pPr>
                  <w:r>
                    <w:rPr>
                      <w:rFonts w:ascii="仿宋_GB2312" w:hAnsi="仿宋_GB2312" w:cs="仿宋_GB2312" w:eastAsia="仿宋_GB2312"/>
                      <w:sz w:val="24"/>
                    </w:rPr>
                    <w:t>2.应急时间：≥90min</w:t>
                  </w:r>
                </w:p>
                <w:p>
                  <w:pPr>
                    <w:pStyle w:val="null3"/>
                    <w:jc w:val="both"/>
                  </w:pPr>
                  <w:r>
                    <w:rPr>
                      <w:rFonts w:ascii="仿宋_GB2312" w:hAnsi="仿宋_GB2312" w:cs="仿宋_GB2312" w:eastAsia="仿宋_GB2312"/>
                      <w:sz w:val="24"/>
                    </w:rPr>
                    <w:t>3.电压：24V/36V/220V高低压通用</w:t>
                  </w:r>
                </w:p>
                <w:p>
                  <w:pPr>
                    <w:pStyle w:val="null3"/>
                    <w:jc w:val="both"/>
                  </w:pPr>
                  <w:r>
                    <w:rPr>
                      <w:rFonts w:ascii="仿宋_GB2312" w:hAnsi="仿宋_GB2312" w:cs="仿宋_GB2312" w:eastAsia="仿宋_GB2312"/>
                      <w:sz w:val="24"/>
                    </w:rPr>
                    <w:t>4.材质：不锈钢</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886</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闭门器</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国标尺寸</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1.材质：高压铸铝阀体、耐高温液压油、钢制连杆</w:t>
                  </w:r>
                </w:p>
                <w:p>
                  <w:pPr>
                    <w:pStyle w:val="null3"/>
                    <w:jc w:val="both"/>
                  </w:pPr>
                  <w:r>
                    <w:rPr>
                      <w:rFonts w:ascii="仿宋_GB2312" w:hAnsi="仿宋_GB2312" w:cs="仿宋_GB2312" w:eastAsia="仿宋_GB2312"/>
                      <w:sz w:val="24"/>
                    </w:rPr>
                    <w:t>2.耐火要求：随防火门整体通过耐火1.5h实验，高温不融化、不漏油。</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顺位器</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国标尺寸</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1.材质：钢制/304不锈钢</w:t>
                  </w:r>
                </w:p>
                <w:p>
                  <w:pPr>
                    <w:pStyle w:val="null3"/>
                    <w:jc w:val="left"/>
                  </w:pPr>
                  <w:r>
                    <w:rPr>
                      <w:rFonts w:ascii="仿宋_GB2312" w:hAnsi="仿宋_GB2312" w:cs="仿宋_GB2312" w:eastAsia="仿宋_GB2312"/>
                      <w:sz w:val="24"/>
                    </w:rPr>
                    <w:t>2.耐火要求：随防火门整体通过耐火1.5h实验，高温不融化、不漏油。</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12mm厚耐火石膏板</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12mm</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1.导热系数：0.16-0.19W。</w:t>
                  </w:r>
                </w:p>
                <w:p>
                  <w:pPr>
                    <w:pStyle w:val="null3"/>
                    <w:jc w:val="left"/>
                  </w:pPr>
                  <w:r>
                    <w:rPr>
                      <w:rFonts w:ascii="仿宋_GB2312" w:hAnsi="仿宋_GB2312" w:cs="仿宋_GB2312" w:eastAsia="仿宋_GB2312"/>
                      <w:sz w:val="24"/>
                    </w:rPr>
                    <w:t>2.适用温度：-20℃-60℃，短时火场1000℃高温维持结构完整。</w:t>
                  </w:r>
                </w:p>
                <w:p>
                  <w:pPr>
                    <w:pStyle w:val="null3"/>
                    <w:jc w:val="left"/>
                  </w:pPr>
                  <w:r>
                    <w:rPr>
                      <w:rFonts w:ascii="仿宋_GB2312" w:hAnsi="仿宋_GB2312" w:cs="仿宋_GB2312" w:eastAsia="仿宋_GB2312"/>
                      <w:sz w:val="24"/>
                    </w:rPr>
                    <w:t>3.环保无石棉、甲醛，烟毒等级AQ1低毒安全级。</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398</w:t>
                  </w:r>
                </w:p>
              </w:tc>
            </w:tr>
          </w:tbl>
          <w:p>
            <w:pPr>
              <w:pStyle w:val="null3"/>
              <w:ind w:firstLine="482"/>
              <w:jc w:val="both"/>
            </w:pPr>
            <w:r>
              <w:rPr>
                <w:rFonts w:ascii="仿宋_GB2312" w:hAnsi="仿宋_GB2312" w:cs="仿宋_GB2312" w:eastAsia="仿宋_GB2312"/>
                <w:sz w:val="24"/>
                <w:b/>
              </w:rPr>
              <w:t>备注：</w:t>
            </w:r>
          </w:p>
          <w:p>
            <w:pPr>
              <w:pStyle w:val="null3"/>
              <w:ind w:firstLine="480"/>
              <w:jc w:val="both"/>
            </w:pPr>
            <w:r>
              <w:rPr>
                <w:rFonts w:ascii="仿宋_GB2312" w:hAnsi="仿宋_GB2312" w:cs="仿宋_GB2312" w:eastAsia="仿宋_GB2312"/>
                <w:sz w:val="24"/>
              </w:rPr>
              <w:t>该工程中所用材料必须符合国家、行业标准，供应商</w:t>
            </w:r>
            <w:r>
              <w:rPr>
                <w:rFonts w:ascii="仿宋_GB2312" w:hAnsi="仿宋_GB2312" w:cs="仿宋_GB2312" w:eastAsia="仿宋_GB2312"/>
                <w:sz w:val="24"/>
              </w:rPr>
              <w:t>在响应文件须注明品牌。所有原材料进场前须由成交供应商提供样品，经校方及监理方考察认质，认定样品质量后封存，大批量材料进场时比对查验，上述常规因素供应商组价时须一并考虑。在施工过程中成交供应商若提出性能、质量、品质、实力等同于或高于投标时的选定的产品或厂家时，必须经采购人书面同意，但由此增加的费用由供应商自行承担。</w:t>
            </w:r>
          </w:p>
          <w:p>
            <w:pPr>
              <w:pStyle w:val="null3"/>
              <w:ind w:firstLine="482"/>
              <w:jc w:val="both"/>
            </w:pPr>
            <w:r>
              <w:rPr>
                <w:rFonts w:ascii="仿宋_GB2312" w:hAnsi="仿宋_GB2312" w:cs="仿宋_GB2312" w:eastAsia="仿宋_GB2312"/>
                <w:sz w:val="24"/>
                <w:b/>
              </w:rPr>
              <w:t>四、商务要求</w:t>
            </w:r>
          </w:p>
          <w:p>
            <w:pPr>
              <w:pStyle w:val="null3"/>
              <w:ind w:firstLine="482"/>
              <w:jc w:val="both"/>
            </w:pPr>
            <w:r>
              <w:rPr>
                <w:rFonts w:ascii="仿宋_GB2312" w:hAnsi="仿宋_GB2312" w:cs="仿宋_GB2312" w:eastAsia="仿宋_GB2312"/>
                <w:sz w:val="24"/>
                <w:b/>
              </w:rPr>
              <w:t>（一）工期：</w:t>
            </w:r>
            <w:r>
              <w:rPr>
                <w:rFonts w:ascii="仿宋_GB2312" w:hAnsi="仿宋_GB2312" w:cs="仿宋_GB2312" w:eastAsia="仿宋_GB2312"/>
                <w:sz w:val="24"/>
              </w:rPr>
              <w:t>自接到采购人开工通知之日起</w:t>
            </w:r>
            <w:r>
              <w:rPr>
                <w:rFonts w:ascii="仿宋_GB2312" w:hAnsi="仿宋_GB2312" w:cs="仿宋_GB2312" w:eastAsia="仿宋_GB2312"/>
                <w:sz w:val="24"/>
              </w:rPr>
              <w:t>20个日历天，具体以项目实际需求及采购人要求为准。</w:t>
            </w:r>
          </w:p>
          <w:p>
            <w:pPr>
              <w:pStyle w:val="null3"/>
              <w:ind w:firstLine="482"/>
              <w:jc w:val="both"/>
            </w:pPr>
            <w:r>
              <w:rPr>
                <w:rFonts w:ascii="仿宋_GB2312" w:hAnsi="仿宋_GB2312" w:cs="仿宋_GB2312" w:eastAsia="仿宋_GB2312"/>
                <w:sz w:val="24"/>
                <w:b/>
              </w:rPr>
              <w:t>（二）工程地点：</w:t>
            </w:r>
            <w:r>
              <w:rPr>
                <w:rFonts w:ascii="仿宋_GB2312" w:hAnsi="仿宋_GB2312" w:cs="仿宋_GB2312" w:eastAsia="仿宋_GB2312"/>
                <w:sz w:val="24"/>
              </w:rPr>
              <w:t>西安工程大学临潼校区。</w:t>
            </w:r>
          </w:p>
          <w:p>
            <w:pPr>
              <w:pStyle w:val="null3"/>
              <w:ind w:firstLine="482"/>
              <w:jc w:val="both"/>
            </w:pPr>
            <w:r>
              <w:rPr>
                <w:rFonts w:ascii="仿宋_GB2312" w:hAnsi="仿宋_GB2312" w:cs="仿宋_GB2312" w:eastAsia="仿宋_GB2312"/>
                <w:sz w:val="24"/>
                <w:b/>
              </w:rPr>
              <w:t>（三）质量要求：</w:t>
            </w:r>
            <w:r>
              <w:rPr>
                <w:rFonts w:ascii="仿宋_GB2312" w:hAnsi="仿宋_GB2312" w:cs="仿宋_GB2312" w:eastAsia="仿宋_GB2312"/>
                <w:sz w:val="24"/>
              </w:rPr>
              <w:t>符合本工程竞争性磋商文件技术要求及国家、行业标准，达到合格。</w:t>
            </w:r>
          </w:p>
          <w:p>
            <w:pPr>
              <w:pStyle w:val="null3"/>
              <w:ind w:firstLine="482"/>
              <w:jc w:val="both"/>
            </w:pPr>
            <w:r>
              <w:rPr>
                <w:rFonts w:ascii="仿宋_GB2312" w:hAnsi="仿宋_GB2312" w:cs="仿宋_GB2312" w:eastAsia="仿宋_GB2312"/>
                <w:sz w:val="24"/>
                <w:b/>
              </w:rPr>
              <w:t>（四）付款方式：</w:t>
            </w:r>
          </w:p>
          <w:p>
            <w:pPr>
              <w:pStyle w:val="null3"/>
              <w:ind w:firstLine="480"/>
              <w:jc w:val="both"/>
            </w:pPr>
            <w:r>
              <w:rPr>
                <w:rFonts w:ascii="仿宋_GB2312" w:hAnsi="仿宋_GB2312" w:cs="仿宋_GB2312" w:eastAsia="仿宋_GB2312"/>
                <w:sz w:val="24"/>
              </w:rPr>
              <w:t>合同签订后，待成交供应商向采购人提供预付款等额的银行保函后，采购人向成交供应商支付合同总价款的</w:t>
            </w:r>
            <w:r>
              <w:rPr>
                <w:rFonts w:ascii="仿宋_GB2312" w:hAnsi="仿宋_GB2312" w:cs="仿宋_GB2312" w:eastAsia="仿宋_GB2312"/>
                <w:sz w:val="24"/>
              </w:rPr>
              <w:t>40%作为预付款；待正式审计报告出具后采购人办理完校内工程款支付审批手续后，支付至工程审定造价的</w:t>
            </w:r>
            <w:r>
              <w:rPr>
                <w:rFonts w:ascii="仿宋_GB2312" w:hAnsi="仿宋_GB2312" w:cs="仿宋_GB2312" w:eastAsia="仿宋_GB2312"/>
                <w:sz w:val="24"/>
              </w:rPr>
              <w:t>95%</w:t>
            </w:r>
            <w:r>
              <w:rPr>
                <w:rFonts w:ascii="仿宋_GB2312" w:hAnsi="仿宋_GB2312" w:cs="仿宋_GB2312" w:eastAsia="仿宋_GB2312"/>
                <w:sz w:val="24"/>
              </w:rPr>
              <w:t>；</w:t>
            </w:r>
            <w:r>
              <w:rPr>
                <w:rFonts w:ascii="仿宋_GB2312" w:hAnsi="仿宋_GB2312" w:cs="仿宋_GB2312" w:eastAsia="仿宋_GB2312"/>
                <w:sz w:val="24"/>
              </w:rPr>
              <w:t>剩余</w:t>
            </w:r>
            <w:r>
              <w:rPr>
                <w:rFonts w:ascii="仿宋_GB2312" w:hAnsi="仿宋_GB2312" w:cs="仿宋_GB2312" w:eastAsia="仿宋_GB2312"/>
                <w:sz w:val="24"/>
              </w:rPr>
              <w:t>5%余款在乙方履行保修义务无质量问题后支付。</w:t>
            </w:r>
            <w:r>
              <w:rPr>
                <w:rFonts w:ascii="仿宋_GB2312" w:hAnsi="仿宋_GB2312" w:cs="仿宋_GB2312" w:eastAsia="仿宋_GB2312"/>
                <w:sz w:val="24"/>
              </w:rPr>
              <w:t>每次付款前，成交供应商需向采购人出具合法有效的等额增值税专用或普通发票。若因成交供应商未开具或逾期开具合法有效的发票，采购人有权顺延付款期限且不承担逾期付款责任。</w:t>
            </w:r>
          </w:p>
          <w:p>
            <w:pPr>
              <w:pStyle w:val="null3"/>
              <w:ind w:firstLine="482"/>
              <w:jc w:val="both"/>
            </w:pPr>
            <w:r>
              <w:rPr>
                <w:rFonts w:ascii="仿宋_GB2312" w:hAnsi="仿宋_GB2312" w:cs="仿宋_GB2312" w:eastAsia="仿宋_GB2312"/>
                <w:sz w:val="24"/>
                <w:b/>
              </w:rPr>
              <w:t>（五）结算方式：</w:t>
            </w:r>
          </w:p>
          <w:p>
            <w:pPr>
              <w:pStyle w:val="null3"/>
              <w:ind w:firstLine="480"/>
              <w:jc w:val="both"/>
            </w:pPr>
            <w:r>
              <w:rPr>
                <w:rFonts w:ascii="仿宋_GB2312" w:hAnsi="仿宋_GB2312" w:cs="仿宋_GB2312" w:eastAsia="仿宋_GB2312"/>
                <w:sz w:val="24"/>
              </w:rPr>
              <w:t>1.本工程为包工包料、包工期、包质量、包安全、包文明施工的施工总承包。工程发包采用固定单价合同，投标综合单价在约定的范围内不变。招标范围内执行成交供应商中标综合单价，工程量据实结算。施工合同以外经采购人批准的工程价款确认办法：合同中已有适用于变更工程的价格，按合同已有价格；合同中没有适用的单价，由成交供应商提出变更认价报告，采购人对主材认价，相关取费参照《陕西省建设工程费用规则（2025）》、《陕西省房屋建筑与装饰工程消耗量定额（2025）》、《陕西省通用安装工程消耗量定额（2025）》及其配套的2025基价表和学校相关规定执行。</w:t>
            </w:r>
          </w:p>
          <w:p>
            <w:pPr>
              <w:pStyle w:val="null3"/>
              <w:ind w:firstLine="480"/>
              <w:jc w:val="both"/>
            </w:pPr>
            <w:r>
              <w:rPr>
                <w:rFonts w:ascii="仿宋_GB2312" w:hAnsi="仿宋_GB2312" w:cs="仿宋_GB2312" w:eastAsia="仿宋_GB2312"/>
                <w:sz w:val="24"/>
              </w:rPr>
              <w:t>2.本项目招标工程量为暂定量，结算时，依据采购人审定的工程量，按实际发生量据实结算，工程价款结算时依据最终价款和一次报价的下浮比例执行。</w:t>
            </w:r>
          </w:p>
          <w:p>
            <w:pPr>
              <w:pStyle w:val="null3"/>
              <w:ind w:firstLine="480"/>
              <w:jc w:val="both"/>
            </w:pPr>
            <w:r>
              <w:rPr>
                <w:rFonts w:ascii="仿宋_GB2312" w:hAnsi="仿宋_GB2312" w:cs="仿宋_GB2312" w:eastAsia="仿宋_GB2312"/>
                <w:sz w:val="24"/>
              </w:rPr>
              <w:t>3.工程施工结算阶段，成交供应商应据实申报结算资料及组价，经审计后审减率超出10%（含10%）时，发生的审计成果费由成交供应商承担。</w:t>
            </w:r>
          </w:p>
          <w:p>
            <w:pPr>
              <w:pStyle w:val="null3"/>
              <w:ind w:firstLine="480"/>
              <w:jc w:val="both"/>
            </w:pPr>
            <w:r>
              <w:rPr>
                <w:rFonts w:ascii="仿宋_GB2312" w:hAnsi="仿宋_GB2312" w:cs="仿宋_GB2312" w:eastAsia="仿宋_GB2312"/>
                <w:sz w:val="24"/>
              </w:rPr>
              <w:t>4.本工程所发生的水电费按工程审定造价的5‰（其中电费为3‰，水费为2‰）从工程款项中一次性扣除。</w:t>
            </w:r>
          </w:p>
          <w:p>
            <w:pPr>
              <w:pStyle w:val="null3"/>
              <w:ind w:firstLine="480"/>
              <w:jc w:val="both"/>
            </w:pPr>
            <w:r>
              <w:rPr>
                <w:rFonts w:ascii="仿宋_GB2312" w:hAnsi="仿宋_GB2312" w:cs="仿宋_GB2312" w:eastAsia="仿宋_GB2312"/>
                <w:sz w:val="24"/>
              </w:rPr>
              <w:t>5.因施工产生的建筑垃圾及清运均包含在综合单价内，不再另行计费。</w:t>
            </w:r>
          </w:p>
          <w:p>
            <w:pPr>
              <w:pStyle w:val="null3"/>
              <w:ind w:firstLine="480"/>
              <w:jc w:val="both"/>
            </w:pPr>
            <w:r>
              <w:rPr>
                <w:rFonts w:ascii="仿宋_GB2312" w:hAnsi="仿宋_GB2312" w:cs="仿宋_GB2312" w:eastAsia="仿宋_GB2312"/>
                <w:sz w:val="24"/>
              </w:rPr>
              <w:t>6.所有分项工程施工工艺需由成交供应商根据行业规范及现场实际情况科学组价，与施工相关的一切费用均包含在相关综合单价中，不再另行计费。</w:t>
            </w:r>
          </w:p>
          <w:p>
            <w:pPr>
              <w:pStyle w:val="null3"/>
              <w:ind w:firstLine="480"/>
              <w:jc w:val="both"/>
            </w:pPr>
            <w:r>
              <w:rPr>
                <w:rFonts w:ascii="仿宋_GB2312" w:hAnsi="仿宋_GB2312" w:cs="仿宋_GB2312" w:eastAsia="仿宋_GB2312"/>
                <w:sz w:val="24"/>
              </w:rPr>
              <w:t>7.本工程若需到相应行政管理机关办理审批、备案手续的，由成交供应商负责，由此发生的一切其他费用概由成交供应商承担。</w:t>
            </w:r>
          </w:p>
          <w:p>
            <w:pPr>
              <w:pStyle w:val="null3"/>
              <w:ind w:firstLine="480"/>
              <w:jc w:val="both"/>
            </w:pPr>
            <w:r>
              <w:rPr>
                <w:rFonts w:ascii="仿宋_GB2312" w:hAnsi="仿宋_GB2312" w:cs="仿宋_GB2312" w:eastAsia="仿宋_GB2312"/>
                <w:sz w:val="24"/>
              </w:rPr>
              <w:t>8.本工程内容包括二次深化设计，由此产生的一切其他费用均由成交供应商承担。</w:t>
            </w:r>
          </w:p>
          <w:p>
            <w:pPr>
              <w:pStyle w:val="null3"/>
              <w:ind w:firstLine="480"/>
              <w:jc w:val="both"/>
            </w:pPr>
            <w:r>
              <w:rPr>
                <w:rFonts w:ascii="仿宋_GB2312" w:hAnsi="仿宋_GB2312" w:cs="仿宋_GB2312" w:eastAsia="仿宋_GB2312"/>
                <w:sz w:val="24"/>
              </w:rPr>
              <w:t>9.本工程应严格执行施工工期，每无故拖延一天，按照合同价的1%按天累计从工程款项中一次性扣除。</w:t>
            </w:r>
          </w:p>
          <w:p>
            <w:pPr>
              <w:pStyle w:val="null3"/>
              <w:ind w:firstLine="482"/>
              <w:jc w:val="both"/>
            </w:pPr>
            <w:r>
              <w:rPr>
                <w:rFonts w:ascii="仿宋_GB2312" w:hAnsi="仿宋_GB2312" w:cs="仿宋_GB2312" w:eastAsia="仿宋_GB2312"/>
                <w:sz w:val="24"/>
                <w:b/>
              </w:rPr>
              <w:t>（六）质量保证期及保修要求</w:t>
            </w:r>
          </w:p>
          <w:p>
            <w:pPr>
              <w:pStyle w:val="null3"/>
              <w:ind w:firstLine="480"/>
              <w:jc w:val="both"/>
            </w:pPr>
            <w:r>
              <w:rPr>
                <w:rFonts w:ascii="仿宋_GB2312" w:hAnsi="仿宋_GB2312" w:cs="仿宋_GB2312" w:eastAsia="仿宋_GB2312"/>
                <w:sz w:val="24"/>
              </w:rPr>
              <w:t>1.质量保证期：自本项目竣工验收合格通过之日起2年，供应商可在此基础上根据自身情况自主响应予以延长。</w:t>
            </w:r>
          </w:p>
          <w:p>
            <w:pPr>
              <w:pStyle w:val="null3"/>
              <w:ind w:firstLine="480"/>
              <w:jc w:val="both"/>
            </w:pPr>
            <w:r>
              <w:rPr>
                <w:rFonts w:ascii="仿宋_GB2312" w:hAnsi="仿宋_GB2312" w:cs="仿宋_GB2312" w:eastAsia="仿宋_GB2312"/>
                <w:sz w:val="24"/>
              </w:rPr>
              <w:t>2.保修要求（含维修响应条件、培训要求等）：质保期内如因施工及设备质量问题需要维修，成交供应商应保证48小时内提供维修方案，5天内完成维修，无条件免费维修，否则采购人有权另行委托他人完成，所发生的费用均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符合本工程竞争性磋商文件技术要求及国家、行业标准，达到合格。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符合本工程竞争性磋商文件技术要求及国家、行业标准，达到合格。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可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以保函形式交纳响应保证金的，供应商应在投标截止时间前将保函上传至政府采购电子化交易平台，同时将保函扫描成清晰的PDF文件，发送至邮箱lutan2@qq.com（邮件命名：项目名称+项目编号）；供应商应在响应文件中附保函复印件。 2.供应商需要在线提交所有通过电子化交易平台实施的政府采购项目的响应文件，同时，线下提交纸质响应文件正本1份、副本1份，纸质响应文件正副本分别胶装，标明供应商名称密封递交，递交截止时间同在线递交电子响应文件截止时间一致，线下递交文件地点：开瑞项目管理有限公司（陕西省西安市莲湖区高新二路1号招商银行大厦19层前台，联系人：路坦、屈延洁，联系电话：17320095323、17391959019）,若电子响应文件与纸质响应文件不一致的，以电子响应文件为准。 3.本项目采取兼投不兼中原则，供应商可以参加其中一个包或两个包的磋商，但只能成为其中一个包的第一成交候选人，剩余包中，只参与评审但不作为成交候选人推荐。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供应商资质要求1</w:t>
            </w:r>
          </w:p>
        </w:tc>
        <w:tc>
          <w:tcPr>
            <w:tcW w:type="dxa" w:w="3322"/>
          </w:tcPr>
          <w:p>
            <w:pPr>
              <w:pStyle w:val="null3"/>
            </w:pPr>
            <w:r>
              <w:rPr>
                <w:rFonts w:ascii="仿宋_GB2312" w:hAnsi="仿宋_GB2312" w:cs="仿宋_GB2312" w:eastAsia="仿宋_GB2312"/>
              </w:rPr>
              <w:t>供应商应具备建设行政主管部门颁发的消防设施工程专业承包二级（含）以上资质；并在人员、设备、资金等方面具备相应的能力；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供应商资质要求2</w:t>
            </w:r>
          </w:p>
        </w:tc>
        <w:tc>
          <w:tcPr>
            <w:tcW w:type="dxa" w:w="3322"/>
          </w:tcPr>
          <w:p>
            <w:pPr>
              <w:pStyle w:val="null3"/>
            </w:pPr>
            <w:r>
              <w:rPr>
                <w:rFonts w:ascii="仿宋_GB2312" w:hAnsi="仿宋_GB2312" w:cs="仿宋_GB2312" w:eastAsia="仿宋_GB2312"/>
              </w:rPr>
              <w:t>供应商具备有效的安全生产许可证，且未被“全国工程质量安全监管信息平台公共服务门户”网站列为暂扣或吊销状态；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供应商拟派项目经理须具备合法有效的机电工程专业注册建造师二级（含）以上执业资格，同时具备有效的安全生产考核合格证书（安全B证），在本单位注册且无在建工程；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安全生产严重失信主体名单（法人）、“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供应商资质要求1</w:t>
            </w:r>
          </w:p>
        </w:tc>
        <w:tc>
          <w:tcPr>
            <w:tcW w:type="dxa" w:w="3322"/>
          </w:tcPr>
          <w:p>
            <w:pPr>
              <w:pStyle w:val="null3"/>
            </w:pPr>
            <w:r>
              <w:rPr>
                <w:rFonts w:ascii="仿宋_GB2312" w:hAnsi="仿宋_GB2312" w:cs="仿宋_GB2312" w:eastAsia="仿宋_GB2312"/>
              </w:rPr>
              <w:t>供应商应具备建设行政主管部门颁发的消防设施工程专业承包二级（含）以上资质；并在人员、设备、资金等方面具备相应的能力；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供应商资质要求2</w:t>
            </w:r>
          </w:p>
        </w:tc>
        <w:tc>
          <w:tcPr>
            <w:tcW w:type="dxa" w:w="3322"/>
          </w:tcPr>
          <w:p>
            <w:pPr>
              <w:pStyle w:val="null3"/>
            </w:pPr>
            <w:r>
              <w:rPr>
                <w:rFonts w:ascii="仿宋_GB2312" w:hAnsi="仿宋_GB2312" w:cs="仿宋_GB2312" w:eastAsia="仿宋_GB2312"/>
              </w:rPr>
              <w:t>供应商具备有效的安全生产许可证，且未被“全国工程质量安全监管信息平台公共服务门户”网站列为暂扣或吊销状态；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供应商拟派项目经理须具备合法有效的机电工程专业注册建造师二级（含）以上执业资格，同时具备有效的安全生产考核合格证书（安全B证），在本单位注册且无在建工程；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安全生产严重失信主体名单（法人）、“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响应文件封面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响应函、报价函是否按磋商文件要求签署、盖章的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主要材料品质表.docx 中小企业声明函 进度管控与应急方案.docx 企业业绩.docx 技术服务合同条款及其他商务要求应答表 施工总体规划部署及施工方案.docx 质量管控体系方案.docx 响应文件封面 资源配置保障方案.docx 安全文明施工方案.docx 残疾人福利性单位声明函 法定代表人证明书及授权书.docx 报价函 标的清单 消防验收承诺书.docx 资格证明材料.docx 响应函 拟派项目经理职称、学历、业绩证明材料.docx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已标价工程量清单扉页是否加盖有注册在工程造价咨询企业的注册造价工程师签字并盖执业印章(委托第三方造价咨询企业需提供相关证明材料)</w:t>
            </w:r>
          </w:p>
        </w:tc>
        <w:tc>
          <w:tcPr>
            <w:tcW w:type="dxa" w:w="3322"/>
          </w:tcPr>
          <w:p>
            <w:pPr>
              <w:pStyle w:val="null3"/>
            </w:pPr>
            <w:r>
              <w:rPr>
                <w:rFonts w:ascii="仿宋_GB2312" w:hAnsi="仿宋_GB2312" w:cs="仿宋_GB2312" w:eastAsia="仿宋_GB2312"/>
              </w:rPr>
              <w:t>已标价工程量清单扉页已加盖有注册在工程造价咨询企业的注册造价工程师签字并盖执业印章(委托第三方造价咨询企业需提供相关证明材料)；</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供应商是否提供消防验收承诺书</w:t>
            </w:r>
          </w:p>
        </w:tc>
        <w:tc>
          <w:tcPr>
            <w:tcW w:type="dxa" w:w="3322"/>
          </w:tcPr>
          <w:p>
            <w:pPr>
              <w:pStyle w:val="null3"/>
            </w:pPr>
            <w:r>
              <w:rPr>
                <w:rFonts w:ascii="仿宋_GB2312" w:hAnsi="仿宋_GB2312" w:cs="仿宋_GB2312" w:eastAsia="仿宋_GB2312"/>
              </w:rPr>
              <w:t>供应商已按要求提供消防验收承诺书</w:t>
            </w:r>
          </w:p>
        </w:tc>
        <w:tc>
          <w:tcPr>
            <w:tcW w:type="dxa" w:w="1661"/>
          </w:tcPr>
          <w:p>
            <w:pPr>
              <w:pStyle w:val="null3"/>
            </w:pPr>
            <w:r>
              <w:rPr>
                <w:rFonts w:ascii="仿宋_GB2312" w:hAnsi="仿宋_GB2312" w:cs="仿宋_GB2312" w:eastAsia="仿宋_GB2312"/>
              </w:rPr>
              <w:t>消防验收承诺书.docx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响应文件封面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响应函、报价函是否按磋商文件要求签署、盖章的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主要材料品质表.docx 中小企业声明函 进度管控与应急方案.docx 企业业绩.docx 技术服务合同条款及其他商务要求应答表 施工总体规划部署及施工方案.docx 质量管控体系方案.docx 响应文件封面 资源配置保障方案.docx 安全文明施工方案.docx 残疾人福利性单位声明函 法定代表人证明书及授权书.docx 报价函 标的清单 消防验收承诺书.docx 资格证明材料.docx 响应函 拟派项目经理职称、学历、业绩证明材料.docx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已标价工程量清单扉页是否加盖有注册在工程造价咨询企业的注册造价工程师签字并盖执业印章(委托第三方造价咨询企业需提供相关证明材料)</w:t>
            </w:r>
          </w:p>
        </w:tc>
        <w:tc>
          <w:tcPr>
            <w:tcW w:type="dxa" w:w="3322"/>
          </w:tcPr>
          <w:p>
            <w:pPr>
              <w:pStyle w:val="null3"/>
            </w:pPr>
            <w:r>
              <w:rPr>
                <w:rFonts w:ascii="仿宋_GB2312" w:hAnsi="仿宋_GB2312" w:cs="仿宋_GB2312" w:eastAsia="仿宋_GB2312"/>
              </w:rPr>
              <w:t>已标价工程量清单扉页已加盖有注册在工程造价咨询企业的注册造价工程师签字并盖执业印章(委托第三方造价咨询企业需提供相关证明材料)；</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供应商是否提供消防验收承诺书</w:t>
            </w:r>
          </w:p>
        </w:tc>
        <w:tc>
          <w:tcPr>
            <w:tcW w:type="dxa" w:w="3322"/>
          </w:tcPr>
          <w:p>
            <w:pPr>
              <w:pStyle w:val="null3"/>
            </w:pPr>
            <w:r>
              <w:rPr>
                <w:rFonts w:ascii="仿宋_GB2312" w:hAnsi="仿宋_GB2312" w:cs="仿宋_GB2312" w:eastAsia="仿宋_GB2312"/>
              </w:rPr>
              <w:t>供应商已按要求提供消防验收承诺书</w:t>
            </w:r>
          </w:p>
        </w:tc>
        <w:tc>
          <w:tcPr>
            <w:tcW w:type="dxa" w:w="1661"/>
          </w:tcPr>
          <w:p>
            <w:pPr>
              <w:pStyle w:val="null3"/>
            </w:pPr>
            <w:r>
              <w:rPr>
                <w:rFonts w:ascii="仿宋_GB2312" w:hAnsi="仿宋_GB2312" w:cs="仿宋_GB2312" w:eastAsia="仿宋_GB2312"/>
              </w:rPr>
              <w:t>消防验收承诺书.docx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供应商提供自2023年8月1日至本项目响应文件递交截止时间前已承接的类似业绩证明材料，每提供1项得2分，最多得10分。未提供的不得分。 评审依据：提供施工合同证明材料复印件或扫描件，时间以合同签订时间为准。 注：类似业绩指消防改造工程或其他工程施工中包含消防工程施工内容的业绩。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拟派项目经理具备中级及以上职称证书的得3分，其余情况不得分。 评审依据：评审时以供应商提供的的拟派项目经理最高职称证书的扫描件或复印件为准，提供多个职称证明材料的，以最高职称材料为准，未提供的不得分。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拟派项目经理职称、学历、业绩证明材料.docx</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拟派项目经理具备大专及以上学历的得2分；其他情况不得分。 评审依据：以供应商提供的拟派项目经理学历证书的扫描件或复印件为准，提供多个学历或学位证书的，以最高学历为准，未提供的不得分。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拟派项目经理职称、学历、业绩证明材料.docx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供应商提供拟派项目经理自2023年8月1日以来至今已完成的类似项目业绩证明材料的（在该项目中担任项目经理一职）提供1项得2.5分，满分5分。未提供的不得分。 评审依据：提供合同及竣工验收资料的扫描件或复印件，时间以合同签订时间为准，合同中应体现的项目经理姓名。可与企业业绩重复。 注：类似业绩指消防改造工程或其他工程施工中包含消防工程施工内容的业绩。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拟派项目经理职称、学历、业绩证明材料.docx</w:t>
            </w:r>
          </w:p>
        </w:tc>
      </w:tr>
      <w:tr>
        <w:tc>
          <w:tcPr>
            <w:tcW w:type="dxa" w:w="831"/>
            <w:vMerge/>
          </w:tcPr>
          <w:p/>
        </w:tc>
        <w:tc>
          <w:tcPr>
            <w:tcW w:type="dxa" w:w="1661"/>
          </w:tcPr>
          <w:p>
            <w:pPr>
              <w:pStyle w:val="null3"/>
            </w:pPr>
            <w:r>
              <w:rPr>
                <w:rFonts w:ascii="仿宋_GB2312" w:hAnsi="仿宋_GB2312" w:cs="仿宋_GB2312" w:eastAsia="仿宋_GB2312"/>
              </w:rPr>
              <w:t>拟投入的主要材料1</w:t>
            </w:r>
          </w:p>
        </w:tc>
        <w:tc>
          <w:tcPr>
            <w:tcW w:type="dxa" w:w="2492"/>
          </w:tcPr>
          <w:p>
            <w:pPr>
              <w:pStyle w:val="null3"/>
            </w:pPr>
            <w:r>
              <w:rPr>
                <w:rFonts w:ascii="仿宋_GB2312" w:hAnsi="仿宋_GB2312" w:cs="仿宋_GB2312" w:eastAsia="仿宋_GB2312"/>
              </w:rPr>
              <w:t>1.供应商针对本项目提供的主要材料（设备）技术参数、品质填写完整，无缺漏项的得2分。未提供或提供不全或拟投主要材料（设备）技术参数、品质不明确的本项不得分。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主要材料品质表.docx</w:t>
            </w:r>
          </w:p>
        </w:tc>
      </w:tr>
      <w:tr>
        <w:tc>
          <w:tcPr>
            <w:tcW w:type="dxa" w:w="831"/>
            <w:vMerge/>
          </w:tcPr>
          <w:p/>
        </w:tc>
        <w:tc>
          <w:tcPr>
            <w:tcW w:type="dxa" w:w="1661"/>
          </w:tcPr>
          <w:p>
            <w:pPr>
              <w:pStyle w:val="null3"/>
            </w:pPr>
            <w:r>
              <w:rPr>
                <w:rFonts w:ascii="仿宋_GB2312" w:hAnsi="仿宋_GB2312" w:cs="仿宋_GB2312" w:eastAsia="仿宋_GB2312"/>
              </w:rPr>
              <w:t>拟投入的主要材料2</w:t>
            </w:r>
          </w:p>
        </w:tc>
        <w:tc>
          <w:tcPr>
            <w:tcW w:type="dxa" w:w="2492"/>
          </w:tcPr>
          <w:p>
            <w:pPr>
              <w:pStyle w:val="null3"/>
            </w:pPr>
            <w:r>
              <w:rPr>
                <w:rFonts w:ascii="仿宋_GB2312" w:hAnsi="仿宋_GB2312" w:cs="仿宋_GB2312" w:eastAsia="仿宋_GB2312"/>
              </w:rPr>
              <w:t>2.根据供应商针对本项目拟投入主要材料（设备）产品选型情况、品质进行评审： 主要材料品质完全符合项目要求，与本次项目契合度高，相关证明材料完整、清晰的得3分； 主要材料品质基本符合项目要求，材料品质与本次项目契合度较低，相关证明材料部分缺失或不够清晰的得2分； 主要材料品质与本项目契合度低，相关证明材料简单、粗略，缺漏严重的得1分；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主要材料品质表.docx</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1.供应商提供的施工总体规划部署及施工方案需包含①项目施工总体思路；②施工实施阶段划分；③关键工序技术把控措施，共3项内容，每项满分3分，总分9分。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施工总体规划部署及施工方案.docx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2.供应商提供的质量管控体系方案需包含①质量目标及管控措施；②全流程质量检验、整改机制；③质量通病防治措施，共3项内容，每项满分3分，总分9分。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质量管控体系方案.docx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3.供应商提供的进度管控与应急方案需包含①进度管控节点设置、动态调整；②工期延误风险预判及应对措施；③季节性施工（暑期、雨期）适配措施，共3项内容，每项满分3分，总分9分。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进度管控与应急方案.docx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4.供应商提供的安全文明施工方案需包含①安全生产管理制度、责任分工；②安全风险防控、应急处置方案；③文明施工、环保措施（扬尘、噪音管控等），共3项内容，每项满分3分，总分9分。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安全文明施工方案.docx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5.供应商提供的资源配置保障方案需包含①施工队伍、管理人员及经验；②施工机械设备、材料供应；③人力、设备调度方案，共3项内容，每项满分3分，总分9分。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资源配置保障方案.docx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磋商报价得分=（磋商基准价/最后磋商报价）×30 备注：计算分数时四舍五入取小数点后两位。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供应商提供自2023年8月1日至本项目响应文件递交截止时间前已承接的类似业绩证明材料，每提供1项得2分，最多得10分。未提供的不得分。 评审依据：提供施工合同证明材料复印件或扫描件，时间以合同签订时间为准。 注：类似业绩指消防改造工程或其他工程施工中包含消防工程施工内容的业绩。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拟派项目经理具备中级及以上职称证书的得3分，其余情况不得分。 评审依据：评审时以供应商提供的的拟派项目经理最高职称证书的扫描件或复印件为准，提供多个职称证明材料的，以最高职称材料为准，未提供的不得分。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拟派项目经理职称、学历、业绩证明材料.docx</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拟派项目经理具备大专及以上学历的得2分；其他情况不得分。 评审依据：以供应商提供的拟派项目经理学历证书的扫描件或复印件为准，提供多个学历或学位证书的，以最高学历为准，未提供的不得分。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拟派项目经理职称、学历、业绩证明材料.docx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供应商提供拟派项目经理自2023年8月1日以来至今已完成的类似项目业绩证明材料的（在该项目中担任项目经理一职）提供1项得2.5分，满分5分。未提供的不得分。 评审依据：提供合同及竣工验收资料的扫描件或复印件，时间以合同签订时间为准，合同中应体现的项目经理姓名。可与企业业绩重复。 注：类似业绩指消防改造工程或其他工程施工中包含消防工程施工内容的业绩。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拟派项目经理职称、学历、业绩证明材料.docx</w:t>
            </w:r>
          </w:p>
        </w:tc>
      </w:tr>
      <w:tr>
        <w:tc>
          <w:tcPr>
            <w:tcW w:type="dxa" w:w="831"/>
            <w:vMerge/>
          </w:tcPr>
          <w:p/>
        </w:tc>
        <w:tc>
          <w:tcPr>
            <w:tcW w:type="dxa" w:w="1661"/>
          </w:tcPr>
          <w:p>
            <w:pPr>
              <w:pStyle w:val="null3"/>
            </w:pPr>
            <w:r>
              <w:rPr>
                <w:rFonts w:ascii="仿宋_GB2312" w:hAnsi="仿宋_GB2312" w:cs="仿宋_GB2312" w:eastAsia="仿宋_GB2312"/>
              </w:rPr>
              <w:t>拟投入的主要材料1</w:t>
            </w:r>
          </w:p>
        </w:tc>
        <w:tc>
          <w:tcPr>
            <w:tcW w:type="dxa" w:w="2492"/>
          </w:tcPr>
          <w:p>
            <w:pPr>
              <w:pStyle w:val="null3"/>
            </w:pPr>
            <w:r>
              <w:rPr>
                <w:rFonts w:ascii="仿宋_GB2312" w:hAnsi="仿宋_GB2312" w:cs="仿宋_GB2312" w:eastAsia="仿宋_GB2312"/>
              </w:rPr>
              <w:t>1.供应商针对本项目提供的主要材料（设备）技术参数、品质填写完整，无缺漏项的得2分。未提供或提供不全或拟投主要材料（设备）技术参数、品质不明确的本项不得分。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主要材料品质表.docx</w:t>
            </w:r>
          </w:p>
        </w:tc>
      </w:tr>
      <w:tr>
        <w:tc>
          <w:tcPr>
            <w:tcW w:type="dxa" w:w="831"/>
            <w:vMerge/>
          </w:tcPr>
          <w:p/>
        </w:tc>
        <w:tc>
          <w:tcPr>
            <w:tcW w:type="dxa" w:w="1661"/>
          </w:tcPr>
          <w:p>
            <w:pPr>
              <w:pStyle w:val="null3"/>
            </w:pPr>
            <w:r>
              <w:rPr>
                <w:rFonts w:ascii="仿宋_GB2312" w:hAnsi="仿宋_GB2312" w:cs="仿宋_GB2312" w:eastAsia="仿宋_GB2312"/>
              </w:rPr>
              <w:t>拟投入的主要材料2</w:t>
            </w:r>
          </w:p>
        </w:tc>
        <w:tc>
          <w:tcPr>
            <w:tcW w:type="dxa" w:w="2492"/>
          </w:tcPr>
          <w:p>
            <w:pPr>
              <w:pStyle w:val="null3"/>
            </w:pPr>
            <w:r>
              <w:rPr>
                <w:rFonts w:ascii="仿宋_GB2312" w:hAnsi="仿宋_GB2312" w:cs="仿宋_GB2312" w:eastAsia="仿宋_GB2312"/>
              </w:rPr>
              <w:t>2.根据供应商针对本项目拟投入主要材料（设备）产品选型情况、品质进行评审： 主要材料品质完全符合项目要求，与本次项目契合度高，相关证明材料完整、清晰的得3分； 主要材料品质基本符合项目要求，材料品质与本次项目契合度较低，相关证明材料部分缺失或不够清晰的得2分； 主要材料品质与本项目契合度低，相关证明材料简单、粗略，缺漏严重的得1分；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主要材料品质表.docx</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1.供应商提供的施工总体规划部署及施工方案需包含①项目施工总体思路；②施工实施阶段划分；③关键工序技术把控措施，共3项内容，每项满分3分，总分9分。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施工总体规划部署及施工方案.docx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2.供应商提供的质量管控体系方案需包含①质量目标及管控措施；②全流程质量检验、整改机制；③质量通病防治措施，共3项内容，每项满分3分，总分9分。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质量管控体系方案.docx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3.供应商提供的进度管控与应急方案需包含①进度管控节点设置、动态调整；②工期延误风险预判及应对措施；③季节性施工（暑期、雨期）适配措施，共3项内容，每项满分3分，总分9分。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进度管控与应急方案.docx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4.供应商提供的安全文明施工方案需包含①安全生产管理制度、责任分工；②安全风险防控、应急处置方案；③文明施工、环保措施（扬尘、噪音管控等），共3项内容，每项满分3分，总分9分。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安全文明施工方案.docx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5.供应商提供的资源配置保障方案需包含①施工队伍、管理人员及经验；②施工机械设备、材料供应；③人力、设备调度方案，共3项内容，每项满分3分，总分9分。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资源配置保障方案.docx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磋商报价得分=（磋商基准价/最后磋商报价）×30 备注：计算分数时四舍五入取小数点后两位。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详见附件：消防验收承诺书.docx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详见附件：拟派项目经理职称、学历、业绩证明材料.docx</w:t>
      </w:r>
    </w:p>
    <w:p>
      <w:pPr>
        <w:pStyle w:val="null3"/>
        <w:ind w:firstLine="960"/>
      </w:pPr>
      <w:r>
        <w:rPr>
          <w:rFonts w:ascii="仿宋_GB2312" w:hAnsi="仿宋_GB2312" w:cs="仿宋_GB2312" w:eastAsia="仿宋_GB2312"/>
        </w:rPr>
        <w:t>详见附件：主要材料品质表.docx</w:t>
      </w:r>
    </w:p>
    <w:p>
      <w:pPr>
        <w:pStyle w:val="null3"/>
        <w:ind w:firstLine="960"/>
      </w:pPr>
      <w:r>
        <w:rPr>
          <w:rFonts w:ascii="仿宋_GB2312" w:hAnsi="仿宋_GB2312" w:cs="仿宋_GB2312" w:eastAsia="仿宋_GB2312"/>
        </w:rPr>
        <w:t>详见附件：施工总体规划部署及施工方案.docx</w:t>
      </w:r>
    </w:p>
    <w:p>
      <w:pPr>
        <w:pStyle w:val="null3"/>
        <w:ind w:firstLine="960"/>
      </w:pPr>
      <w:r>
        <w:rPr>
          <w:rFonts w:ascii="仿宋_GB2312" w:hAnsi="仿宋_GB2312" w:cs="仿宋_GB2312" w:eastAsia="仿宋_GB2312"/>
        </w:rPr>
        <w:t>详见附件：质量管控体系方案.docx</w:t>
      </w:r>
    </w:p>
    <w:p>
      <w:pPr>
        <w:pStyle w:val="null3"/>
        <w:ind w:firstLine="960"/>
      </w:pPr>
      <w:r>
        <w:rPr>
          <w:rFonts w:ascii="仿宋_GB2312" w:hAnsi="仿宋_GB2312" w:cs="仿宋_GB2312" w:eastAsia="仿宋_GB2312"/>
        </w:rPr>
        <w:t>详见附件：进度管控与应急方案.docx</w:t>
      </w:r>
    </w:p>
    <w:p>
      <w:pPr>
        <w:pStyle w:val="null3"/>
        <w:ind w:firstLine="960"/>
      </w:pPr>
      <w:r>
        <w:rPr>
          <w:rFonts w:ascii="仿宋_GB2312" w:hAnsi="仿宋_GB2312" w:cs="仿宋_GB2312" w:eastAsia="仿宋_GB2312"/>
        </w:rPr>
        <w:t>详见附件：安全文明施工方案.docx</w:t>
      </w:r>
    </w:p>
    <w:p>
      <w:pPr>
        <w:pStyle w:val="null3"/>
        <w:ind w:firstLine="960"/>
      </w:pPr>
      <w:r>
        <w:rPr>
          <w:rFonts w:ascii="仿宋_GB2312" w:hAnsi="仿宋_GB2312" w:cs="仿宋_GB2312" w:eastAsia="仿宋_GB2312"/>
        </w:rPr>
        <w:t>详见附件：资源配置保障方案.docx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详见附件：消防验收承诺书.docx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详见附件：拟派项目经理职称、学历、业绩证明材料.docx</w:t>
      </w:r>
    </w:p>
    <w:p>
      <w:pPr>
        <w:pStyle w:val="null3"/>
        <w:ind w:firstLine="960"/>
      </w:pPr>
      <w:r>
        <w:rPr>
          <w:rFonts w:ascii="仿宋_GB2312" w:hAnsi="仿宋_GB2312" w:cs="仿宋_GB2312" w:eastAsia="仿宋_GB2312"/>
        </w:rPr>
        <w:t>详见附件：主要材料品质表.docx</w:t>
      </w:r>
    </w:p>
    <w:p>
      <w:pPr>
        <w:pStyle w:val="null3"/>
        <w:ind w:firstLine="960"/>
      </w:pPr>
      <w:r>
        <w:rPr>
          <w:rFonts w:ascii="仿宋_GB2312" w:hAnsi="仿宋_GB2312" w:cs="仿宋_GB2312" w:eastAsia="仿宋_GB2312"/>
        </w:rPr>
        <w:t>详见附件：施工总体规划部署及施工方案.docx</w:t>
      </w:r>
    </w:p>
    <w:p>
      <w:pPr>
        <w:pStyle w:val="null3"/>
        <w:ind w:firstLine="960"/>
      </w:pPr>
      <w:r>
        <w:rPr>
          <w:rFonts w:ascii="仿宋_GB2312" w:hAnsi="仿宋_GB2312" w:cs="仿宋_GB2312" w:eastAsia="仿宋_GB2312"/>
        </w:rPr>
        <w:t>详见附件：质量管控体系方案.docx</w:t>
      </w:r>
    </w:p>
    <w:p>
      <w:pPr>
        <w:pStyle w:val="null3"/>
        <w:ind w:firstLine="960"/>
      </w:pPr>
      <w:r>
        <w:rPr>
          <w:rFonts w:ascii="仿宋_GB2312" w:hAnsi="仿宋_GB2312" w:cs="仿宋_GB2312" w:eastAsia="仿宋_GB2312"/>
        </w:rPr>
        <w:t>详见附件：进度管控与应急方案.docx</w:t>
      </w:r>
    </w:p>
    <w:p>
      <w:pPr>
        <w:pStyle w:val="null3"/>
        <w:ind w:firstLine="960"/>
      </w:pPr>
      <w:r>
        <w:rPr>
          <w:rFonts w:ascii="仿宋_GB2312" w:hAnsi="仿宋_GB2312" w:cs="仿宋_GB2312" w:eastAsia="仿宋_GB2312"/>
        </w:rPr>
        <w:t>详见附件：安全文明施工方案.docx</w:t>
      </w:r>
    </w:p>
    <w:p>
      <w:pPr>
        <w:pStyle w:val="null3"/>
        <w:ind w:firstLine="960"/>
      </w:pPr>
      <w:r>
        <w:rPr>
          <w:rFonts w:ascii="仿宋_GB2312" w:hAnsi="仿宋_GB2312" w:cs="仿宋_GB2312" w:eastAsia="仿宋_GB2312"/>
        </w:rPr>
        <w:t>详见附件：资源配置保障方案.docx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