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93DE6">
      <w:pPr>
        <w:pStyle w:val="2"/>
        <w:rPr>
          <w:color w:val="auto"/>
          <w:highlight w:val="none"/>
        </w:rPr>
      </w:pPr>
      <w:bookmarkStart w:id="0" w:name="_Toc7221"/>
      <w:bookmarkStart w:id="1" w:name="_Toc26472"/>
      <w:bookmarkStart w:id="2" w:name="_Toc14041"/>
      <w:r>
        <w:rPr>
          <w:rFonts w:hint="eastAsia"/>
          <w:color w:val="auto"/>
          <w:highlight w:val="none"/>
        </w:rPr>
        <w:t>拟签订采购合同文本</w:t>
      </w:r>
      <w:bookmarkEnd w:id="0"/>
      <w:bookmarkEnd w:id="1"/>
      <w:bookmarkEnd w:id="2"/>
    </w:p>
    <w:p w14:paraId="4B8913C6">
      <w:pPr>
        <w:bidi w:val="0"/>
        <w:rPr>
          <w:color w:val="auto"/>
          <w:highlight w:val="none"/>
        </w:rPr>
      </w:pPr>
    </w:p>
    <w:p w14:paraId="203CE8F6">
      <w:pPr>
        <w:bidi w:val="0"/>
        <w:rPr>
          <w:color w:val="auto"/>
          <w:highlight w:val="none"/>
        </w:rPr>
      </w:pPr>
    </w:p>
    <w:p w14:paraId="77FE57BD">
      <w:pPr>
        <w:bidi w:val="0"/>
        <w:spacing w:line="360" w:lineRule="auto"/>
        <w:jc w:val="center"/>
        <w:rPr>
          <w:color w:val="auto"/>
          <w:sz w:val="24"/>
          <w:szCs w:val="22"/>
          <w:highlight w:val="none"/>
        </w:rPr>
      </w:pPr>
      <w:bookmarkStart w:id="3" w:name="_Toc22306"/>
      <w:bookmarkStart w:id="4" w:name="_Toc22785"/>
      <w:r>
        <w:rPr>
          <w:rFonts w:hint="eastAsia"/>
          <w:color w:val="auto"/>
          <w:sz w:val="24"/>
          <w:szCs w:val="22"/>
          <w:highlight w:val="none"/>
        </w:rPr>
        <w:t>（合同签订时采购人有权根据供应商响应文件中的内容及承诺对合同内容进行补充和完善）</w:t>
      </w:r>
      <w:bookmarkEnd w:id="3"/>
      <w:bookmarkEnd w:id="4"/>
    </w:p>
    <w:p w14:paraId="24804DAA">
      <w:pPr>
        <w:bidi w:val="0"/>
        <w:rPr>
          <w:color w:val="auto"/>
          <w:highlight w:val="none"/>
        </w:rPr>
      </w:pPr>
    </w:p>
    <w:p w14:paraId="3D4B7398">
      <w:pPr>
        <w:bidi w:val="0"/>
        <w:rPr>
          <w:color w:val="auto"/>
          <w:highlight w:val="none"/>
        </w:rPr>
      </w:pPr>
    </w:p>
    <w:p w14:paraId="39D95018">
      <w:pPr>
        <w:bidi w:val="0"/>
        <w:rPr>
          <w:color w:val="auto"/>
          <w:highlight w:val="none"/>
        </w:rPr>
      </w:pPr>
    </w:p>
    <w:p w14:paraId="2666128B">
      <w:pPr>
        <w:bidi w:val="0"/>
        <w:jc w:val="center"/>
        <w:rPr>
          <w:rFonts w:hint="eastAsia" w:ascii="宋体" w:hAnsi="宋体" w:eastAsia="宋体" w:cs="宋体"/>
          <w:b/>
          <w:bCs/>
          <w:color w:val="auto"/>
          <w:sz w:val="40"/>
          <w:szCs w:val="36"/>
          <w:highlight w:val="none"/>
        </w:rPr>
      </w:pPr>
      <w:r>
        <w:rPr>
          <w:rFonts w:hint="eastAsia" w:ascii="宋体" w:hAnsi="宋体" w:cs="宋体"/>
          <w:b/>
          <w:bCs/>
          <w:color w:val="auto"/>
          <w:sz w:val="40"/>
          <w:szCs w:val="36"/>
          <w:highlight w:val="none"/>
          <w:u w:val="single"/>
          <w:lang w:val="en-US" w:eastAsia="zh-CN"/>
        </w:rPr>
        <w:t xml:space="preserve">                         </w:t>
      </w:r>
      <w:r>
        <w:rPr>
          <w:rFonts w:hint="eastAsia" w:ascii="宋体" w:hAnsi="宋体" w:eastAsia="宋体" w:cs="宋体"/>
          <w:b/>
          <w:bCs/>
          <w:color w:val="auto"/>
          <w:sz w:val="40"/>
          <w:szCs w:val="36"/>
          <w:highlight w:val="none"/>
          <w:lang w:val="en-US" w:eastAsia="zh-CN"/>
        </w:rPr>
        <w:t>工程</w:t>
      </w:r>
    </w:p>
    <w:p w14:paraId="7BC87ADC">
      <w:pPr>
        <w:bidi w:val="0"/>
        <w:rPr>
          <w:rFonts w:hint="eastAsia" w:ascii="宋体" w:hAnsi="宋体" w:eastAsia="宋体" w:cs="宋体"/>
          <w:color w:val="auto"/>
          <w:highlight w:val="none"/>
        </w:rPr>
      </w:pPr>
    </w:p>
    <w:p w14:paraId="4F63C286">
      <w:pPr>
        <w:bidi w:val="0"/>
        <w:rPr>
          <w:rFonts w:hint="eastAsia" w:ascii="宋体" w:hAnsi="宋体" w:eastAsia="宋体" w:cs="宋体"/>
          <w:color w:val="auto"/>
          <w:highlight w:val="none"/>
        </w:rPr>
      </w:pPr>
    </w:p>
    <w:p w14:paraId="72524F4D">
      <w:pPr>
        <w:bidi w:val="0"/>
        <w:rPr>
          <w:rFonts w:hint="eastAsia" w:ascii="宋体" w:hAnsi="宋体" w:eastAsia="宋体" w:cs="宋体"/>
          <w:color w:val="auto"/>
          <w:highlight w:val="none"/>
        </w:rPr>
      </w:pPr>
    </w:p>
    <w:p w14:paraId="3FFFC7DF">
      <w:pPr>
        <w:bidi w:val="0"/>
        <w:rPr>
          <w:rFonts w:hint="eastAsia" w:ascii="宋体" w:hAnsi="宋体" w:eastAsia="宋体" w:cs="宋体"/>
          <w:color w:val="auto"/>
          <w:highlight w:val="none"/>
        </w:rPr>
      </w:pPr>
    </w:p>
    <w:p w14:paraId="71121D97">
      <w:pPr>
        <w:bidi w:val="0"/>
        <w:rPr>
          <w:rFonts w:hint="eastAsia" w:ascii="宋体" w:hAnsi="宋体" w:eastAsia="宋体" w:cs="宋体"/>
          <w:color w:val="auto"/>
          <w:highlight w:val="none"/>
        </w:rPr>
      </w:pPr>
    </w:p>
    <w:p w14:paraId="1EEAE049">
      <w:pPr>
        <w:bidi w:val="0"/>
        <w:rPr>
          <w:rFonts w:hint="eastAsia" w:ascii="宋体" w:hAnsi="宋体" w:eastAsia="宋体" w:cs="宋体"/>
          <w:color w:val="auto"/>
          <w:highlight w:val="none"/>
        </w:rPr>
      </w:pPr>
    </w:p>
    <w:p w14:paraId="693E9764">
      <w:pPr>
        <w:bidi w:val="0"/>
        <w:rPr>
          <w:rFonts w:hint="eastAsia" w:ascii="宋体" w:hAnsi="宋体" w:eastAsia="宋体" w:cs="宋体"/>
          <w:color w:val="auto"/>
          <w:highlight w:val="none"/>
        </w:rPr>
      </w:pPr>
    </w:p>
    <w:p w14:paraId="783FF203">
      <w:pPr>
        <w:bidi w:val="0"/>
        <w:rPr>
          <w:rFonts w:hint="eastAsia" w:ascii="宋体" w:hAnsi="宋体" w:eastAsia="宋体" w:cs="宋体"/>
          <w:color w:val="auto"/>
          <w:highlight w:val="none"/>
        </w:rPr>
      </w:pPr>
    </w:p>
    <w:p w14:paraId="4EE1463E">
      <w:pPr>
        <w:bidi w:val="0"/>
        <w:jc w:val="center"/>
        <w:rPr>
          <w:rFonts w:hint="eastAsia" w:ascii="宋体" w:hAnsi="宋体" w:eastAsia="宋体" w:cs="宋体"/>
          <w:b/>
          <w:bCs/>
          <w:color w:val="auto"/>
          <w:sz w:val="60"/>
          <w:szCs w:val="56"/>
          <w:highlight w:val="none"/>
        </w:rPr>
      </w:pPr>
      <w:r>
        <w:rPr>
          <w:rFonts w:hint="eastAsia" w:ascii="宋体" w:hAnsi="宋体" w:eastAsia="宋体" w:cs="宋体"/>
          <w:b/>
          <w:bCs/>
          <w:color w:val="auto"/>
          <w:sz w:val="60"/>
          <w:szCs w:val="56"/>
          <w:highlight w:val="none"/>
        </w:rPr>
        <w:t>施工合同</w:t>
      </w:r>
    </w:p>
    <w:p w14:paraId="547E2BEB">
      <w:pPr>
        <w:bidi w:val="0"/>
        <w:rPr>
          <w:rFonts w:hint="eastAsia" w:ascii="宋体" w:hAnsi="宋体" w:eastAsia="宋体" w:cs="宋体"/>
          <w:color w:val="auto"/>
          <w:highlight w:val="none"/>
        </w:rPr>
      </w:pPr>
    </w:p>
    <w:p w14:paraId="02304A25">
      <w:pPr>
        <w:bidi w:val="0"/>
        <w:rPr>
          <w:rFonts w:hint="eastAsia" w:ascii="宋体" w:hAnsi="宋体" w:eastAsia="宋体" w:cs="宋体"/>
          <w:color w:val="auto"/>
          <w:highlight w:val="none"/>
        </w:rPr>
      </w:pPr>
    </w:p>
    <w:p w14:paraId="199D7891">
      <w:pPr>
        <w:bidi w:val="0"/>
        <w:rPr>
          <w:rFonts w:hint="eastAsia" w:ascii="宋体" w:hAnsi="宋体" w:eastAsia="宋体" w:cs="宋体"/>
          <w:color w:val="auto"/>
          <w:highlight w:val="none"/>
        </w:rPr>
      </w:pPr>
    </w:p>
    <w:p w14:paraId="5DF83E56">
      <w:pPr>
        <w:bidi w:val="0"/>
        <w:rPr>
          <w:rFonts w:hint="eastAsia" w:ascii="宋体" w:hAnsi="宋体" w:eastAsia="宋体" w:cs="宋体"/>
          <w:color w:val="auto"/>
          <w:highlight w:val="none"/>
        </w:rPr>
      </w:pPr>
    </w:p>
    <w:p w14:paraId="4730F33B">
      <w:pPr>
        <w:bidi w:val="0"/>
        <w:rPr>
          <w:rFonts w:hint="eastAsia" w:ascii="宋体" w:hAnsi="宋体" w:eastAsia="宋体" w:cs="宋体"/>
          <w:color w:val="auto"/>
          <w:highlight w:val="none"/>
        </w:rPr>
      </w:pPr>
    </w:p>
    <w:p w14:paraId="0A35D473">
      <w:pPr>
        <w:bidi w:val="0"/>
        <w:rPr>
          <w:rFonts w:hint="eastAsia" w:ascii="宋体" w:hAnsi="宋体" w:eastAsia="宋体" w:cs="宋体"/>
          <w:color w:val="auto"/>
          <w:highlight w:val="none"/>
        </w:rPr>
      </w:pPr>
    </w:p>
    <w:p w14:paraId="062353FD">
      <w:pPr>
        <w:bidi w:val="0"/>
        <w:rPr>
          <w:rFonts w:hint="eastAsia" w:ascii="宋体" w:hAnsi="宋体" w:eastAsia="宋体" w:cs="宋体"/>
          <w:color w:val="auto"/>
          <w:highlight w:val="none"/>
        </w:rPr>
      </w:pPr>
    </w:p>
    <w:p w14:paraId="01CBFCF0">
      <w:pPr>
        <w:bidi w:val="0"/>
        <w:rPr>
          <w:rFonts w:hint="eastAsia" w:ascii="宋体" w:hAnsi="宋体" w:eastAsia="宋体" w:cs="宋体"/>
          <w:color w:val="auto"/>
          <w:highlight w:val="none"/>
        </w:rPr>
      </w:pPr>
    </w:p>
    <w:p w14:paraId="40C0F5AF">
      <w:pPr>
        <w:bidi w:val="0"/>
        <w:rPr>
          <w:rFonts w:hint="eastAsia" w:ascii="宋体" w:hAnsi="宋体" w:eastAsia="宋体" w:cs="宋体"/>
          <w:color w:val="auto"/>
          <w:highlight w:val="none"/>
        </w:rPr>
      </w:pPr>
    </w:p>
    <w:p w14:paraId="21754688">
      <w:pPr>
        <w:keepNext w:val="0"/>
        <w:keepLines w:val="0"/>
        <w:pageBreakBefore w:val="0"/>
        <w:widowControl w:val="0"/>
        <w:kinsoku/>
        <w:wordWrap/>
        <w:overflowPunct/>
        <w:topLinePunct w:val="0"/>
        <w:autoSpaceDE/>
        <w:autoSpaceDN/>
        <w:bidi w:val="0"/>
        <w:adjustRightInd/>
        <w:snapToGrid/>
        <w:spacing w:line="600" w:lineRule="auto"/>
        <w:ind w:firstLine="2570" w:firstLineChars="800"/>
        <w:jc w:val="both"/>
        <w:textAlignment w:val="auto"/>
        <w:rPr>
          <w:rFonts w:hint="eastAsia" w:ascii="宋体" w:hAnsi="宋体" w:eastAsia="宋体" w:cs="宋体"/>
          <w:b/>
          <w:bCs/>
          <w:color w:val="auto"/>
          <w:sz w:val="32"/>
          <w:szCs w:val="28"/>
          <w:highlight w:val="none"/>
          <w:lang w:val="en-US" w:eastAsia="zh-CN"/>
        </w:rPr>
      </w:pPr>
      <w:r>
        <w:rPr>
          <w:rFonts w:hint="eastAsia" w:ascii="宋体" w:hAnsi="宋体" w:eastAsia="宋体" w:cs="宋体"/>
          <w:b/>
          <w:bCs/>
          <w:color w:val="auto"/>
          <w:sz w:val="32"/>
          <w:szCs w:val="28"/>
          <w:highlight w:val="none"/>
        </w:rPr>
        <w:t>甲方：</w:t>
      </w:r>
      <w:r>
        <w:rPr>
          <w:rFonts w:hint="eastAsia" w:ascii="宋体" w:hAnsi="宋体" w:eastAsia="宋体" w:cs="宋体"/>
          <w:b/>
          <w:bCs/>
          <w:color w:val="auto"/>
          <w:sz w:val="32"/>
          <w:szCs w:val="28"/>
          <w:highlight w:val="none"/>
          <w:u w:val="single"/>
          <w:lang w:val="en-US" w:eastAsia="zh-CN"/>
        </w:rPr>
        <w:t xml:space="preserve"> </w:t>
      </w:r>
      <w:r>
        <w:rPr>
          <w:rFonts w:hint="eastAsia" w:ascii="宋体" w:hAnsi="宋体" w:eastAsia="宋体" w:cs="宋体"/>
          <w:b/>
          <w:bCs/>
          <w:color w:val="auto"/>
          <w:sz w:val="32"/>
          <w:szCs w:val="28"/>
          <w:highlight w:val="none"/>
          <w:u w:val="single"/>
        </w:rPr>
        <w:t>西安工程大学</w:t>
      </w:r>
      <w:r>
        <w:rPr>
          <w:rFonts w:hint="eastAsia" w:ascii="宋体" w:hAnsi="宋体" w:eastAsia="宋体" w:cs="宋体"/>
          <w:b/>
          <w:bCs/>
          <w:color w:val="auto"/>
          <w:sz w:val="32"/>
          <w:szCs w:val="28"/>
          <w:highlight w:val="none"/>
          <w:u w:val="single"/>
          <w:lang w:val="en-US" w:eastAsia="zh-CN"/>
        </w:rPr>
        <w:t xml:space="preserve"> </w:t>
      </w:r>
    </w:p>
    <w:p w14:paraId="521AB10D">
      <w:pPr>
        <w:keepNext w:val="0"/>
        <w:keepLines w:val="0"/>
        <w:pageBreakBefore w:val="0"/>
        <w:widowControl w:val="0"/>
        <w:kinsoku/>
        <w:wordWrap/>
        <w:overflowPunct/>
        <w:topLinePunct w:val="0"/>
        <w:autoSpaceDE/>
        <w:autoSpaceDN/>
        <w:bidi w:val="0"/>
        <w:adjustRightInd/>
        <w:snapToGrid/>
        <w:spacing w:line="600" w:lineRule="auto"/>
        <w:ind w:firstLine="2570" w:firstLineChars="800"/>
        <w:jc w:val="both"/>
        <w:textAlignment w:val="auto"/>
        <w:rPr>
          <w:rFonts w:hint="default" w:ascii="宋体" w:hAnsi="宋体" w:eastAsia="宋体" w:cs="宋体"/>
          <w:b/>
          <w:bCs/>
          <w:color w:val="auto"/>
          <w:sz w:val="32"/>
          <w:szCs w:val="28"/>
          <w:highlight w:val="none"/>
          <w:lang w:val="en-US" w:eastAsia="zh-CN"/>
        </w:rPr>
      </w:pPr>
      <w:r>
        <w:rPr>
          <w:rFonts w:hint="eastAsia" w:ascii="宋体" w:hAnsi="宋体" w:eastAsia="宋体" w:cs="宋体"/>
          <w:b/>
          <w:bCs/>
          <w:color w:val="auto"/>
          <w:sz w:val="32"/>
          <w:szCs w:val="28"/>
          <w:highlight w:val="none"/>
        </w:rPr>
        <w:t>乙方：</w:t>
      </w:r>
      <w:r>
        <w:rPr>
          <w:rFonts w:hint="eastAsia" w:ascii="宋体" w:hAnsi="宋体" w:eastAsia="宋体" w:cs="宋体"/>
          <w:b/>
          <w:bCs/>
          <w:color w:val="auto"/>
          <w:sz w:val="32"/>
          <w:szCs w:val="28"/>
          <w:highlight w:val="none"/>
          <w:u w:val="single"/>
          <w:lang w:val="en-US" w:eastAsia="zh-CN"/>
        </w:rPr>
        <w:t xml:space="preserve">  </w:t>
      </w:r>
      <w:r>
        <w:rPr>
          <w:rFonts w:hint="eastAsia" w:ascii="宋体" w:hAnsi="宋体" w:cs="宋体"/>
          <w:b/>
          <w:bCs/>
          <w:color w:val="auto"/>
          <w:sz w:val="32"/>
          <w:szCs w:val="28"/>
          <w:highlight w:val="none"/>
          <w:u w:val="single"/>
          <w:lang w:val="en-US" w:eastAsia="zh-CN"/>
        </w:rPr>
        <w:t xml:space="preserve">            </w:t>
      </w:r>
    </w:p>
    <w:p w14:paraId="66322AE2">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宋体" w:hAnsi="宋体" w:eastAsia="宋体" w:cs="宋体"/>
          <w:b/>
          <w:bCs/>
          <w:color w:val="auto"/>
          <w:sz w:val="32"/>
          <w:szCs w:val="28"/>
          <w:highlight w:val="none"/>
          <w:lang w:eastAsia="zh-Hans"/>
        </w:rPr>
      </w:pPr>
      <w:r>
        <w:rPr>
          <w:rFonts w:hint="eastAsia" w:ascii="宋体" w:hAnsi="宋体" w:eastAsia="宋体" w:cs="宋体"/>
          <w:b/>
          <w:bCs/>
          <w:color w:val="auto"/>
          <w:sz w:val="32"/>
          <w:szCs w:val="28"/>
          <w:highlight w:val="none"/>
          <w:u w:val="single"/>
        </w:rPr>
        <w:t xml:space="preserve">   </w:t>
      </w:r>
      <w:r>
        <w:rPr>
          <w:rFonts w:hint="eastAsia" w:ascii="宋体" w:hAnsi="宋体" w:eastAsia="宋体" w:cs="宋体"/>
          <w:b/>
          <w:bCs/>
          <w:color w:val="auto"/>
          <w:sz w:val="32"/>
          <w:szCs w:val="28"/>
          <w:highlight w:val="none"/>
          <w:u w:val="single"/>
          <w:lang w:val="en-US" w:eastAsia="zh-CN"/>
        </w:rPr>
        <w:t xml:space="preserve"> </w:t>
      </w:r>
      <w:r>
        <w:rPr>
          <w:rFonts w:hint="eastAsia" w:ascii="宋体" w:hAnsi="宋体" w:eastAsia="宋体" w:cs="宋体"/>
          <w:b/>
          <w:bCs/>
          <w:color w:val="auto"/>
          <w:sz w:val="32"/>
          <w:szCs w:val="28"/>
          <w:highlight w:val="none"/>
          <w:u w:val="single"/>
        </w:rPr>
        <w:t xml:space="preserve"> </w:t>
      </w:r>
      <w:r>
        <w:rPr>
          <w:rFonts w:hint="eastAsia" w:ascii="宋体" w:hAnsi="宋体" w:eastAsia="宋体" w:cs="宋体"/>
          <w:b/>
          <w:bCs/>
          <w:color w:val="auto"/>
          <w:sz w:val="32"/>
          <w:szCs w:val="28"/>
          <w:highlight w:val="none"/>
        </w:rPr>
        <w:t>年</w:t>
      </w:r>
      <w:r>
        <w:rPr>
          <w:rFonts w:hint="eastAsia" w:ascii="宋体" w:hAnsi="宋体" w:eastAsia="宋体" w:cs="宋体"/>
          <w:b/>
          <w:bCs/>
          <w:color w:val="auto"/>
          <w:sz w:val="32"/>
          <w:szCs w:val="28"/>
          <w:highlight w:val="none"/>
          <w:u w:val="single"/>
        </w:rPr>
        <w:t xml:space="preserve">  </w:t>
      </w:r>
      <w:r>
        <w:rPr>
          <w:rFonts w:hint="eastAsia" w:ascii="宋体" w:hAnsi="宋体" w:cs="宋体"/>
          <w:b/>
          <w:bCs/>
          <w:color w:val="auto"/>
          <w:sz w:val="32"/>
          <w:szCs w:val="28"/>
          <w:highlight w:val="none"/>
          <w:u w:val="single"/>
          <w:lang w:val="en-US" w:eastAsia="zh-CN"/>
        </w:rPr>
        <w:t xml:space="preserve"> </w:t>
      </w:r>
      <w:r>
        <w:rPr>
          <w:rFonts w:hint="eastAsia" w:ascii="宋体" w:hAnsi="宋体" w:eastAsia="宋体" w:cs="宋体"/>
          <w:b/>
          <w:bCs/>
          <w:color w:val="auto"/>
          <w:sz w:val="32"/>
          <w:szCs w:val="28"/>
          <w:highlight w:val="none"/>
          <w:u w:val="single"/>
        </w:rPr>
        <w:t xml:space="preserve">  </w:t>
      </w:r>
      <w:r>
        <w:rPr>
          <w:rFonts w:hint="eastAsia" w:ascii="宋体" w:hAnsi="宋体" w:eastAsia="宋体" w:cs="宋体"/>
          <w:b/>
          <w:bCs/>
          <w:color w:val="auto"/>
          <w:sz w:val="32"/>
          <w:szCs w:val="28"/>
          <w:highlight w:val="none"/>
        </w:rPr>
        <w:t>月</w:t>
      </w:r>
      <w:r>
        <w:rPr>
          <w:rFonts w:hint="eastAsia" w:ascii="宋体" w:hAnsi="宋体" w:eastAsia="宋体" w:cs="宋体"/>
          <w:b/>
          <w:bCs/>
          <w:color w:val="auto"/>
          <w:sz w:val="32"/>
          <w:szCs w:val="28"/>
          <w:highlight w:val="none"/>
          <w:u w:val="single"/>
        </w:rPr>
        <w:t xml:space="preserve">  </w:t>
      </w:r>
      <w:r>
        <w:rPr>
          <w:rFonts w:hint="eastAsia" w:ascii="宋体" w:hAnsi="宋体" w:eastAsia="宋体" w:cs="宋体"/>
          <w:b/>
          <w:bCs/>
          <w:color w:val="auto"/>
          <w:sz w:val="32"/>
          <w:szCs w:val="28"/>
          <w:highlight w:val="none"/>
          <w:u w:val="single"/>
          <w:lang w:val="en-US" w:eastAsia="zh-CN"/>
        </w:rPr>
        <w:t xml:space="preserve"> </w:t>
      </w:r>
      <w:r>
        <w:rPr>
          <w:rFonts w:hint="eastAsia" w:ascii="宋体" w:hAnsi="宋体" w:eastAsia="宋体" w:cs="宋体"/>
          <w:b/>
          <w:bCs/>
          <w:color w:val="auto"/>
          <w:sz w:val="32"/>
          <w:szCs w:val="28"/>
          <w:highlight w:val="none"/>
          <w:u w:val="single"/>
        </w:rPr>
        <w:t xml:space="preserve">  </w:t>
      </w:r>
      <w:r>
        <w:rPr>
          <w:rFonts w:hint="eastAsia" w:ascii="宋体" w:hAnsi="宋体" w:eastAsia="宋体" w:cs="宋体"/>
          <w:b/>
          <w:bCs/>
          <w:color w:val="auto"/>
          <w:sz w:val="32"/>
          <w:szCs w:val="28"/>
          <w:highlight w:val="none"/>
        </w:rPr>
        <w:t>日</w:t>
      </w:r>
    </w:p>
    <w:p w14:paraId="271D1066">
      <w:pPr>
        <w:bidi w:val="0"/>
        <w:spacing w:line="240" w:lineRule="auto"/>
        <w:jc w:val="center"/>
        <w:rPr>
          <w:color w:val="auto"/>
          <w:szCs w:val="24"/>
          <w:highlight w:val="none"/>
        </w:rPr>
      </w:pPr>
      <w:r>
        <w:rPr>
          <w:color w:val="auto"/>
          <w:highlight w:val="none"/>
        </w:rPr>
        <w:br w:type="page"/>
      </w:r>
      <w:r>
        <w:rPr>
          <w:rFonts w:hint="eastAsia"/>
          <w:b/>
          <w:bCs/>
          <w:color w:val="auto"/>
          <w:sz w:val="32"/>
          <w:szCs w:val="40"/>
          <w:highlight w:val="none"/>
        </w:rPr>
        <w:t>西安工程大学工程合同（模板）</w:t>
      </w:r>
    </w:p>
    <w:p w14:paraId="4B6C91B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甲方：</w:t>
      </w:r>
      <w:r>
        <w:rPr>
          <w:rFonts w:hint="eastAsia" w:ascii="宋体" w:hAnsi="宋体" w:cs="宋体"/>
          <w:b/>
          <w:bCs/>
          <w:color w:val="auto"/>
          <w:sz w:val="24"/>
          <w:szCs w:val="24"/>
          <w:highlight w:val="none"/>
          <w:u w:val="single"/>
        </w:rPr>
        <w:t>西安工程大学</w:t>
      </w:r>
    </w:p>
    <w:p w14:paraId="7B0648B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乙方：</w:t>
      </w:r>
      <w:r>
        <w:rPr>
          <w:rFonts w:ascii="宋体" w:hAnsi="宋体" w:cs="宋体"/>
          <w:b/>
          <w:bCs/>
          <w:color w:val="auto"/>
          <w:sz w:val="24"/>
          <w:szCs w:val="24"/>
          <w:highlight w:val="none"/>
          <w:u w:val="single"/>
        </w:rPr>
        <w:t xml:space="preserve">            </w:t>
      </w:r>
    </w:p>
    <w:p w14:paraId="100C4D4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为了维护甲乙双方权益，依据《中华人民共和国民法典》及相关法律、行政法规和政府采购招投标管理办法，按照公开、公正、平等、自愿的原则，在充分协商一致的基础上，特订立本合同，以资共同遵守。</w:t>
      </w:r>
    </w:p>
    <w:p w14:paraId="521C3A9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一、工程概况</w:t>
      </w:r>
    </w:p>
    <w:p w14:paraId="60596D9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宋体" w:eastAsia="宋体" w:cs="宋体"/>
          <w:color w:val="auto"/>
          <w:sz w:val="24"/>
          <w:szCs w:val="24"/>
          <w:highlight w:val="none"/>
          <w:lang w:val="en-US" w:eastAsia="zh-CN"/>
        </w:rPr>
      </w:pPr>
      <w:r>
        <w:rPr>
          <w:rFonts w:ascii="宋体" w:hAnsi="宋体" w:cs="宋体"/>
          <w:color w:val="auto"/>
          <w:sz w:val="24"/>
          <w:szCs w:val="24"/>
          <w:highlight w:val="none"/>
        </w:rPr>
        <w:t>1.</w:t>
      </w:r>
      <w:r>
        <w:rPr>
          <w:rFonts w:hint="eastAsia" w:ascii="宋体" w:hAnsi="宋体" w:cs="宋体"/>
          <w:color w:val="auto"/>
          <w:sz w:val="24"/>
          <w:szCs w:val="24"/>
          <w:highlight w:val="none"/>
        </w:rPr>
        <w:t>工程名称：</w:t>
      </w:r>
      <w:r>
        <w:rPr>
          <w:rFonts w:hint="eastAsia" w:ascii="宋体" w:hAnsi="宋体" w:cs="宋体"/>
          <w:color w:val="auto"/>
          <w:sz w:val="24"/>
          <w:szCs w:val="24"/>
          <w:highlight w:val="none"/>
          <w:u w:val="single"/>
          <w:lang w:val="en-US" w:eastAsia="zh-CN"/>
        </w:rPr>
        <w:t xml:space="preserve">                                    </w:t>
      </w:r>
    </w:p>
    <w:p w14:paraId="07AF64B0">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工程地点：</w:t>
      </w:r>
      <w:r>
        <w:rPr>
          <w:rFonts w:hint="eastAsia" w:ascii="宋体" w:hAnsi="宋体" w:cs="宋体"/>
          <w:color w:val="auto"/>
          <w:sz w:val="24"/>
          <w:szCs w:val="24"/>
          <w:highlight w:val="none"/>
          <w:u w:val="single"/>
        </w:rPr>
        <w:t>西安工程大学</w:t>
      </w:r>
      <w:r>
        <w:rPr>
          <w:rFonts w:hint="eastAsia" w:ascii="宋体" w:hAnsi="宋体" w:cs="宋体"/>
          <w:color w:val="auto"/>
          <w:sz w:val="24"/>
          <w:szCs w:val="24"/>
          <w:highlight w:val="none"/>
          <w:u w:val="single"/>
          <w:lang w:eastAsia="zh-CN"/>
        </w:rPr>
        <w:t>临潼校区</w:t>
      </w:r>
    </w:p>
    <w:p w14:paraId="5DE0E4B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二、工程内容、数量及技术要求</w:t>
      </w:r>
    </w:p>
    <w:p w14:paraId="54A2DEC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（详见采购要求）</w:t>
      </w:r>
    </w:p>
    <w:p w14:paraId="0D162B3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三、合同价款</w:t>
      </w:r>
    </w:p>
    <w:p w14:paraId="2BD28DC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合同暂定价款：为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元（大写：</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B2B381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本工程为固定单价合同，本合同执行乙方磋商优惠后中标固定综合单价。综合单价内含人工费、主辅材费、机械费、管理费、利润、安全文明施工费、措施费、税金、风险费</w:t>
      </w:r>
      <w:r>
        <w:rPr>
          <w:rFonts w:hint="eastAsia" w:ascii="宋体" w:hAnsi="宋体" w:cs="宋体"/>
          <w:color w:val="auto"/>
          <w:sz w:val="24"/>
          <w:szCs w:val="24"/>
          <w:highlight w:val="none"/>
        </w:rPr>
        <w:t>、施工人员意外伤害险、第三者责任险等以及与施工相关的一切费用；中标固定综合单价不因国家法律、行政法规和国家政策变化及原材料市场价格发生变化等进行调整</w:t>
      </w:r>
      <w:r>
        <w:rPr>
          <w:rFonts w:hint="eastAsia" w:ascii="宋体" w:hAnsi="宋体" w:cs="宋体"/>
          <w:color w:val="auto"/>
          <w:sz w:val="24"/>
          <w:szCs w:val="24"/>
          <w:highlight w:val="none"/>
        </w:rPr>
        <w:t>；合同工程量为暂定量，结算工程量根据现场实际发生量据实结算，规费以乙方实际缴纳票据为依据计取，工程造价最终以审计结算结果为准。</w:t>
      </w:r>
    </w:p>
    <w:p w14:paraId="08EFB12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因施工产生的建筑垃圾清运及校外弃运费（含渣土外运相关手续办理）及成品保护费用均包含在综合单价内，不再另行计费。</w:t>
      </w:r>
    </w:p>
    <w:p w14:paraId="6C32C8B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所有分项工程施工工艺已在开标前由乙方详细勘查现场后根据行业规范及现场实际情况科学组价，与施工相关的一切费用均包含在相关综合单价中，不再另行计费。</w:t>
      </w:r>
    </w:p>
    <w:p w14:paraId="1D59AB6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四、合同工期</w:t>
      </w:r>
    </w:p>
    <w:p w14:paraId="07EB04D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总工期</w:t>
      </w:r>
      <w:r>
        <w:rPr>
          <w:rFonts w:ascii="宋体" w:hAnsi="宋体" w:cs="宋体"/>
          <w:color w:val="auto"/>
          <w:sz w:val="24"/>
          <w:szCs w:val="24"/>
          <w:highlight w:val="none"/>
          <w:u w:val="single"/>
        </w:rPr>
        <w:t xml:space="preserve"> </w:t>
      </w:r>
      <w:bookmarkStart w:id="5" w:name="_GoBack"/>
      <w:r>
        <w:rPr>
          <w:rFonts w:hint="eastAsia" w:ascii="宋体" w:hAnsi="宋体" w:cs="宋体"/>
          <w:color w:val="auto"/>
          <w:sz w:val="24"/>
          <w:szCs w:val="24"/>
          <w:highlight w:val="none"/>
          <w:u w:val="single"/>
          <w:lang w:val="en-US" w:eastAsia="zh-CN"/>
        </w:rPr>
        <w:t>20</w:t>
      </w:r>
      <w:bookmarkEnd w:id="5"/>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天（日历天），具体开工日期以双方商定为准。</w:t>
      </w:r>
    </w:p>
    <w:p w14:paraId="7D9ED1C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五、工程结算及工程款支付方式</w:t>
      </w:r>
    </w:p>
    <w:p w14:paraId="70C3115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包工包料、包工期、包质量、包安全、包文明施工的施工总承包，工程完工后工程量据实结算，工程造价最终以审计结算结果为准。</w:t>
      </w:r>
    </w:p>
    <w:p w14:paraId="5E45D58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合同签订后，乙方向甲方提供预付款等额的银行、保险公司等金融机构出具的预付款保函或其他担保措施，甲方向乙方支付合同总价40%的预付款</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正式审计报告出具后甲方在办理完校内工程款支付审批手续后，支付至工程审定造价</w:t>
      </w:r>
      <w:r>
        <w:rPr>
          <w:rFonts w:hint="eastAsia" w:ascii="宋体" w:hAnsi="宋体" w:cs="宋体"/>
          <w:strike w:val="0"/>
          <w:dstrike w:val="0"/>
          <w:color w:val="auto"/>
          <w:sz w:val="24"/>
          <w:szCs w:val="24"/>
          <w:highlight w:val="none"/>
        </w:rPr>
        <w:t>的95%；剩余5%余款在乙方履行保修义务无质量问题后支付。</w:t>
      </w:r>
      <w:r>
        <w:rPr>
          <w:rFonts w:hint="eastAsia" w:ascii="宋体" w:hAnsi="宋体" w:cs="宋体"/>
          <w:color w:val="auto"/>
          <w:sz w:val="24"/>
          <w:szCs w:val="24"/>
          <w:highlight w:val="none"/>
        </w:rPr>
        <w:t>付款前，乙方需向甲方出具合法有效的等额增值税专用或普通发票,若因乙方未开具或逾期开具合法有效的发票，甲方有权顺延付款期限且不承担逾期付款责任。</w:t>
      </w:r>
    </w:p>
    <w:p w14:paraId="05F319B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施工现场所发生施工合同以外的施工内容和新增加的其他工程量，经甲方书面认可该工程量后双方现场据实确认，费用一并计入工程结算中。</w:t>
      </w:r>
    </w:p>
    <w:p w14:paraId="30F1E36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施工现场所发生施工合同以外施工内容综合单价确认办法：</w:t>
      </w:r>
    </w:p>
    <w:p w14:paraId="432BECD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合同中已有适用于变更工程的价格，按合同已有价格；合同中没有适用的单价，由乙方提出变更认价报告，甲方对主材认价，相关取费参照《陕西省建设工程费用规则（2025）》、《陕西省房屋建筑与装饰工程消耗量定额（2025）》、《陕西省通用安装工程消耗量定额（2025）》及其配套的2025基价表和学校相关规定执行。</w:t>
      </w:r>
    </w:p>
    <w:p w14:paraId="7CB2BFA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工程施工结算阶段，乙方应据实申报结算资料及组价，经审计后审减率超出</w:t>
      </w:r>
      <w:r>
        <w:rPr>
          <w:rFonts w:ascii="宋体" w:hAnsi="宋体" w:cs="宋体"/>
          <w:color w:val="auto"/>
          <w:sz w:val="24"/>
          <w:szCs w:val="24"/>
          <w:highlight w:val="none"/>
        </w:rPr>
        <w:t>10%</w:t>
      </w:r>
      <w:r>
        <w:rPr>
          <w:rFonts w:hint="eastAsia" w:ascii="宋体" w:hAnsi="宋体" w:cs="宋体"/>
          <w:color w:val="auto"/>
          <w:sz w:val="24"/>
          <w:szCs w:val="24"/>
          <w:highlight w:val="none"/>
        </w:rPr>
        <w:t>（含</w:t>
      </w:r>
      <w:r>
        <w:rPr>
          <w:rFonts w:ascii="宋体" w:hAnsi="宋体" w:cs="宋体"/>
          <w:color w:val="auto"/>
          <w:sz w:val="24"/>
          <w:szCs w:val="24"/>
          <w:highlight w:val="none"/>
        </w:rPr>
        <w:t>10%</w:t>
      </w:r>
      <w:r>
        <w:rPr>
          <w:rFonts w:hint="eastAsia" w:ascii="宋体" w:hAnsi="宋体" w:cs="宋体"/>
          <w:color w:val="auto"/>
          <w:sz w:val="24"/>
          <w:szCs w:val="24"/>
          <w:highlight w:val="none"/>
        </w:rPr>
        <w:t>）时，发生的全部审计成果费由乙方承担。</w:t>
      </w:r>
    </w:p>
    <w:p w14:paraId="69C5F10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本工程所发生的水电费由乙方承担，按工程审定造价的</w:t>
      </w:r>
      <w:r>
        <w:rPr>
          <w:rFonts w:ascii="宋体" w:hAnsi="宋体" w:cs="宋体"/>
          <w:color w:val="auto"/>
          <w:sz w:val="24"/>
          <w:szCs w:val="24"/>
          <w:highlight w:val="none"/>
        </w:rPr>
        <w:t>5</w:t>
      </w:r>
      <w:r>
        <w:rPr>
          <w:rFonts w:hint="eastAsia" w:ascii="宋体" w:hAnsi="宋体" w:cs="宋体"/>
          <w:color w:val="auto"/>
          <w:sz w:val="24"/>
          <w:szCs w:val="24"/>
          <w:highlight w:val="none"/>
        </w:rPr>
        <w:t>‰（其中电费为</w:t>
      </w:r>
      <w:r>
        <w:rPr>
          <w:rFonts w:ascii="宋体" w:hAnsi="宋体" w:cs="宋体"/>
          <w:color w:val="auto"/>
          <w:sz w:val="24"/>
          <w:szCs w:val="24"/>
          <w:highlight w:val="none"/>
        </w:rPr>
        <w:t>3</w:t>
      </w:r>
      <w:r>
        <w:rPr>
          <w:rFonts w:hint="eastAsia" w:ascii="宋体" w:hAnsi="宋体" w:cs="宋体"/>
          <w:color w:val="auto"/>
          <w:sz w:val="24"/>
          <w:szCs w:val="24"/>
          <w:highlight w:val="none"/>
        </w:rPr>
        <w:t>‰，水费为</w:t>
      </w:r>
      <w:r>
        <w:rPr>
          <w:rFonts w:ascii="宋体" w:hAnsi="宋体" w:cs="宋体"/>
          <w:color w:val="auto"/>
          <w:sz w:val="24"/>
          <w:szCs w:val="24"/>
          <w:highlight w:val="none"/>
        </w:rPr>
        <w:t>2</w:t>
      </w:r>
      <w:r>
        <w:rPr>
          <w:rFonts w:hint="eastAsia" w:ascii="宋体" w:hAnsi="宋体" w:cs="宋体"/>
          <w:color w:val="auto"/>
          <w:sz w:val="24"/>
          <w:szCs w:val="24"/>
          <w:highlight w:val="none"/>
        </w:rPr>
        <w:t>‰）从工程款项中一次性扣除。</w:t>
      </w:r>
    </w:p>
    <w:p w14:paraId="3BE1CC1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7.履约保证金</w:t>
      </w:r>
    </w:p>
    <w:p w14:paraId="343B009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（1）乙方成交后凭中标通知书向甲方缴纳合同金额的5%作为履约保证金；</w:t>
      </w:r>
    </w:p>
    <w:p w14:paraId="53998BB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（2）履约保证金应使用人民币，可选择使用银行转账、支票、汇票、本票或者金融机构、担保机构出具的保函等非现金形式缴纳或提交；</w:t>
      </w:r>
    </w:p>
    <w:p w14:paraId="54F5680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甲方验收合格后，乙方提出书面申请，甲方将履约保证金（无息）退还乙方。</w:t>
      </w:r>
    </w:p>
    <w:p w14:paraId="7E412E8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六、工程施工要求</w:t>
      </w:r>
    </w:p>
    <w:p w14:paraId="29F5812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乙方在施工中应严格管理，自觉遵守学校及政府关于施工、文明施工、安全施工的相关要求；乙方在施工中，应加强职工安全意识的教育和管理工作，严格执行施工质量及安全操作规程，施工中所发生的一切机械、人身伤、残、亡事故及质量事故概由乙方承担。工程竣工后做到工完场清。</w:t>
      </w:r>
    </w:p>
    <w:p w14:paraId="5C1C2EE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七、质量检查与验收</w:t>
      </w:r>
    </w:p>
    <w:p w14:paraId="1115DF4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本工程所有设备、材料均由乙方负责采购，乙方必须对所采购物资质量负全部责任，工程所用所有材料必须符合国家、行业标准及甲方要求，并与乙方投标文件所标示品牌一致，所有材料进场前需由建设方、监理方考察认质，材料进场前需提供样品，甲方认定样品质量后封存，大批量材料进场时进行比对查验，所有材料进场后必须经甲方、监理方现场管理人员验收书面确认后方可使用，甲方对材料的验收不免除乙方对其采购物资质量负全部责任的义务。</w:t>
      </w:r>
    </w:p>
    <w:p w14:paraId="3AB1393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本工程质量等级：符合本工程招标文件技术要求及国家、行业标准，达到合格。</w:t>
      </w:r>
    </w:p>
    <w:p w14:paraId="4330E8D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八、工程质保期</w:t>
      </w:r>
    </w:p>
    <w:p w14:paraId="2BD9761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本工程质保期</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年，工程竣工验收合格之日起计算，质保期内如因施工及设备质量问题需要维修，乙方应保证</w:t>
      </w:r>
      <w:r>
        <w:rPr>
          <w:rFonts w:ascii="宋体" w:hAnsi="宋体" w:cs="宋体"/>
          <w:color w:val="auto"/>
          <w:sz w:val="24"/>
          <w:szCs w:val="24"/>
          <w:highlight w:val="none"/>
        </w:rPr>
        <w:t>48</w:t>
      </w:r>
      <w:r>
        <w:rPr>
          <w:rFonts w:hint="eastAsia" w:ascii="宋体" w:hAnsi="宋体" w:cs="宋体"/>
          <w:color w:val="auto"/>
          <w:sz w:val="24"/>
          <w:szCs w:val="24"/>
          <w:highlight w:val="none"/>
        </w:rPr>
        <w:t>小时内提供维修方案，</w:t>
      </w:r>
      <w:r>
        <w:rPr>
          <w:rFonts w:ascii="宋体" w:hAnsi="宋体" w:cs="宋体"/>
          <w:color w:val="auto"/>
          <w:sz w:val="24"/>
          <w:szCs w:val="24"/>
          <w:highlight w:val="none"/>
        </w:rPr>
        <w:t>5</w:t>
      </w:r>
      <w:r>
        <w:rPr>
          <w:rFonts w:hint="eastAsia" w:ascii="宋体" w:hAnsi="宋体" w:cs="宋体"/>
          <w:color w:val="auto"/>
          <w:sz w:val="24"/>
          <w:szCs w:val="24"/>
          <w:highlight w:val="none"/>
        </w:rPr>
        <w:t>天内完成维修，无条件免费维修，否则甲方有权另行委托他人完成，所发生的费用均由乙方承担。</w:t>
      </w:r>
    </w:p>
    <w:p w14:paraId="3E4E529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九、甲方责任</w:t>
      </w:r>
    </w:p>
    <w:p w14:paraId="2C14975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甲方指派</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作为甲方施工现场代表，负责施工的监督管理和协调，验收乙方设备、材料来货单及双方往来文件，协调办理乙方进场施工手续。</w:t>
      </w:r>
    </w:p>
    <w:p w14:paraId="7A14A0A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指定乙方施工时所需的材料及工具堆放地点，指定水电源接点位置；</w:t>
      </w:r>
    </w:p>
    <w:p w14:paraId="483A3EE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对乙方项目部组成人员名单、修改完善后的施工组织设计、施工进度计划横线图及相关技术资料进行审批和签署。</w:t>
      </w:r>
    </w:p>
    <w:p w14:paraId="2503491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十、乙方责任</w:t>
      </w:r>
    </w:p>
    <w:p w14:paraId="5118B0A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乙方指派</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作为工地项目负责人，负责设备、材料安装、工程质量和施工安全的管理以及签收双方往来文件等。乙方工地负责人，联系电话</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，微信号</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，邮箱</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CA166A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设备、材料进场及安装时接受甲方的全程监督管理。</w:t>
      </w:r>
    </w:p>
    <w:p w14:paraId="5446253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严格按照技术要求、施工内容和制作要求进行生产和施工安装，对不符合合同要求的设备、材料及不符合验收标准的设备、材料进行改造和更换。</w:t>
      </w:r>
    </w:p>
    <w:p w14:paraId="4B102AE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负责做好施工期间材料、设备的保管。</w:t>
      </w:r>
    </w:p>
    <w:p w14:paraId="06B5B448">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按时按质完成设备、材料的制作、采购和安装调试，保证甲方的正常使用，并向甲方及时提交工程审计结算所需完整资料。</w:t>
      </w:r>
    </w:p>
    <w:p w14:paraId="3A9B212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在工程施工和设备、材料安装过程中，不得任意破坏甲方土建结构，如确实需要改动土建结构的，需经甲方书面同意，否则，需向甲方支付合同暂定价</w:t>
      </w:r>
      <w:r>
        <w:rPr>
          <w:rFonts w:hint="eastAsia" w:ascii="宋体" w:hAnsi="宋体" w:cs="宋体"/>
          <w:color w:val="auto"/>
          <w:sz w:val="24"/>
          <w:szCs w:val="24"/>
          <w:highlight w:val="none"/>
          <w:lang w:val="en-US" w:eastAsia="zh-CN"/>
        </w:rPr>
        <w:t>30</w:t>
      </w:r>
      <w:r>
        <w:rPr>
          <w:rFonts w:ascii="宋体" w:hAnsi="宋体" w:cs="宋体"/>
          <w:color w:val="auto"/>
          <w:sz w:val="24"/>
          <w:szCs w:val="24"/>
          <w:highlight w:val="none"/>
        </w:rPr>
        <w:t>%</w:t>
      </w:r>
      <w:r>
        <w:rPr>
          <w:rFonts w:hint="eastAsia" w:ascii="宋体" w:hAnsi="宋体" w:cs="宋体"/>
          <w:color w:val="auto"/>
          <w:sz w:val="24"/>
          <w:szCs w:val="24"/>
          <w:highlight w:val="none"/>
        </w:rPr>
        <w:t>的违约金，造成甲方损失的，还应赔偿甲方全部经济损失。</w:t>
      </w:r>
    </w:p>
    <w:p w14:paraId="071B854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十一、违约责任</w:t>
      </w:r>
    </w:p>
    <w:p w14:paraId="2E3568D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本工程施工时间紧张，乙方必须提前做好准备，科学合理组织人力、物力及设备投入，必须保证保质、保量、按期完工，未经甲方书面同意，工期每推迟一天，按照合同价的1%按天累计从工程款项中一次性扣除。延期超过30天，甲方有权解除合同。</w:t>
      </w:r>
    </w:p>
    <w:p w14:paraId="32F50B9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乙方在施工中如不服从甲方管理和监督而违章施工，经甲方提出拒不改正，甲方有权令其停工，由此带来的经济损失由乙方自负；乙方停工后仍不及时整改或工作无有新的起色，甲方有权解除合同，并有权向乙方索赔由此带来的全部经济损失。</w:t>
      </w:r>
    </w:p>
    <w:p w14:paraId="4799C06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除</w:t>
      </w:r>
      <w:r>
        <w:rPr>
          <w:rFonts w:ascii="宋体" w:hAnsi="宋体" w:cs="宋体"/>
          <w:color w:val="auto"/>
          <w:sz w:val="24"/>
          <w:szCs w:val="24"/>
          <w:highlight w:val="none"/>
        </w:rPr>
        <w:t>不可抗力外，</w:t>
      </w:r>
      <w:r>
        <w:rPr>
          <w:rFonts w:hint="eastAsia" w:ascii="宋体" w:hAnsi="宋体" w:cs="宋体"/>
          <w:color w:val="auto"/>
          <w:sz w:val="24"/>
          <w:szCs w:val="24"/>
          <w:highlight w:val="none"/>
        </w:rPr>
        <w:t>因一方原因，合同无法继续履行时，应在不可抗力发生之日起30日内书面通知另一方，双方协商一致后办理合同终止协议，并由责任方赔偿对方由此造成的经济损失。</w:t>
      </w:r>
    </w:p>
    <w:p w14:paraId="40AE463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如因乙方原因，给甲方造成不限于本合同明确约定的损失，乙方应赔偿甲方的全部经济损失。本合同所称全部经济损失，包括但不限于：直接损失、赔偿金、违约金、诉讼费用、仲裁费、鉴定费、保全费、保全担保费用、律师费等。</w:t>
      </w:r>
    </w:p>
    <w:p w14:paraId="6CBD044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十二、争议解决方式：</w:t>
      </w:r>
      <w:r>
        <w:rPr>
          <w:rFonts w:ascii="宋体" w:cs="宋体"/>
          <w:b/>
          <w:bCs/>
          <w:color w:val="auto"/>
          <w:sz w:val="24"/>
          <w:szCs w:val="24"/>
          <w:highlight w:val="none"/>
        </w:rPr>
        <w:tab/>
      </w:r>
    </w:p>
    <w:p w14:paraId="0829BF7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此合同未尽事宜，双方友好协商解决，如协商未果，交由施工所在地人民法院诉讼解决。</w:t>
      </w:r>
    </w:p>
    <w:p w14:paraId="583EB3C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ascii="宋体" w:cs="宋体"/>
          <w:b/>
          <w:bCs/>
          <w:color w:val="auto"/>
          <w:sz w:val="24"/>
          <w:szCs w:val="24"/>
          <w:highlight w:val="none"/>
        </w:rPr>
      </w:pPr>
      <w:r>
        <w:rPr>
          <w:rFonts w:hint="eastAsia" w:ascii="宋体" w:hAnsi="宋体" w:cs="宋体"/>
          <w:b/>
          <w:bCs/>
          <w:color w:val="auto"/>
          <w:sz w:val="24"/>
          <w:szCs w:val="24"/>
          <w:highlight w:val="none"/>
        </w:rPr>
        <w:t>十三、其他约定</w:t>
      </w:r>
    </w:p>
    <w:p w14:paraId="0D376D74">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与本合同有关的招标文件、施工图纸、工程量清单、投标文件、工程变更资料、会议纪要、工程签证、工程预决算、技术资料、业务往来文件均为本合同之附件，与本合同具有同等法律效力。</w:t>
      </w:r>
    </w:p>
    <w:p w14:paraId="5B5F107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本合同一式</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份，甲方执</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份，乙方执</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份，经双方签字并盖章生效，具有同等的法律效力，至合同履行完毕时自行解除。</w:t>
      </w:r>
    </w:p>
    <w:p w14:paraId="7BC7A3A3">
      <w:pPr>
        <w:bidi w:val="0"/>
        <w:spacing w:line="600" w:lineRule="auto"/>
        <w:ind w:firstLine="482" w:firstLineChars="200"/>
        <w:rPr>
          <w:b/>
          <w:bCs/>
          <w:color w:val="auto"/>
          <w:highlight w:val="none"/>
        </w:rPr>
      </w:pPr>
      <w:r>
        <w:rPr>
          <w:rFonts w:hint="eastAsia"/>
          <w:b/>
          <w:bCs/>
          <w:color w:val="auto"/>
          <w:highlight w:val="none"/>
        </w:rPr>
        <w:t>（以下无正文</w:t>
      </w:r>
      <w:r>
        <w:rPr>
          <w:rFonts w:hint="eastAsia"/>
          <w:b/>
          <w:bCs/>
          <w:color w:val="auto"/>
          <w:highlight w:val="none"/>
          <w:lang w:eastAsia="zh-CN"/>
        </w:rPr>
        <w:t>，为签署页</w:t>
      </w:r>
      <w:r>
        <w:rPr>
          <w:rFonts w:hint="eastAsia"/>
          <w:b/>
          <w:bCs/>
          <w:color w:val="auto"/>
          <w:highlight w:val="none"/>
        </w:rPr>
        <w:t>）</w:t>
      </w:r>
    </w:p>
    <w:p w14:paraId="791CBD5F">
      <w:pPr>
        <w:bidi w:val="0"/>
        <w:spacing w:line="480" w:lineRule="auto"/>
        <w:ind w:firstLine="482" w:firstLineChars="200"/>
        <w:rPr>
          <w:rFonts w:hint="eastAsia"/>
          <w:b/>
          <w:bCs/>
          <w:color w:val="auto"/>
          <w:highlight w:val="none"/>
        </w:rPr>
        <w:sectPr>
          <w:headerReference r:id="rId4" w:type="default"/>
          <w:pgSz w:w="11906" w:h="16838"/>
          <w:pgMar w:top="1440" w:right="1800" w:bottom="1440" w:left="1800" w:header="851" w:footer="992" w:gutter="0"/>
          <w:pgNumType w:fmt="decimal"/>
          <w:cols w:space="720" w:num="1"/>
          <w:docGrid w:type="lines" w:linePitch="312" w:charSpace="0"/>
        </w:sectPr>
      </w:pPr>
    </w:p>
    <w:p w14:paraId="27BF8A98">
      <w:pPr>
        <w:bidi w:val="0"/>
        <w:spacing w:line="600" w:lineRule="auto"/>
        <w:ind w:firstLine="482" w:firstLineChars="200"/>
        <w:rPr>
          <w:b/>
          <w:bCs/>
          <w:color w:val="auto"/>
          <w:highlight w:val="none"/>
        </w:rPr>
      </w:pPr>
      <w:r>
        <w:rPr>
          <w:rFonts w:hint="eastAsia"/>
          <w:b/>
          <w:bCs/>
          <w:color w:val="auto"/>
          <w:highlight w:val="none"/>
        </w:rPr>
        <w:t>（</w:t>
      </w:r>
      <w:r>
        <w:rPr>
          <w:rFonts w:hint="eastAsia"/>
          <w:b/>
          <w:bCs/>
          <w:color w:val="auto"/>
          <w:highlight w:val="none"/>
          <w:lang w:eastAsia="zh-CN"/>
        </w:rPr>
        <w:t>本页为签署页</w:t>
      </w:r>
      <w:r>
        <w:rPr>
          <w:rFonts w:hint="eastAsia"/>
          <w:b/>
          <w:bCs/>
          <w:color w:val="auto"/>
          <w:highlight w:val="none"/>
        </w:rPr>
        <w:t>）</w:t>
      </w:r>
    </w:p>
    <w:tbl>
      <w:tblPr>
        <w:tblStyle w:val="4"/>
        <w:tblW w:w="8299" w:type="dxa"/>
        <w:jc w:val="center"/>
        <w:tblLayout w:type="fixed"/>
        <w:tblCellMar>
          <w:top w:w="0" w:type="dxa"/>
          <w:left w:w="108" w:type="dxa"/>
          <w:bottom w:w="0" w:type="dxa"/>
          <w:right w:w="108" w:type="dxa"/>
        </w:tblCellMar>
      </w:tblPr>
      <w:tblGrid>
        <w:gridCol w:w="4149"/>
        <w:gridCol w:w="4150"/>
      </w:tblGrid>
      <w:tr w14:paraId="438D5A79">
        <w:tblPrEx>
          <w:tblCellMar>
            <w:top w:w="0" w:type="dxa"/>
            <w:left w:w="108" w:type="dxa"/>
            <w:bottom w:w="0" w:type="dxa"/>
            <w:right w:w="108" w:type="dxa"/>
          </w:tblCellMar>
        </w:tblPrEx>
        <w:trPr>
          <w:trHeight w:val="690" w:hRule="atLeast"/>
          <w:jc w:val="center"/>
        </w:trPr>
        <w:tc>
          <w:tcPr>
            <w:tcW w:w="4149" w:type="dxa"/>
            <w:noWrap w:val="0"/>
            <w:vAlign w:val="top"/>
          </w:tcPr>
          <w:p w14:paraId="1A6B9377">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甲方（盖章）：</w:t>
            </w:r>
            <w:r>
              <w:rPr>
                <w:rFonts w:ascii="宋体" w:hAnsi="宋体" w:cs="宋体"/>
                <w:bCs/>
                <w:color w:val="auto"/>
                <w:sz w:val="24"/>
                <w:szCs w:val="24"/>
                <w:highlight w:val="none"/>
                <w:u w:val="single"/>
              </w:rPr>
              <w:t xml:space="preserve">                  </w:t>
            </w:r>
          </w:p>
        </w:tc>
        <w:tc>
          <w:tcPr>
            <w:tcW w:w="4150" w:type="dxa"/>
            <w:noWrap w:val="0"/>
            <w:vAlign w:val="top"/>
          </w:tcPr>
          <w:p w14:paraId="04D150E6">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乙方（盖章）：</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ascii="宋体" w:hAnsi="宋体" w:cs="宋体"/>
                <w:bCs/>
                <w:color w:val="auto"/>
                <w:sz w:val="24"/>
                <w:szCs w:val="24"/>
                <w:highlight w:val="none"/>
                <w:u w:val="single"/>
              </w:rPr>
              <w:t xml:space="preserve">  </w:t>
            </w:r>
          </w:p>
        </w:tc>
      </w:tr>
      <w:tr w14:paraId="34324D48">
        <w:tblPrEx>
          <w:tblCellMar>
            <w:top w:w="0" w:type="dxa"/>
            <w:left w:w="108" w:type="dxa"/>
            <w:bottom w:w="0" w:type="dxa"/>
            <w:right w:w="108" w:type="dxa"/>
          </w:tblCellMar>
        </w:tblPrEx>
        <w:trPr>
          <w:trHeight w:val="690" w:hRule="atLeast"/>
          <w:jc w:val="center"/>
        </w:trPr>
        <w:tc>
          <w:tcPr>
            <w:tcW w:w="4149" w:type="dxa"/>
            <w:noWrap w:val="0"/>
            <w:vAlign w:val="top"/>
          </w:tcPr>
          <w:p w14:paraId="4761AF1F">
            <w:pPr>
              <w:keepNext/>
              <w:keepLines/>
              <w:spacing w:before="0" w:beforeAutospacing="0" w:after="0" w:afterAutospacing="0"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委托代理人（签字）：</w:t>
            </w:r>
            <w:r>
              <w:rPr>
                <w:rFonts w:ascii="宋体" w:hAnsi="宋体" w:cs="宋体"/>
                <w:bCs/>
                <w:color w:val="auto"/>
                <w:sz w:val="24"/>
                <w:szCs w:val="24"/>
                <w:highlight w:val="none"/>
                <w:u w:val="single"/>
              </w:rPr>
              <w:t xml:space="preserve">            </w:t>
            </w:r>
          </w:p>
        </w:tc>
        <w:tc>
          <w:tcPr>
            <w:tcW w:w="4150" w:type="dxa"/>
            <w:noWrap w:val="0"/>
            <w:vAlign w:val="top"/>
          </w:tcPr>
          <w:p w14:paraId="425D58BE">
            <w:pPr>
              <w:keepNext/>
              <w:keepLines/>
              <w:spacing w:before="0" w:beforeAutospacing="0" w:after="0" w:afterAutospacing="0" w:line="480" w:lineRule="auto"/>
              <w:outlineLvl w:val="3"/>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法定代表或</w:t>
            </w:r>
          </w:p>
          <w:p w14:paraId="7EB9C772">
            <w:pPr>
              <w:keepNext/>
              <w:keepLines/>
              <w:spacing w:before="0" w:beforeAutospacing="0" w:after="0" w:afterAutospacing="0"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委托代理人（签字）：</w:t>
            </w:r>
            <w:r>
              <w:rPr>
                <w:rFonts w:ascii="宋体" w:hAnsi="宋体" w:cs="宋体"/>
                <w:bCs/>
                <w:color w:val="auto"/>
                <w:sz w:val="24"/>
                <w:szCs w:val="24"/>
                <w:highlight w:val="none"/>
                <w:u w:val="single"/>
              </w:rPr>
              <w:t xml:space="preserve">                  </w:t>
            </w:r>
          </w:p>
        </w:tc>
      </w:tr>
      <w:tr w14:paraId="035773CC">
        <w:tblPrEx>
          <w:tblCellMar>
            <w:top w:w="0" w:type="dxa"/>
            <w:left w:w="108" w:type="dxa"/>
            <w:bottom w:w="0" w:type="dxa"/>
            <w:right w:w="108" w:type="dxa"/>
          </w:tblCellMar>
        </w:tblPrEx>
        <w:trPr>
          <w:trHeight w:val="690" w:hRule="atLeast"/>
          <w:jc w:val="center"/>
        </w:trPr>
        <w:tc>
          <w:tcPr>
            <w:tcW w:w="4149" w:type="dxa"/>
            <w:noWrap w:val="0"/>
            <w:vAlign w:val="top"/>
          </w:tcPr>
          <w:p w14:paraId="56C206F6">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地址：</w:t>
            </w:r>
            <w:r>
              <w:rPr>
                <w:rFonts w:ascii="宋体" w:hAnsi="宋体" w:cs="宋体"/>
                <w:bCs/>
                <w:color w:val="auto"/>
                <w:sz w:val="24"/>
                <w:szCs w:val="24"/>
                <w:highlight w:val="none"/>
                <w:u w:val="single"/>
              </w:rPr>
              <w:t xml:space="preserve">                          </w:t>
            </w:r>
          </w:p>
        </w:tc>
        <w:tc>
          <w:tcPr>
            <w:tcW w:w="4150" w:type="dxa"/>
            <w:noWrap w:val="0"/>
            <w:vAlign w:val="top"/>
          </w:tcPr>
          <w:p w14:paraId="67610953">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地址：</w:t>
            </w:r>
            <w:r>
              <w:rPr>
                <w:rFonts w:ascii="宋体" w:hAnsi="宋体" w:cs="宋体"/>
                <w:bCs/>
                <w:color w:val="auto"/>
                <w:sz w:val="24"/>
                <w:szCs w:val="24"/>
                <w:highlight w:val="none"/>
                <w:u w:val="single"/>
              </w:rPr>
              <w:t xml:space="preserve">                           </w:t>
            </w:r>
          </w:p>
        </w:tc>
      </w:tr>
      <w:tr w14:paraId="6A6D87F7">
        <w:tblPrEx>
          <w:tblCellMar>
            <w:top w:w="0" w:type="dxa"/>
            <w:left w:w="108" w:type="dxa"/>
            <w:bottom w:w="0" w:type="dxa"/>
            <w:right w:w="108" w:type="dxa"/>
          </w:tblCellMar>
        </w:tblPrEx>
        <w:trPr>
          <w:trHeight w:val="690" w:hRule="atLeast"/>
          <w:jc w:val="center"/>
        </w:trPr>
        <w:tc>
          <w:tcPr>
            <w:tcW w:w="4149" w:type="dxa"/>
            <w:noWrap w:val="0"/>
            <w:vAlign w:val="top"/>
          </w:tcPr>
          <w:p w14:paraId="4E1012FA">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联系电话：</w:t>
            </w:r>
            <w:r>
              <w:rPr>
                <w:rFonts w:ascii="宋体" w:hAnsi="宋体" w:cs="宋体"/>
                <w:bCs/>
                <w:color w:val="auto"/>
                <w:sz w:val="24"/>
                <w:szCs w:val="24"/>
                <w:highlight w:val="none"/>
                <w:u w:val="single"/>
              </w:rPr>
              <w:t xml:space="preserve">                      </w:t>
            </w:r>
          </w:p>
        </w:tc>
        <w:tc>
          <w:tcPr>
            <w:tcW w:w="4150" w:type="dxa"/>
            <w:noWrap w:val="0"/>
            <w:vAlign w:val="top"/>
          </w:tcPr>
          <w:p w14:paraId="78B6DE47">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联系电话：</w:t>
            </w:r>
            <w:r>
              <w:rPr>
                <w:rFonts w:ascii="宋体" w:hAnsi="宋体" w:cs="宋体"/>
                <w:bCs/>
                <w:color w:val="auto"/>
                <w:sz w:val="24"/>
                <w:szCs w:val="24"/>
                <w:highlight w:val="none"/>
                <w:u w:val="single"/>
              </w:rPr>
              <w:t xml:space="preserve">                       </w:t>
            </w:r>
          </w:p>
        </w:tc>
      </w:tr>
      <w:tr w14:paraId="41F9ADE0">
        <w:tblPrEx>
          <w:tblCellMar>
            <w:top w:w="0" w:type="dxa"/>
            <w:left w:w="108" w:type="dxa"/>
            <w:bottom w:w="0" w:type="dxa"/>
            <w:right w:w="108" w:type="dxa"/>
          </w:tblCellMar>
        </w:tblPrEx>
        <w:trPr>
          <w:trHeight w:val="690" w:hRule="atLeast"/>
          <w:jc w:val="center"/>
        </w:trPr>
        <w:tc>
          <w:tcPr>
            <w:tcW w:w="4149" w:type="dxa"/>
            <w:noWrap w:val="0"/>
            <w:vAlign w:val="top"/>
          </w:tcPr>
          <w:p w14:paraId="46F2C9B6">
            <w:pPr>
              <w:keepNext/>
              <w:keepLines/>
              <w:spacing w:line="480" w:lineRule="auto"/>
              <w:outlineLvl w:val="3"/>
              <w:rPr>
                <w:rFonts w:ascii="宋体" w:cs="宋体"/>
                <w:bCs/>
                <w:color w:val="auto"/>
                <w:sz w:val="24"/>
                <w:szCs w:val="24"/>
                <w:highlight w:val="none"/>
              </w:rPr>
            </w:pPr>
          </w:p>
        </w:tc>
        <w:tc>
          <w:tcPr>
            <w:tcW w:w="4150" w:type="dxa"/>
            <w:noWrap w:val="0"/>
            <w:vAlign w:val="top"/>
          </w:tcPr>
          <w:p w14:paraId="000F34DD">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开户银行：</w:t>
            </w:r>
            <w:r>
              <w:rPr>
                <w:rFonts w:ascii="宋体" w:hAnsi="宋体" w:cs="宋体"/>
                <w:bCs/>
                <w:color w:val="auto"/>
                <w:sz w:val="24"/>
                <w:szCs w:val="24"/>
                <w:highlight w:val="none"/>
              </w:rPr>
              <w:t xml:space="preserve"> </w:t>
            </w:r>
            <w:r>
              <w:rPr>
                <w:rFonts w:ascii="宋体" w:hAnsi="宋体" w:cs="宋体"/>
                <w:bCs/>
                <w:color w:val="auto"/>
                <w:sz w:val="24"/>
                <w:szCs w:val="24"/>
                <w:highlight w:val="none"/>
                <w:u w:val="single"/>
              </w:rPr>
              <w:t xml:space="preserve">                      </w:t>
            </w:r>
            <w:r>
              <w:rPr>
                <w:rFonts w:ascii="宋体" w:hAnsi="宋体" w:cs="宋体"/>
                <w:bCs/>
                <w:color w:val="auto"/>
                <w:sz w:val="24"/>
                <w:szCs w:val="24"/>
                <w:highlight w:val="none"/>
              </w:rPr>
              <w:t xml:space="preserve">               </w:t>
            </w:r>
          </w:p>
        </w:tc>
      </w:tr>
      <w:tr w14:paraId="56A98C57">
        <w:tblPrEx>
          <w:tblCellMar>
            <w:top w:w="0" w:type="dxa"/>
            <w:left w:w="108" w:type="dxa"/>
            <w:bottom w:w="0" w:type="dxa"/>
            <w:right w:w="108" w:type="dxa"/>
          </w:tblCellMar>
        </w:tblPrEx>
        <w:trPr>
          <w:trHeight w:val="690" w:hRule="atLeast"/>
          <w:jc w:val="center"/>
        </w:trPr>
        <w:tc>
          <w:tcPr>
            <w:tcW w:w="4149" w:type="dxa"/>
            <w:noWrap w:val="0"/>
            <w:vAlign w:val="top"/>
          </w:tcPr>
          <w:p w14:paraId="23DC6DEE">
            <w:pPr>
              <w:keepNext/>
              <w:keepLines/>
              <w:spacing w:line="480" w:lineRule="auto"/>
              <w:outlineLvl w:val="3"/>
              <w:rPr>
                <w:rFonts w:ascii="宋体" w:cs="宋体"/>
                <w:bCs/>
                <w:color w:val="auto"/>
                <w:sz w:val="24"/>
                <w:szCs w:val="24"/>
                <w:highlight w:val="none"/>
              </w:rPr>
            </w:pPr>
          </w:p>
        </w:tc>
        <w:tc>
          <w:tcPr>
            <w:tcW w:w="4150" w:type="dxa"/>
            <w:noWrap w:val="0"/>
            <w:vAlign w:val="top"/>
          </w:tcPr>
          <w:p w14:paraId="66053B0D">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银行账号：</w:t>
            </w:r>
            <w:r>
              <w:rPr>
                <w:rFonts w:ascii="宋体" w:hAnsi="宋体" w:cs="宋体"/>
                <w:bCs/>
                <w:color w:val="auto"/>
                <w:sz w:val="24"/>
                <w:szCs w:val="24"/>
                <w:highlight w:val="none"/>
                <w:u w:val="single"/>
              </w:rPr>
              <w:t xml:space="preserve">                       </w:t>
            </w:r>
          </w:p>
        </w:tc>
      </w:tr>
      <w:tr w14:paraId="6193B2A2">
        <w:tblPrEx>
          <w:tblCellMar>
            <w:top w:w="0" w:type="dxa"/>
            <w:left w:w="108" w:type="dxa"/>
            <w:bottom w:w="0" w:type="dxa"/>
            <w:right w:w="108" w:type="dxa"/>
          </w:tblCellMar>
        </w:tblPrEx>
        <w:trPr>
          <w:trHeight w:val="690" w:hRule="atLeast"/>
          <w:jc w:val="center"/>
        </w:trPr>
        <w:tc>
          <w:tcPr>
            <w:tcW w:w="4149" w:type="dxa"/>
            <w:noWrap w:val="0"/>
            <w:vAlign w:val="top"/>
          </w:tcPr>
          <w:p w14:paraId="02540A2B">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签订日期：</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rPr>
              <w:t>年</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月</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日</w:t>
            </w:r>
          </w:p>
        </w:tc>
        <w:tc>
          <w:tcPr>
            <w:tcW w:w="4150" w:type="dxa"/>
            <w:noWrap w:val="0"/>
            <w:vAlign w:val="top"/>
          </w:tcPr>
          <w:p w14:paraId="437B67CB">
            <w:pPr>
              <w:keepNext/>
              <w:keepLines/>
              <w:spacing w:line="480" w:lineRule="auto"/>
              <w:outlineLvl w:val="3"/>
              <w:rPr>
                <w:rFonts w:ascii="宋体" w:cs="宋体"/>
                <w:bCs/>
                <w:color w:val="auto"/>
                <w:sz w:val="24"/>
                <w:szCs w:val="24"/>
                <w:highlight w:val="none"/>
              </w:rPr>
            </w:pPr>
            <w:r>
              <w:rPr>
                <w:rFonts w:hint="eastAsia" w:ascii="宋体" w:hAnsi="宋体" w:cs="宋体"/>
                <w:bCs/>
                <w:color w:val="auto"/>
                <w:sz w:val="24"/>
                <w:szCs w:val="24"/>
                <w:highlight w:val="none"/>
              </w:rPr>
              <w:t>签订日期：</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年</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月</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日</w:t>
            </w:r>
          </w:p>
        </w:tc>
      </w:tr>
    </w:tbl>
    <w:p w14:paraId="2C6BA6EF">
      <w:pPr>
        <w:rPr>
          <w:color w:val="auto"/>
          <w:highlight w:val="none"/>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26A8A">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683BE0"/>
    <w:rsid w:val="0C683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Autospacing="0" w:afterAutospacing="0"/>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0"/>
    <w:pPr>
      <w:keepNext/>
      <w:spacing w:beforeAutospacing="0" w:afterAutospacing="0"/>
      <w:jc w:val="center"/>
      <w:outlineLvl w:val="0"/>
    </w:pPr>
    <w:rPr>
      <w:b/>
      <w:kern w:val="0"/>
      <w:sz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2026-08-09T09:03:00Z</dcterms:created>
  <dc:creator>一疋布</dc:creator>
  <cp:lastModifiedBy>一疋布</cp:lastModifiedBy>
  <dcterms:modified xsi:type="dcterms:W3CDTF">2026-08-09T09:04:01Z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F0A10C14FAD94FE5B9789931C9D9BE52_11</vt:lpwstr>
  </property>
  <property fmtid="{D5CDD505-2E9C-101B-9397-08002B2CF9AE}" pid="4" name="KSOTemplateDocerSaveRecord">
    <vt:lpwstr>eyJoZGlkIjoiNDEzMTdlZTc5Y2RmZjdjYWVlZGUwOTgzNzg5NzQ2MmIiLCJ1c2VySWQiOiI0NTc5ODEwMzIifQ==</vt:lpwstr>
  </property>
</Properties>
</file>