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版本号：SXGLZFCG2026-021号20260804001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第28届中国大学生羽毛球锦标赛（高水平组）总决赛赛事服务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SXGLZFCG2026-021号</w:t>
      </w:r>
      <w:r>
        <w:br/>
      </w:r>
      <w:r>
        <w:br/>
      </w:r>
      <w:r>
        <w:br/>
      </w:r>
    </w:p>
    <w:p>
      <w:pPr>
        <w:pStyle w:val="null3"/>
        <w:jc w:val="center"/>
        <w:outlineLvl w:val="2"/>
      </w:pPr>
      <w:r>
        <w:rPr>
          <w:rFonts w:ascii="仿宋_GB2312" w:hAnsi="仿宋_GB2312" w:cs="仿宋_GB2312" w:eastAsia="仿宋_GB2312"/>
          <w:sz w:val="28"/>
          <w:b/>
        </w:rPr>
        <w:t>铜川市体育局</w:t>
      </w:r>
    </w:p>
    <w:p>
      <w:pPr>
        <w:pStyle w:val="null3"/>
        <w:jc w:val="center"/>
        <w:outlineLvl w:val="2"/>
      </w:pPr>
      <w:r>
        <w:rPr>
          <w:rFonts w:ascii="仿宋_GB2312" w:hAnsi="仿宋_GB2312" w:cs="仿宋_GB2312" w:eastAsia="仿宋_GB2312"/>
          <w:sz w:val="28"/>
          <w:b/>
        </w:rPr>
        <w:t>陕西公立工程项目管理咨询有限公司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铜川市体育局</w:t>
      </w:r>
      <w:r>
        <w:rPr>
          <w:rFonts w:ascii="仿宋_GB2312" w:hAnsi="仿宋_GB2312" w:cs="仿宋_GB2312" w:eastAsia="仿宋_GB2312"/>
        </w:rPr>
        <w:t>委托，拟对</w:t>
      </w:r>
      <w:r>
        <w:rPr>
          <w:rFonts w:ascii="仿宋_GB2312" w:hAnsi="仿宋_GB2312" w:cs="仿宋_GB2312" w:eastAsia="仿宋_GB2312"/>
        </w:rPr>
        <w:t>第28届中国大学生羽毛球锦标赛（高水平组）总决赛赛事服务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SXGLZFCG2026-021号</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第28届中国大学生羽毛球锦标赛（高水平组）总决赛赛事服务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第28届中国大学生羽毛球锦标赛（高水平组）总决赛赛事服务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采购包1（第28届中国大学生羽毛球锦标赛（高水平组）总决赛赛事服务）：属于专门面向中小企业采购。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承担⺠事责任能⼒的法⼈、其他组织或⾃然⼈并出具合法有效的营业执照或事业单位法⼈证书等国家规定的相关证明，⾃然⼈参与的提供其⾝份证明。供应商需在项⽬电⼦化交易系统中按要求上传相应证明⽂件并进⾏电⼦签章；</w:t>
      </w:r>
    </w:p>
    <w:p>
      <w:pPr>
        <w:pStyle w:val="null3"/>
      </w:pPr>
      <w:r>
        <w:rPr>
          <w:rFonts w:ascii="仿宋_GB2312" w:hAnsi="仿宋_GB2312" w:cs="仿宋_GB2312" w:eastAsia="仿宋_GB2312"/>
        </w:rPr>
        <w:t>2、授权委托书：法定代表⼈直接参加投标的，须出具法⼈⾝份证，并与营业执照上信息⼀致；法定代表⼈授权代表参加投标的，须出具法定代表⼈授权书及授权代表⾝份证；</w:t>
      </w:r>
    </w:p>
    <w:p>
      <w:pPr>
        <w:pStyle w:val="null3"/>
      </w:pPr>
      <w:r>
        <w:rPr>
          <w:rFonts w:ascii="仿宋_GB2312" w:hAnsi="仿宋_GB2312" w:cs="仿宋_GB2312" w:eastAsia="仿宋_GB2312"/>
        </w:rPr>
        <w:t>3、财务状况报告：提供（1）或提供（2）：（1）提供2023年度⾄2025年度任意⼀年财务报告复印件，应满⾜以下要求：①供应商是企业的，财务报告是指经会计师事务所审计的上述指定年度整个会计年度财务报表（须提供会计师事务所出具的审计报告复印件）,复印件⾄少须包括报告正⽂、资产负债表、现⾦流量表、利润表、附注和会计师事务所营业执照。②供应商适⽤《事业单位会计准则》的，财务报告是指上述指定年度整个会计年度财务报表（不要求必须是经审计的），复印件⾄少须包括资产负债表、收⼊⽀出表（或收⼊费⽤表）、财政补助收⼊⽀出表。③供应商适⽤《政府会计准则》的，财务报告是指上述指定年度整个会计年度财务报表（不要求必须是经审计的），复印件⾄少须包括资产负债表、收⼊费⽤表。④供应商适⽤《⺠间⾮营利组织会计制度》的，财务报告是指上述指定年度整个会计年度财务报表（不要求必须是经审计的），复印件⾄少须包括资产负债表、业务活动表、现⾦流量表。⑤供应商是上述四种情况以外情况的，按照其依法适⽤的会计制度、财务规则或会计准则提供财务报表复印件（不要求必须是经审计的）。（2）提供资信证明原件或复印件，应满⾜以下要求：①资信证明须为递交响应⽂件截⽌时间前三个⽉内由供应商基本账⼾开⼾银⾏出具。②⽆论开具银⾏是否标明“复印⽆效”，供应商提供的复印件在本次投标中予以认可（即不因“复印⽆效”字样⽽认定资信证明复印件⽆效）。③银⾏出具的存款证明不能替代银⾏资信证明；</w:t>
      </w:r>
    </w:p>
    <w:p>
      <w:pPr>
        <w:pStyle w:val="null3"/>
      </w:pPr>
      <w:r>
        <w:rPr>
          <w:rFonts w:ascii="仿宋_GB2312" w:hAnsi="仿宋_GB2312" w:cs="仿宋_GB2312" w:eastAsia="仿宋_GB2312"/>
        </w:rPr>
        <w:t>4、税收缴纳证明：提供2026年1⽉⾄今任意⼀个⽉的依法缴纳税收的相关凭据（时间以税款所属⽇期为准），凭据应有税务机关或代收机关的公章或业务专⽤章。依法免税或⽆须缴纳税收的供应商，应提供相应证明⽂件；</w:t>
      </w:r>
    </w:p>
    <w:p>
      <w:pPr>
        <w:pStyle w:val="null3"/>
      </w:pPr>
      <w:r>
        <w:rPr>
          <w:rFonts w:ascii="仿宋_GB2312" w:hAnsi="仿宋_GB2312" w:cs="仿宋_GB2312" w:eastAsia="仿宋_GB2312"/>
        </w:rPr>
        <w:t>5、社保缴纳证明：提供2026年1⽉⾄今任意⼀个⽉的社会保障资⾦缴存单据或社保机构开具的社会保险参保缴费情况证明。依法不需要缴纳社会保障资⾦的供应商，应提供相关证明⽂件；</w:t>
      </w:r>
    </w:p>
    <w:p>
      <w:pPr>
        <w:pStyle w:val="null3"/>
      </w:pPr>
      <w:r>
        <w:rPr>
          <w:rFonts w:ascii="仿宋_GB2312" w:hAnsi="仿宋_GB2312" w:cs="仿宋_GB2312" w:eastAsia="仿宋_GB2312"/>
        </w:rPr>
        <w:t>6、供应商信誉：供应商不得为“信⽤中国”⽹站（www.creditchina.gov.cn）中列⼊失信被执⾏⼈和重⼤税收违法失信主体名单的供应商，不得为中国政府采购⽹（www.ccgp.go v.cn）政府采购严重违法失信⾏为记录名单中被财政部⻔禁⽌参加政府采购活动的供应商；</w:t>
      </w:r>
    </w:p>
    <w:p>
      <w:pPr>
        <w:pStyle w:val="null3"/>
      </w:pPr>
      <w:r>
        <w:rPr>
          <w:rFonts w:ascii="仿宋_GB2312" w:hAnsi="仿宋_GB2312" w:cs="仿宋_GB2312" w:eastAsia="仿宋_GB2312"/>
        </w:rPr>
        <w:t>7、设备和专业技术能⼒承诺：具有履⾏合同所必需的设备和专业技术能⼒，提供证明材料或书⾯承诺并加盖公章；</w:t>
      </w:r>
    </w:p>
    <w:p>
      <w:pPr>
        <w:pStyle w:val="null3"/>
      </w:pPr>
      <w:r>
        <w:rPr>
          <w:rFonts w:ascii="仿宋_GB2312" w:hAnsi="仿宋_GB2312" w:cs="仿宋_GB2312" w:eastAsia="仿宋_GB2312"/>
        </w:rPr>
        <w:t>8、⽆重⼤违法记录声明：供应商在近三年经营活动中没有重⼤违法记录的声明；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和媛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0919-3185697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采购包1：685,360.00元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代理服务费收费标准：依据国家发改委发改价格[2011]534号文件及依据国家计委计价格[2002]1980号文件规定计取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铜川市体育局</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以双方最终签订合同条款为准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联系电话：0919-2182986</w:t>
      </w:r>
    </w:p>
    <w:p>
      <w:pPr>
        <w:pStyle w:val="null3"/>
      </w:pPr>
      <w:r>
        <w:rPr>
          <w:rFonts w:ascii="仿宋_GB2312" w:hAnsi="仿宋_GB2312" w:cs="仿宋_GB2312" w:eastAsia="仿宋_GB2312"/>
        </w:rPr>
        <w:t>地址：陕西省铜川市新区朝阳路鸿翔逸境1号楼商业区1-4层3楼304室</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第28届中国大学生羽毛球锦标赛（高水平组）总决赛赛事服务，具体内容详见采购清单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685,360.00</w:t>
      </w:r>
    </w:p>
    <w:p>
      <w:pPr>
        <w:pStyle w:val="null3"/>
      </w:pPr>
      <w:r>
        <w:rPr>
          <w:rFonts w:ascii="仿宋_GB2312" w:hAnsi="仿宋_GB2312" w:cs="仿宋_GB2312" w:eastAsia="仿宋_GB2312"/>
        </w:rPr>
        <w:t>采购包最高限价（元）: 685,360.00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第28届中国大学生羽毛球锦标赛（高水平组）总决赛赛事服务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685,360.00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标的名称：第28届中国大学生羽毛球锦标赛（高水平组）总决赛赛事服务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rPr>
              <w:t>一、赛事基本信息</w:t>
            </w:r>
          </w:p>
          <w:p>
            <w:pPr>
              <w:pStyle w:val="null3"/>
              <w:jc w:val="both"/>
            </w:pPr>
            <w:r>
              <w:rPr>
                <w:rFonts w:ascii="仿宋_GB2312" w:hAnsi="仿宋_GB2312" w:cs="仿宋_GB2312" w:eastAsia="仿宋_GB2312"/>
                <w:sz w:val="18"/>
              </w:rPr>
              <w:t>1. 赛事名称：第28届中国大学生羽毛球锦标赛（高水平组）总决赛</w:t>
            </w:r>
          </w:p>
          <w:p>
            <w:pPr>
              <w:pStyle w:val="null3"/>
              <w:jc w:val="both"/>
            </w:pPr>
            <w:r>
              <w:rPr>
                <w:rFonts w:ascii="仿宋_GB2312" w:hAnsi="仿宋_GB2312" w:cs="仿宋_GB2312" w:eastAsia="仿宋_GB2312"/>
                <w:sz w:val="18"/>
              </w:rPr>
              <w:t>2. 举办时间：2026年8月20日—2026年8月29日</w:t>
            </w:r>
          </w:p>
          <w:p>
            <w:pPr>
              <w:pStyle w:val="null3"/>
              <w:jc w:val="both"/>
            </w:pPr>
            <w:r>
              <w:rPr>
                <w:rFonts w:ascii="仿宋_GB2312" w:hAnsi="仿宋_GB2312" w:cs="仿宋_GB2312" w:eastAsia="仿宋_GB2312"/>
                <w:sz w:val="18"/>
              </w:rPr>
              <w:t>3. 举办地点：陕西省铜川市</w:t>
            </w:r>
          </w:p>
          <w:p>
            <w:pPr>
              <w:pStyle w:val="null3"/>
              <w:jc w:val="both"/>
            </w:pPr>
            <w:r>
              <w:rPr>
                <w:rFonts w:ascii="仿宋_GB2312" w:hAnsi="仿宋_GB2312" w:cs="仿宋_GB2312" w:eastAsia="仿宋_GB2312"/>
                <w:sz w:val="18"/>
              </w:rPr>
              <w:t>4. 服务宗旨：严格落实赛事办赛标准，规范赛事运营、安全管理、宣传推广、后勤保障等全流程工作，保障赛事安全、有序、圆满举办。</w:t>
            </w:r>
          </w:p>
          <w:p>
            <w:pPr>
              <w:pStyle w:val="null3"/>
              <w:jc w:val="both"/>
            </w:pPr>
            <w:r>
              <w:rPr>
                <w:rFonts w:ascii="仿宋_GB2312" w:hAnsi="仿宋_GB2312" w:cs="仿宋_GB2312" w:eastAsia="仿宋_GB2312"/>
                <w:sz w:val="18"/>
              </w:rPr>
              <w:t>5. 严格依据国家法律法规及赛事相关规定，合法合规使用本次赛事冠名权、冠杯权、广告经营权，规范开展赛事商业运营工作。</w:t>
            </w:r>
          </w:p>
          <w:p>
            <w:pPr>
              <w:pStyle w:val="null3"/>
              <w:jc w:val="both"/>
            </w:pPr>
            <w:r>
              <w:rPr>
                <w:rFonts w:ascii="仿宋_GB2312" w:hAnsi="仿宋_GB2312" w:cs="仿宋_GB2312" w:eastAsia="仿宋_GB2312"/>
                <w:sz w:val="18"/>
              </w:rPr>
              <w:t>6. 所有赛事广告发布内容严格遵守《中华人民共和国广告法》相关要求，主动、完整办理广告发布所需全部审批、备案手续，确保广告内容合法、合规、无风险。</w:t>
            </w:r>
          </w:p>
          <w:p>
            <w:pPr>
              <w:pStyle w:val="null3"/>
              <w:jc w:val="both"/>
            </w:pPr>
            <w:r>
              <w:rPr>
                <w:rFonts w:ascii="仿宋_GB2312" w:hAnsi="仿宋_GB2312" w:cs="仿宋_GB2312" w:eastAsia="仿宋_GB2312"/>
                <w:sz w:val="18"/>
              </w:rPr>
              <w:t>7. 按甲方要求配套赛事权益资源，提供足量免费观赛门票，并预留10块赛场内免费广告位，按规范位置布置、交付使用，保障权益落地到位。</w:t>
            </w:r>
          </w:p>
          <w:p>
            <w:pPr>
              <w:pStyle w:val="null3"/>
              <w:jc w:val="both"/>
            </w:pPr>
            <w:r>
              <w:rPr>
                <w:rFonts w:ascii="仿宋_GB2312" w:hAnsi="仿宋_GB2312" w:cs="仿宋_GB2312" w:eastAsia="仿宋_GB2312"/>
                <w:sz w:val="18"/>
              </w:rPr>
              <w:t>8. 赛事门票的销售和纪念品的生产销售，全程合规经营.</w:t>
            </w:r>
          </w:p>
          <w:p>
            <w:pPr>
              <w:pStyle w:val="null3"/>
              <w:jc w:val="both"/>
            </w:pPr>
            <w:r>
              <w:rPr>
                <w:rFonts w:ascii="仿宋_GB2312" w:hAnsi="仿宋_GB2312" w:cs="仿宋_GB2312" w:eastAsia="仿宋_GB2312"/>
                <w:sz w:val="18"/>
              </w:rPr>
              <w:t>9. 在运动员入口、裁判员入口、主席台入口、竞赛场地内关键点位部署专职安保人员，定岗定责、全程值守。全面维护赛场秩序，管控人流、杜绝无关人员进入竞赛区域，及时劝阻、处置赛场不文明行为、违规行为，保障赛场安全稳定、竞赛环境有序。针对赛场纠纷、人员冲突、设备故障等情况建立快速处置流程，确保问题快速响应、妥善处理、不留隐患。</w:t>
            </w:r>
          </w:p>
          <w:p>
            <w:pPr>
              <w:pStyle w:val="null3"/>
              <w:jc w:val="both"/>
            </w:pPr>
            <w:r>
              <w:rPr>
                <w:rFonts w:ascii="仿宋_GB2312" w:hAnsi="仿宋_GB2312" w:cs="仿宋_GB2312" w:eastAsia="仿宋_GB2312"/>
                <w:sz w:val="18"/>
              </w:rPr>
              <w:t>10. 制定完整赛事新闻宣传工作方案，制作官方赛事宣传片，开展全网宣传预热；完成场馆内外、周边道路、配套区域整体形象景观布置，全面营造浓厚、规范、统一的赛事氛围。赛事结束后7个工作日内，向甲方完整提交赛事宣传工作总结和赛事整体工作总结。</w:t>
            </w:r>
          </w:p>
          <w:p>
            <w:pPr>
              <w:pStyle w:val="null3"/>
              <w:jc w:val="both"/>
            </w:pPr>
            <w:r>
              <w:rPr>
                <w:rFonts w:ascii="仿宋_GB2312" w:hAnsi="仿宋_GB2312" w:cs="仿宋_GB2312" w:eastAsia="仿宋_GB2312"/>
                <w:sz w:val="18"/>
              </w:rPr>
              <w:t>11. 保障参赛运动员一日三餐独立专属就餐区域，实行运动员专属就餐闭环管理，全程不与酒店其他住客混合就餐。食品安全管控：严格把控食材采购、加工、留样、消杀全流程，食材全部取自正规合规渠道，全程可溯源、可查验，严防食物中毒、饮食安全事故。</w:t>
            </w:r>
          </w:p>
          <w:p>
            <w:pPr>
              <w:pStyle w:val="null3"/>
              <w:jc w:val="both"/>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81"/>
              <w:gridCol w:w="366"/>
              <w:gridCol w:w="638"/>
              <w:gridCol w:w="398"/>
              <w:gridCol w:w="298"/>
              <w:gridCol w:w="276"/>
              <w:gridCol w:w="181"/>
              <w:gridCol w:w="185"/>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3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项目内容</w:t>
                  </w:r>
                </w:p>
              </w:tc>
              <w:tc>
                <w:tcPr>
                  <w:tcW w:type="dxa" w:w="6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支出内容</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规格</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单位</w:t>
                  </w:r>
                </w:p>
              </w:tc>
              <w:tc>
                <w:tcPr>
                  <w:tcW w:type="dxa" w:w="2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数量</w:t>
                  </w:r>
                </w:p>
              </w:tc>
              <w:tc>
                <w:tcPr>
                  <w:tcW w:type="dxa" w:w="1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天数</w:t>
                  </w:r>
                </w:p>
              </w:tc>
              <w:tc>
                <w:tcPr>
                  <w:tcW w:type="dxa" w:w="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现场搭建及布置</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秩序册（封面157g铜版纸内页双面普通a4）</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场内A字板</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3×1cm</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宣传道旗</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5×1cm</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主背景</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12mX4m</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副背景</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12mX4m</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48</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租赁桁架</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12mX4m</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搭建费用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次</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证件制作及材料印刷费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证件</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B7</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双面</w:t>
                  </w: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奖牌</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40cm×60cm</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个</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成绩册（铜版纸+双胶纸）</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A4</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编排费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办公电脑打印机租赁等</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租赁打印机</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租赁复印机</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台</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宣传推广</w:t>
                  </w:r>
                </w:p>
              </w:tc>
              <w:tc>
                <w:tcPr>
                  <w:tcW w:type="dxa" w:w="6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专业摄影服务.对赛事亮点精彩瞬间进行编辑制作，实现多平台推送</w:t>
                  </w:r>
                </w:p>
              </w:tc>
              <w:tc>
                <w:tcPr>
                  <w:tcW w:type="dxa" w:w="3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vMerge/>
                  <w:tcBorders>
                    <w:top w:val="none" w:color="000000" w:sz="4"/>
                    <w:left w:val="none" w:color="000000" w:sz="4"/>
                    <w:bottom w:val="single" w:color="000000" w:sz="4"/>
                    <w:right w:val="single" w:color="000000" w:sz="4"/>
                  </w:tcBorders>
                </w:tcPr>
                <w:p/>
              </w:tc>
              <w:tc>
                <w:tcPr>
                  <w:tcW w:type="dxa" w:w="398"/>
                  <w:vMerge/>
                  <w:tcBorders>
                    <w:top w:val="none" w:color="000000" w:sz="4"/>
                    <w:left w:val="none" w:color="000000" w:sz="4"/>
                    <w:bottom w:val="single" w:color="000000" w:sz="4"/>
                    <w:right w:val="single" w:color="000000" w:sz="4"/>
                  </w:tcBorders>
                </w:tcPr>
                <w:p/>
              </w:tc>
              <w:tc>
                <w:tcPr>
                  <w:tcW w:type="dxa" w:w="298"/>
                  <w:vMerge/>
                  <w:tcBorders>
                    <w:top w:val="none" w:color="000000" w:sz="4"/>
                    <w:left w:val="none" w:color="000000" w:sz="4"/>
                    <w:bottom w:val="single" w:color="000000" w:sz="4"/>
                    <w:right w:val="single" w:color="000000" w:sz="4"/>
                  </w:tcBorders>
                </w:tcPr>
                <w:p/>
              </w:tc>
              <w:tc>
                <w:tcPr>
                  <w:tcW w:type="dxa" w:w="276"/>
                  <w:vMerge/>
                  <w:tcBorders>
                    <w:top w:val="none" w:color="000000" w:sz="4"/>
                    <w:left w:val="none" w:color="000000" w:sz="4"/>
                    <w:bottom w:val="single" w:color="000000" w:sz="4"/>
                    <w:right w:val="single" w:color="000000" w:sz="4"/>
                  </w:tcBorders>
                </w:tcPr>
                <w:p/>
              </w:tc>
              <w:tc>
                <w:tcPr>
                  <w:tcW w:type="dxa" w:w="181"/>
                  <w:vMerge/>
                  <w:tcBorders>
                    <w:top w:val="none" w:color="000000" w:sz="4"/>
                    <w:left w:val="none" w:color="000000" w:sz="4"/>
                    <w:bottom w:val="single" w:color="000000" w:sz="4"/>
                    <w:right w:val="single" w:color="000000" w:sz="4"/>
                  </w:tcBorders>
                </w:tcPr>
                <w:p/>
              </w:tc>
              <w:tc>
                <w:tcPr>
                  <w:tcW w:type="dxa" w:w="185"/>
                  <w:vMerge/>
                  <w:tcBorders>
                    <w:top w:val="none" w:color="000000" w:sz="4"/>
                    <w:left w:val="none" w:color="000000" w:sz="4"/>
                    <w:bottom w:val="single" w:color="000000" w:sz="4"/>
                    <w:right w:val="single" w:color="000000" w:sz="4"/>
                  </w:tcBorders>
                </w:tcPr>
                <w:p/>
              </w:tc>
            </w:tr>
            <w:tr>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交通费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技术官员城市间交通费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技术官员室内交通费（商务车）</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参赛队室内交通费（大巴）</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辆</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技术官员薪酬及相关费用</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国家级裁判员劳务费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辅助裁判劳务费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技术官员茶歇</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咖啡、茶、小食品</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保障人员劳务费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医务人员劳务费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安保人员劳务费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工作人员劳务费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志愿者劳务费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3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食宿费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国派裁判员食宿费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安保、保洁、工作人员餐费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vMerge/>
                  <w:tcBorders>
                    <w:top w:val="none" w:color="000000" w:sz="4"/>
                    <w:left w:val="single" w:color="000000" w:sz="4"/>
                    <w:bottom w:val="single" w:color="000000" w:sz="4"/>
                    <w:right w:val="single" w:color="000000" w:sz="4"/>
                  </w:tcBorders>
                </w:tcPr>
                <w:p/>
              </w:tc>
              <w:tc>
                <w:tcPr>
                  <w:tcW w:type="dxa" w:w="366"/>
                  <w:vMerge/>
                  <w:tcBorders>
                    <w:top w:val="none" w:color="000000" w:sz="4"/>
                    <w:left w:val="none" w:color="000000" w:sz="4"/>
                    <w:bottom w:val="single" w:color="000000" w:sz="4"/>
                    <w:right w:val="single" w:color="000000" w:sz="4"/>
                  </w:tcBorders>
                </w:tcP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本地裁判餐费</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人</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赛事办公费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竞赛办公及物料（笔记本，碳素笔、红蓝签字笔、橡皮，剪刀、裁纸刀、曲别针、修改液、文件夹，双面胶带、订书机、计算器）</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3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水费</w:t>
                  </w:r>
                </w:p>
              </w:tc>
              <w:tc>
                <w:tcPr>
                  <w:tcW w:type="dxa" w:w="6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活动用水保障</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件</w:t>
                  </w:r>
                </w:p>
              </w:tc>
              <w:tc>
                <w:tcPr>
                  <w:tcW w:type="dxa" w:w="2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100</w:t>
                  </w:r>
                </w:p>
              </w:tc>
              <w:tc>
                <w:tcPr>
                  <w:tcW w:type="dxa" w:w="1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根据项目采购需求配备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根据项目采购需求配备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2026年8月20日-2026年8月29日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验收标准：参照《财政部关于进一步加强政府采购需求和履约验收管理的指导意见》(财库(2016) 205号)。 验收方法：自行组织项目验收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进度款，赛事举办完后，采购方确认成交供应商如约履行各项义务、完成各项善后工作，无任何对本次比赛可能造成不良影响的遗留问题，通过验收决算后，达到付款条件起60个工作日内，支付合同总金额的100.0%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以双方最终签订合同条款为准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为顺利推进政府采购电子化交易平台应用工作，供应商需要在线提交所有通过电子化交易平台实施的政府采购项目的竞争性磋商响应文件，同时，于开标前线下提交生成带电子签章的竞争性磋商响应文件纸质版至 陕西省铜川市耀州区陕西省铜川市新区朝阳路鸿翔逸境1号楼1-4层商业区三楼304室，响应文件正本一份，副本一份，电子U盘一份。竞争性磋商响应文件纸质版正本、副本与电子版一同密封，且在封袋正面标明“竞争性磋商响应文件纸质版”字样。封袋应加贴封条，并在封线处加盖供应商公章，封袋正面要粘贴供应商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承担⺠事责任能⼒的法⼈、其他组织或⾃然⼈并出具合法有效的营业执照或事业单位法⼈证书等国家规定的相关证明，⾃然⼈参与的提供其⾝份证明。供应商需在项⽬电⼦化交易系统中按要求上传相应证明⽂件并进⾏电⼦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法定代表⼈直接参加投标的，须出具法⼈⾝份证，并与营业执照上信息⼀致；法定代表⼈授权代表参加投标的，须出具法定代表⼈授权书及授权代表⾝份证；</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2023年度⾄2025年度任意⼀年财务报告复印件，应满⾜以下要求：①供应商是企业的，财务报告是指经会计师事务所审计的上述指定年度整个会计年度财务报表（须提供会计师事务所出具的审计报告复印件）,复印件⾄少须包括报告正⽂、资产负债表、现⾦流量表、利润表、附注和会计师事务所营业执照。②供应商适⽤《事业单位会计准则》的，财务报告是指上述指定年度整个会计年度财务报表（不要求必须是经审计的），复印件⾄少须包括资产负债表、收⼊⽀出表（或收⼊费⽤表）、财政补助收⼊⽀出表。③供应商适⽤《政府会计准则》的，财务报告是指上述指定年度整个会计年度财务报表（不要求必须是经审计的），复印件⾄少须包括资产负债表、收⼊费⽤表。④供应商适⽤《⺠间⾮营利组织会计制度》的，财务报告是指上述指定年度整个会计年度财务报表（不要求必须是经审计的），复印件⾄少须包括资产负债表、业务活动表、现⾦流量表。⑤供应商是上述四种情况以外情况的，按照其依法适⽤的会计制度、财务规则或会计准则提供财务报表复印件（不要求必须是经审计的）。（2）提供资信证明原件或复印件，应满⾜以下要求：①资信证明须为递交响应⽂件截⽌时间前三个⽉内由供应商基本账⼾开⼾银⾏出具。②⽆论开具银⾏是否标明“复印⽆效”，供应商提供的复印件在本次投标中予以认可（即不因“复印⽆效”字样⽽认定资信证明复印件⽆效）。③银⾏出具的存款证明不能替代银⾏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提供2026年1⽉⾄今任意⼀个⽉的依法缴纳税收的相关凭据（时间以税款所属⽇期为准），凭据应有税务机关或代收机关的公章或业务专⽤章。依法免税或⽆须缴纳税收的供应商，应提供相应证明⽂件；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提供2026年1⽉⾄今任意⼀个⽉的社会保障资⾦缴存单据或社保机构开具的社会保险参保缴费情况证明。依法不需要缴纳社会保障资⾦的供应商，应提供相关证明⽂件；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供应商不得为“信⽤中国”⽹站（www.creditchina.gov.cn）中列⼊失信被执⾏⼈和重⼤税收违法失信主体名单的供应商，不得为中国政府采购⽹（www.ccgp.go 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设备和专业技术能⼒承诺</w:t>
            </w:r>
          </w:p>
        </w:tc>
        <w:tc>
          <w:tcPr>
            <w:tcW w:type="dxa" w:w="3322"/>
          </w:tcPr>
          <w:p>
            <w:pPr>
              <w:pStyle w:val="null3"/>
            </w:pPr>
            <w:r>
              <w:rPr>
                <w:rFonts w:ascii="仿宋_GB2312" w:hAnsi="仿宋_GB2312" w:cs="仿宋_GB2312" w:eastAsia="仿宋_GB2312"/>
              </w:rPr>
              <w:t>具有履⾏合同所必需的设备和专业技术能⼒，提供证明材料或书⾯承诺并加盖公章；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⽆重⼤违法记录声明</w:t>
            </w:r>
          </w:p>
        </w:tc>
        <w:tc>
          <w:tcPr>
            <w:tcW w:type="dxa" w:w="3322"/>
          </w:tcPr>
          <w:p>
            <w:pPr>
              <w:pStyle w:val="null3"/>
            </w:pPr>
            <w:r>
              <w:rPr>
                <w:rFonts w:ascii="仿宋_GB2312" w:hAnsi="仿宋_GB2312" w:cs="仿宋_GB2312" w:eastAsia="仿宋_GB2312"/>
              </w:rPr>
              <w:t>供应商在近三年经营活动中没有重⼤违法记录的声明；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响应文件格式及签字盖章</w:t>
            </w:r>
          </w:p>
        </w:tc>
        <w:tc>
          <w:tcPr>
            <w:tcW w:type="dxa" w:w="3322"/>
          </w:tcPr>
          <w:p>
            <w:pPr>
              <w:pStyle w:val="null3"/>
            </w:pPr>
            <w:r>
              <w:rPr>
                <w:rFonts w:ascii="仿宋_GB2312" w:hAnsi="仿宋_GB2312" w:cs="仿宋_GB2312" w:eastAsia="仿宋_GB2312"/>
              </w:rPr>
              <w:t>完全满足磋商文件文件签字盖章格式要求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分项报价表.docx 法定代表人身份证明书.docx 残疾人福利性单位声明函 服务方案 标的清单 响应函 法定代表人授权委托书.docx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需满足磋商文件要求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不论其大写或小写金额均只能有一个有效报价，且未超过最高限价。</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提供针对本项目采购需求的理解，至少应包括：①工作重点；②关键点分析；③工作难点；④服务优势；⑤合理化建议。以上内容专门针对本项目，且符合本项目实际需求的得10分，每缺一项扣2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安全应急保障方案</w:t>
            </w:r>
          </w:p>
        </w:tc>
        <w:tc>
          <w:tcPr>
            <w:tcW w:type="dxa" w:w="2492"/>
          </w:tcPr>
          <w:p>
            <w:pPr>
              <w:pStyle w:val="null3"/>
            </w:pPr>
            <w:r>
              <w:rPr>
                <w:rFonts w:ascii="仿宋_GB2312" w:hAnsi="仿宋_GB2312" w:cs="仿宋_GB2312" w:eastAsia="仿宋_GB2312"/>
              </w:rPr>
              <w:t>提供针对本项目的安全应急保障方案至少包括①现场秩序与安全保障方案；②医疗救助方案措施；③消防安全措施；④食品安全保障措施；⑤突发应急事件响应措施。以上内容专门针对本项目且符合本项目实际需求的得10分，每缺一项内容扣2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供应商应可根据自身情况提供其他利于本项目的增值服务，每提供1条有效增值服务，得2分，最高得10分。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竞赛组织实施方案</w:t>
            </w:r>
          </w:p>
        </w:tc>
        <w:tc>
          <w:tcPr>
            <w:tcW w:type="dxa" w:w="2492"/>
          </w:tcPr>
          <w:p>
            <w:pPr>
              <w:pStyle w:val="null3"/>
            </w:pPr>
            <w:r>
              <w:rPr>
                <w:rFonts w:ascii="仿宋_GB2312" w:hAnsi="仿宋_GB2312" w:cs="仿宋_GB2312" w:eastAsia="仿宋_GB2312"/>
              </w:rPr>
              <w:t>提供针对本项目的竞赛组织实施方案，内容至少包括①赛事总体规划；②场地使用、搭建及赛场布置方案；③赛事进度安排；④裁判员选派与培训；⑤志愿者招募及培训方案。以上内容专门针对本项目，且符合本项目实际需求的得10分，每缺一项扣2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媒体宣传推广方案</w:t>
            </w:r>
          </w:p>
        </w:tc>
        <w:tc>
          <w:tcPr>
            <w:tcW w:type="dxa" w:w="2492"/>
          </w:tcPr>
          <w:p>
            <w:pPr>
              <w:pStyle w:val="null3"/>
            </w:pPr>
            <w:r>
              <w:rPr>
                <w:rFonts w:ascii="仿宋_GB2312" w:hAnsi="仿宋_GB2312" w:cs="仿宋_GB2312" w:eastAsia="仿宋_GB2312"/>
              </w:rPr>
              <w:t>提供针对本项目的媒体宣传推广方案，内容至少包括①宣传推广总体思路；②分阶段宣传计划；③媒体渠道覆盖。 以上内容专门针对本项目，且符合本项目实际需求的得9分，每缺一项扣3分，若上述内容存在瑕疵，每出现1项瑕疵扣0.5分，扣完为止。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提供针对本项目的质量保障方案至少包括①质量保障措施；②过程质量控制措施； 以上内容专门针对本项目且符合本项目实际需求的得6分，每缺一项内容扣3分，若上述内容存在瑕疵，每存在1处瑕疵扣0.5分，扣完为止。 注：“瑕疵”指内容明显错误，或内容不完整或缺少关键点，或不适用本项目特性、套用其他项目内容或内容不能满足本项目实际需求等情形。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针对本项目的服务承诺，内容至少包括①服务质量保障承诺；②履约时限承诺（赛前筹备、赛时运行、赛后总结各阶段关键节点）；③问题响应与处理承诺；④保守赛事工作秘密承诺；⑤赛后资料质量保障及移交承诺等方面。每提供1条承诺，得2分，本小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赛事服务人员配置</w:t>
            </w:r>
          </w:p>
        </w:tc>
        <w:tc>
          <w:tcPr>
            <w:tcW w:type="dxa" w:w="2492"/>
          </w:tcPr>
          <w:p>
            <w:pPr>
              <w:pStyle w:val="null3"/>
            </w:pPr>
            <w:r>
              <w:rPr>
                <w:rFonts w:ascii="仿宋_GB2312" w:hAnsi="仿宋_GB2312" w:cs="仿宋_GB2312" w:eastAsia="仿宋_GB2312"/>
              </w:rPr>
              <w:t>1.供应商具备充足赛事执裁裁判合作资源的，每提供1名执裁人员的有效裁判证书，得1分，累计最高得10分。未提供不得分 2.赛事自有服务人员配置供应商自有赛事服务人员数量≥10人的，基础得10分；在10人基础上，每增加1名自有服务人员额外加1分，累计加分最高至本项总分15分。以上两项合计25分。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价格分采用低价优先法计算，即满足磋商文件要求且响应报价最低的响应报价为评标基准价，其价格分为满分。其他投标单位的价格分统一按照下列公式计算：磋商报价=（评标基准价/响应报价）×价格权值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