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F21FB">
      <w:pPr>
        <w:tabs>
          <w:tab w:val="left" w:pos="5040"/>
        </w:tabs>
        <w:jc w:val="center"/>
        <w:rPr>
          <w:rFonts w:hint="eastAsia" w:ascii="方正小标宋简体" w:hAnsi="方正小标宋简体" w:eastAsia="方正小标宋简体" w:cs="方正小标宋简体"/>
          <w:b w:val="0"/>
          <w:bCs w:val="0"/>
          <w:color w:val="auto"/>
          <w:sz w:val="44"/>
          <w:szCs w:val="44"/>
        </w:rPr>
      </w:pPr>
      <w:bookmarkStart w:id="0" w:name="_GoBack"/>
      <w:r>
        <w:rPr>
          <w:rFonts w:hint="eastAsia" w:ascii="方正小标宋简体" w:hAnsi="方正小标宋简体" w:eastAsia="方正小标宋简体" w:cs="方正小标宋简体"/>
          <w:b w:val="0"/>
          <w:bCs w:val="0"/>
          <w:color w:val="auto"/>
          <w:sz w:val="44"/>
          <w:szCs w:val="44"/>
        </w:rPr>
        <w:t>政府购买服务合同</w:t>
      </w:r>
    </w:p>
    <w:p w14:paraId="731EAD78">
      <w:pPr>
        <w:jc w:val="center"/>
        <w:rPr>
          <w:rFonts w:hint="eastAsia" w:ascii="宋体" w:hAnsi="宋体" w:eastAsia="宋体" w:cs="宋体"/>
          <w:b/>
          <w:bCs/>
          <w:color w:val="auto"/>
          <w:sz w:val="44"/>
          <w:szCs w:val="44"/>
          <w:lang w:eastAsia="zh-CN"/>
        </w:rPr>
      </w:pPr>
    </w:p>
    <w:p w14:paraId="1D2C8B1C">
      <w:pPr>
        <w:keepNext w:val="0"/>
        <w:keepLines w:val="0"/>
        <w:pageBreakBefore w:val="0"/>
        <w:widowControl w:val="0"/>
        <w:kinsoku/>
        <w:wordWrap/>
        <w:overflowPunct/>
        <w:topLinePunct w:val="0"/>
        <w:autoSpaceDE/>
        <w:autoSpaceDN/>
        <w:bidi w:val="0"/>
        <w:adjustRightInd/>
        <w:snapToGrid/>
        <w:spacing w:line="660" w:lineRule="exact"/>
        <w:jc w:val="both"/>
        <w:textAlignment w:val="auto"/>
        <w:rPr>
          <w:rFonts w:hint="eastAsia" w:ascii="仿宋_GB2312" w:hAnsi="仿宋_GB2312" w:eastAsia="仿宋_GB2312" w:cs="仿宋_GB2312"/>
          <w:snapToGrid/>
          <w:color w:val="auto"/>
          <w:kern w:val="2"/>
          <w:sz w:val="32"/>
          <w:szCs w:val="32"/>
          <w:lang w:val="en-US" w:eastAsia="zh-CN" w:bidi="ar-SA"/>
        </w:rPr>
      </w:pPr>
      <w:r>
        <w:rPr>
          <w:rFonts w:hint="eastAsia" w:ascii="仿宋_GB2312" w:hAnsi="仿宋_GB2312" w:eastAsia="仿宋_GB2312" w:cs="仿宋_GB2312"/>
          <w:snapToGrid/>
          <w:color w:val="auto"/>
          <w:kern w:val="2"/>
          <w:sz w:val="32"/>
          <w:szCs w:val="32"/>
          <w:lang w:val="en-US" w:eastAsia="zh-CN" w:bidi="ar-SA"/>
        </w:rPr>
        <w:t>甲方（购买主体）：</w:t>
      </w:r>
    </w:p>
    <w:p w14:paraId="38733B6E">
      <w:pPr>
        <w:keepNext w:val="0"/>
        <w:keepLines w:val="0"/>
        <w:pageBreakBefore w:val="0"/>
        <w:widowControl w:val="0"/>
        <w:kinsoku/>
        <w:wordWrap/>
        <w:overflowPunct/>
        <w:topLinePunct w:val="0"/>
        <w:autoSpaceDE/>
        <w:autoSpaceDN/>
        <w:bidi w:val="0"/>
        <w:adjustRightInd/>
        <w:snapToGrid/>
        <w:spacing w:line="660" w:lineRule="exact"/>
        <w:jc w:val="both"/>
        <w:textAlignment w:val="auto"/>
        <w:rPr>
          <w:rFonts w:hint="eastAsia" w:ascii="仿宋_GB2312" w:hAnsi="仿宋_GB2312" w:eastAsia="仿宋_GB2312" w:cs="仿宋_GB2312"/>
          <w:snapToGrid/>
          <w:color w:val="auto"/>
          <w:kern w:val="2"/>
          <w:sz w:val="32"/>
          <w:szCs w:val="32"/>
          <w:lang w:val="en-US" w:eastAsia="zh-CN" w:bidi="ar-SA"/>
        </w:rPr>
      </w:pPr>
      <w:r>
        <w:rPr>
          <w:rFonts w:hint="eastAsia" w:ascii="仿宋_GB2312" w:hAnsi="仿宋_GB2312" w:eastAsia="仿宋_GB2312" w:cs="仿宋_GB2312"/>
          <w:snapToGrid/>
          <w:color w:val="auto"/>
          <w:kern w:val="2"/>
          <w:sz w:val="32"/>
          <w:szCs w:val="32"/>
          <w:lang w:val="en-US" w:eastAsia="zh-CN" w:bidi="ar-SA"/>
        </w:rPr>
        <w:t>地址：</w:t>
      </w:r>
    </w:p>
    <w:p w14:paraId="300662E6">
      <w:pPr>
        <w:keepNext w:val="0"/>
        <w:keepLines w:val="0"/>
        <w:pageBreakBefore w:val="0"/>
        <w:widowControl w:val="0"/>
        <w:kinsoku/>
        <w:wordWrap/>
        <w:overflowPunct/>
        <w:topLinePunct w:val="0"/>
        <w:autoSpaceDE/>
        <w:autoSpaceDN/>
        <w:bidi w:val="0"/>
        <w:adjustRightInd/>
        <w:snapToGrid/>
        <w:spacing w:line="660" w:lineRule="exact"/>
        <w:jc w:val="both"/>
        <w:textAlignment w:val="auto"/>
        <w:rPr>
          <w:rFonts w:hint="default" w:ascii="仿宋_GB2312" w:hAnsi="仿宋_GB2312" w:eastAsia="仿宋_GB2312" w:cs="仿宋_GB2312"/>
          <w:snapToGrid/>
          <w:color w:val="auto"/>
          <w:kern w:val="2"/>
          <w:sz w:val="32"/>
          <w:szCs w:val="32"/>
          <w:lang w:val="en-US" w:eastAsia="zh-CN" w:bidi="ar-SA"/>
        </w:rPr>
      </w:pPr>
      <w:r>
        <w:rPr>
          <w:rFonts w:hint="eastAsia" w:ascii="仿宋_GB2312" w:hAnsi="仿宋_GB2312" w:eastAsia="仿宋_GB2312" w:cs="仿宋_GB2312"/>
          <w:snapToGrid/>
          <w:color w:val="auto"/>
          <w:kern w:val="2"/>
          <w:sz w:val="32"/>
          <w:szCs w:val="32"/>
          <w:lang w:val="en-US" w:eastAsia="zh-CN" w:bidi="ar-SA"/>
        </w:rPr>
        <w:t>法定代表人：</w:t>
      </w:r>
    </w:p>
    <w:p w14:paraId="6F0FE00C">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napToGrid/>
          <w:color w:val="auto"/>
          <w:kern w:val="2"/>
          <w:sz w:val="32"/>
          <w:szCs w:val="32"/>
          <w:lang w:val="en-US" w:eastAsia="zh-CN" w:bidi="ar-SA"/>
        </w:rPr>
        <w:t>乙方（承接主体）：</w:t>
      </w:r>
    </w:p>
    <w:p w14:paraId="5A1D2681">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地址：</w:t>
      </w:r>
    </w:p>
    <w:p w14:paraId="55789D6A">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法定代表人：</w:t>
      </w:r>
    </w:p>
    <w:p w14:paraId="431D34D6">
      <w:pPr>
        <w:keepNext w:val="0"/>
        <w:keepLines w:val="0"/>
        <w:pageBreakBefore w:val="0"/>
        <w:widowControl w:val="0"/>
        <w:kinsoku/>
        <w:wordWrap/>
        <w:overflowPunct/>
        <w:topLinePunct w:val="0"/>
        <w:autoSpaceDE/>
        <w:autoSpaceDN/>
        <w:bidi w:val="0"/>
        <w:adjustRightInd/>
        <w:snapToGrid/>
        <w:spacing w:line="660" w:lineRule="exact"/>
        <w:ind w:firstLine="640" w:firstLineChars="200"/>
        <w:jc w:val="both"/>
        <w:textAlignment w:val="auto"/>
        <w:rPr>
          <w:rFonts w:hint="eastAsia" w:ascii="仿宋_GB2312" w:hAnsi="仿宋_GB2312" w:eastAsia="仿宋_GB2312" w:cs="仿宋_GB2312"/>
          <w:snapToGrid/>
          <w:color w:val="auto"/>
          <w:kern w:val="2"/>
          <w:sz w:val="32"/>
          <w:szCs w:val="32"/>
          <w:lang w:val="en-US" w:eastAsia="zh-CN" w:bidi="ar-SA"/>
        </w:rPr>
      </w:pPr>
      <w:r>
        <w:rPr>
          <w:rFonts w:hint="eastAsia" w:ascii="仿宋_GB2312" w:hAnsi="仿宋_GB2312" w:eastAsia="仿宋_GB2312" w:cs="仿宋_GB2312"/>
          <w:snapToGrid/>
          <w:color w:val="auto"/>
          <w:kern w:val="2"/>
          <w:sz w:val="32"/>
          <w:szCs w:val="32"/>
          <w:lang w:val="en-US" w:eastAsia="zh-CN" w:bidi="ar-SA"/>
        </w:rPr>
        <w:t>根据《中华人民共和国财政部令第102号政府购买服务管理办法》《中华人民共和国政府采购法》《中华人民共和国合同法》等有关规定，为保证政府购买服务质量，明确双方的权利义务，经甲乙双方协商，本着平等互利和诚实信用的原则，双方一致同意，签订本合同。</w:t>
      </w:r>
    </w:p>
    <w:p w14:paraId="7A60FD58">
      <w:pPr>
        <w:keepNext w:val="0"/>
        <w:keepLines w:val="0"/>
        <w:pageBreakBefore w:val="0"/>
        <w:widowControl w:val="0"/>
        <w:kinsoku/>
        <w:wordWrap/>
        <w:overflowPunct/>
        <w:topLinePunct w:val="0"/>
        <w:autoSpaceDE/>
        <w:autoSpaceDN/>
        <w:bidi w:val="0"/>
        <w:adjustRightInd/>
        <w:snapToGrid/>
        <w:spacing w:line="660" w:lineRule="exact"/>
        <w:ind w:firstLine="640" w:firstLineChars="200"/>
        <w:jc w:val="both"/>
        <w:textAlignment w:val="auto"/>
        <w:rPr>
          <w:rFonts w:hint="eastAsia" w:ascii="仿宋_GB2312" w:hAnsi="仿宋_GB2312" w:eastAsia="仿宋_GB2312" w:cs="仿宋_GB2312"/>
          <w:snapToGrid/>
          <w:color w:val="auto"/>
          <w:kern w:val="2"/>
          <w:sz w:val="32"/>
          <w:szCs w:val="32"/>
          <w:lang w:val="en-US" w:eastAsia="zh-CN" w:bidi="ar-SA"/>
        </w:rPr>
      </w:pPr>
      <w:r>
        <w:rPr>
          <w:rFonts w:hint="eastAsia" w:ascii="仿宋_GB2312" w:hAnsi="仿宋_GB2312" w:eastAsia="仿宋_GB2312" w:cs="仿宋_GB2312"/>
          <w:snapToGrid/>
          <w:color w:val="auto"/>
          <w:kern w:val="2"/>
          <w:sz w:val="32"/>
          <w:szCs w:val="32"/>
          <w:lang w:val="en-US" w:eastAsia="zh-CN" w:bidi="ar-SA"/>
        </w:rPr>
        <w:t>第一条</w:t>
      </w: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snapToGrid/>
          <w:color w:val="auto"/>
          <w:kern w:val="2"/>
          <w:sz w:val="32"/>
          <w:szCs w:val="32"/>
          <w:lang w:val="en-US" w:eastAsia="zh-CN" w:bidi="ar-SA"/>
        </w:rPr>
        <w:t>服务项目内容</w:t>
      </w:r>
    </w:p>
    <w:p w14:paraId="6F6546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snapToGrid/>
          <w:color w:val="auto"/>
          <w:kern w:val="2"/>
          <w:sz w:val="32"/>
          <w:szCs w:val="32"/>
          <w:lang w:val="en-US" w:eastAsia="zh-CN" w:bidi="ar-SA"/>
        </w:rPr>
        <w:t>1.甲方通过委托方式确定由乙方提供：</w:t>
      </w:r>
      <w:r>
        <w:rPr>
          <w:rFonts w:hint="eastAsia" w:ascii="仿宋_GB2312" w:hAnsi="仿宋_GB2312" w:eastAsia="仿宋_GB2312" w:cs="仿宋_GB2312"/>
          <w:color w:val="auto"/>
          <w:sz w:val="32"/>
          <w:szCs w:val="32"/>
          <w:u w:val="none"/>
          <w:lang w:val="en-US" w:eastAsia="zh-CN"/>
        </w:rPr>
        <w:t>比赛名称</w:t>
      </w:r>
      <w:r>
        <w:rPr>
          <w:rFonts w:hint="eastAsia" w:ascii="仿宋_GB2312" w:hAnsi="仿宋_GB2312" w:eastAsia="仿宋_GB2312" w:cs="仿宋_GB2312"/>
          <w:color w:val="auto"/>
          <w:sz w:val="32"/>
          <w:szCs w:val="32"/>
          <w:u w:val="none"/>
          <w:lang w:val="en-US" w:eastAsia="zh-CN"/>
        </w:rPr>
        <w:t>的赛事服务。</w:t>
      </w:r>
    </w:p>
    <w:p w14:paraId="5BB44B44">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firstLineChars="200"/>
        <w:jc w:val="both"/>
        <w:textAlignment w:val="auto"/>
        <w:rPr>
          <w:rFonts w:hint="default" w:ascii="仿宋_GB2312" w:hAnsi="仿宋_GB2312" w:eastAsia="仿宋_GB2312" w:cs="仿宋_GB2312"/>
          <w:snapToGrid/>
          <w:color w:val="auto"/>
          <w:kern w:val="2"/>
          <w:sz w:val="32"/>
          <w:szCs w:val="32"/>
          <w:lang w:val="en-US" w:eastAsia="zh-CN" w:bidi="ar-SA"/>
        </w:rPr>
      </w:pPr>
      <w:r>
        <w:rPr>
          <w:rFonts w:hint="default" w:ascii="仿宋_GB2312" w:hAnsi="仿宋_GB2312" w:eastAsia="仿宋_GB2312" w:cs="仿宋_GB2312"/>
          <w:snapToGrid/>
          <w:color w:val="auto"/>
          <w:kern w:val="2"/>
          <w:sz w:val="32"/>
          <w:szCs w:val="32"/>
          <w:lang w:val="en-US" w:eastAsia="zh-CN" w:bidi="ar-SA"/>
        </w:rPr>
        <w:t>2</w:t>
      </w:r>
      <w:r>
        <w:rPr>
          <w:rFonts w:hint="eastAsia" w:ascii="仿宋_GB2312" w:hAnsi="仿宋_GB2312" w:eastAsia="仿宋_GB2312" w:cs="仿宋_GB2312"/>
          <w:snapToGrid/>
          <w:color w:val="auto"/>
          <w:kern w:val="2"/>
          <w:sz w:val="32"/>
          <w:szCs w:val="32"/>
          <w:lang w:val="en-US" w:eastAsia="zh-Hans" w:bidi="ar-SA"/>
        </w:rPr>
        <w:t>.</w:t>
      </w:r>
      <w:r>
        <w:rPr>
          <w:rFonts w:hint="eastAsia" w:ascii="仿宋_GB2312" w:hAnsi="仿宋_GB2312" w:eastAsia="仿宋_GB2312" w:cs="仿宋_GB2312"/>
          <w:snapToGrid/>
          <w:color w:val="auto"/>
          <w:kern w:val="2"/>
          <w:sz w:val="32"/>
          <w:szCs w:val="32"/>
          <w:lang w:val="en-US" w:eastAsia="zh-CN" w:bidi="ar-SA"/>
        </w:rPr>
        <w:t>服务地点：</w:t>
      </w:r>
      <w:r>
        <w:rPr>
          <w:rFonts w:hint="eastAsia" w:ascii="仿宋_GB2312" w:hAnsi="仿宋_GB2312" w:eastAsia="仿宋_GB2312" w:cs="仿宋_GB2312"/>
          <w:color w:val="auto"/>
          <w:sz w:val="32"/>
          <w:szCs w:val="32"/>
          <w:u w:val="none"/>
          <w:lang w:val="en-US" w:eastAsia="zh-CN"/>
        </w:rPr>
        <w:t>地点</w:t>
      </w:r>
    </w:p>
    <w:p w14:paraId="0DD00E4F">
      <w:pPr>
        <w:keepNext w:val="0"/>
        <w:keepLines w:val="0"/>
        <w:pageBreakBefore w:val="0"/>
        <w:widowControl w:val="0"/>
        <w:kinsoku/>
        <w:wordWrap/>
        <w:overflowPunct/>
        <w:topLinePunct w:val="0"/>
        <w:autoSpaceDE/>
        <w:autoSpaceDN/>
        <w:bidi w:val="0"/>
        <w:adjustRightInd/>
        <w:snapToGrid/>
        <w:spacing w:line="660" w:lineRule="exact"/>
        <w:ind w:firstLine="640" w:firstLineChars="200"/>
        <w:jc w:val="both"/>
        <w:textAlignment w:val="auto"/>
        <w:rPr>
          <w:rFonts w:hint="eastAsia" w:ascii="仿宋_GB2312" w:hAnsi="仿宋_GB2312" w:eastAsia="仿宋_GB2312" w:cs="仿宋_GB2312"/>
          <w:snapToGrid/>
          <w:color w:val="auto"/>
          <w:kern w:val="2"/>
          <w:sz w:val="32"/>
          <w:szCs w:val="32"/>
          <w:lang w:val="en-US" w:eastAsia="zh-CN" w:bidi="ar-SA"/>
        </w:rPr>
      </w:pPr>
      <w:r>
        <w:rPr>
          <w:rFonts w:hint="default" w:ascii="仿宋_GB2312" w:hAnsi="仿宋_GB2312" w:eastAsia="仿宋_GB2312" w:cs="仿宋_GB2312"/>
          <w:snapToGrid/>
          <w:color w:val="auto"/>
          <w:kern w:val="2"/>
          <w:sz w:val="32"/>
          <w:szCs w:val="32"/>
          <w:lang w:val="en-US" w:eastAsia="zh-CN" w:bidi="ar-SA"/>
        </w:rPr>
        <w:t>3</w:t>
      </w:r>
      <w:r>
        <w:rPr>
          <w:rFonts w:hint="eastAsia" w:ascii="仿宋_GB2312" w:hAnsi="仿宋_GB2312" w:eastAsia="仿宋_GB2312" w:cs="仿宋_GB2312"/>
          <w:snapToGrid/>
          <w:color w:val="auto"/>
          <w:kern w:val="2"/>
          <w:sz w:val="32"/>
          <w:szCs w:val="32"/>
          <w:lang w:val="en-US" w:eastAsia="zh-Hans" w:bidi="ar-SA"/>
        </w:rPr>
        <w:t>.</w:t>
      </w:r>
      <w:r>
        <w:rPr>
          <w:rFonts w:hint="eastAsia" w:ascii="仿宋_GB2312" w:hAnsi="仿宋_GB2312" w:eastAsia="仿宋_GB2312" w:cs="仿宋_GB2312"/>
          <w:snapToGrid/>
          <w:color w:val="auto"/>
          <w:kern w:val="2"/>
          <w:sz w:val="32"/>
          <w:szCs w:val="32"/>
          <w:lang w:val="en-US" w:eastAsia="zh-CN" w:bidi="ar-SA"/>
        </w:rPr>
        <w:t>服务期限：</w:t>
      </w:r>
      <w:r>
        <w:rPr>
          <w:rFonts w:hint="eastAsia" w:ascii="仿宋_GB2312" w:hAnsi="仿宋_GB2312" w:eastAsia="仿宋_GB2312" w:cs="仿宋_GB2312"/>
          <w:color w:val="auto"/>
          <w:sz w:val="32"/>
          <w:szCs w:val="32"/>
          <w:lang w:val="en-US" w:eastAsia="zh-CN"/>
        </w:rPr>
        <w:t>时间</w:t>
      </w:r>
      <w:r>
        <w:rPr>
          <w:rFonts w:hint="eastAsia" w:ascii="仿宋_GB2312" w:hAnsi="仿宋_GB2312" w:eastAsia="仿宋_GB2312" w:cs="仿宋_GB2312"/>
          <w:snapToGrid/>
          <w:color w:val="auto"/>
          <w:kern w:val="2"/>
          <w:sz w:val="32"/>
          <w:szCs w:val="32"/>
          <w:lang w:val="en-US" w:eastAsia="zh-CN" w:bidi="ar-SA"/>
        </w:rPr>
        <w:t xml:space="preserve"> </w:t>
      </w:r>
    </w:p>
    <w:p w14:paraId="5277CA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napToGrid/>
          <w:color w:val="auto"/>
          <w:kern w:val="2"/>
          <w:sz w:val="32"/>
          <w:szCs w:val="32"/>
        </w:rPr>
      </w:pPr>
      <w:r>
        <w:rPr>
          <w:rFonts w:hint="eastAsia" w:ascii="仿宋_GB2312" w:hAnsi="仿宋_GB2312" w:eastAsia="仿宋_GB2312" w:cs="仿宋_GB2312"/>
          <w:snapToGrid/>
          <w:color w:val="auto"/>
          <w:kern w:val="2"/>
          <w:sz w:val="32"/>
          <w:szCs w:val="32"/>
        </w:rPr>
        <w:t>第二条 服务项目质量标准和要求</w:t>
      </w:r>
    </w:p>
    <w:p w14:paraId="65B198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napToGrid/>
          <w:color w:val="auto"/>
          <w:kern w:val="2"/>
          <w:sz w:val="32"/>
          <w:szCs w:val="32"/>
          <w:lang w:val="en-US" w:eastAsia="zh-CN" w:bidi="ar-SA"/>
        </w:rPr>
      </w:pPr>
      <w:r>
        <w:rPr>
          <w:rFonts w:hint="eastAsia" w:ascii="仿宋_GB2312" w:hAnsi="仿宋_GB2312" w:eastAsia="仿宋_GB2312" w:cs="仿宋_GB2312"/>
          <w:snapToGrid/>
          <w:color w:val="auto"/>
          <w:kern w:val="2"/>
          <w:sz w:val="32"/>
          <w:szCs w:val="32"/>
          <w:lang w:val="en-US" w:eastAsia="zh-Hans"/>
        </w:rPr>
        <w:t>乙方应当根据合同规定，向甲方提供</w:t>
      </w:r>
      <w:r>
        <w:rPr>
          <w:rFonts w:hint="eastAsia" w:ascii="仿宋_GB2312" w:hAnsi="仿宋_GB2312" w:eastAsia="仿宋_GB2312" w:cs="仿宋_GB2312"/>
          <w:snapToGrid/>
          <w:color w:val="auto"/>
          <w:kern w:val="2"/>
          <w:sz w:val="32"/>
          <w:szCs w:val="32"/>
          <w:lang w:val="en-US" w:eastAsia="zh-CN" w:bidi="ar-SA"/>
        </w:rPr>
        <w:t>：</w:t>
      </w:r>
      <w:r>
        <w:rPr>
          <w:rFonts w:hint="eastAsia" w:ascii="仿宋_GB2312" w:hAnsi="仿宋_GB2312" w:eastAsia="仿宋_GB2312" w:cs="仿宋_GB2312"/>
          <w:color w:val="auto"/>
          <w:sz w:val="32"/>
          <w:szCs w:val="32"/>
          <w:u w:val="none"/>
          <w:lang w:val="en-US" w:eastAsia="zh-CN"/>
        </w:rPr>
        <w:t>比赛名称</w:t>
      </w:r>
      <w:r>
        <w:rPr>
          <w:rFonts w:hint="eastAsia" w:ascii="仿宋_GB2312" w:hAnsi="仿宋_GB2312" w:eastAsia="仿宋_GB2312" w:cs="仿宋_GB2312"/>
          <w:color w:val="auto"/>
          <w:sz w:val="32"/>
          <w:szCs w:val="32"/>
          <w:u w:val="none"/>
          <w:lang w:val="en-US" w:eastAsia="zh-CN"/>
        </w:rPr>
        <w:t>的赛事服务，</w:t>
      </w:r>
      <w:r>
        <w:rPr>
          <w:rFonts w:hint="eastAsia" w:ascii="仿宋_GB2312" w:hAnsi="仿宋_GB2312" w:eastAsia="仿宋_GB2312" w:cs="仿宋_GB2312"/>
          <w:color w:val="auto"/>
          <w:sz w:val="32"/>
          <w:szCs w:val="32"/>
          <w:highlight w:val="none"/>
          <w:lang w:val="en-US" w:eastAsia="zh-CN"/>
        </w:rPr>
        <w:t>包含：</w:t>
      </w:r>
      <w:r>
        <w:rPr>
          <w:rFonts w:hint="eastAsia" w:ascii="仿宋_GB2312" w:hAnsi="仿宋_GB2312" w:eastAsia="仿宋_GB2312" w:cs="仿宋_GB2312"/>
          <w:color w:val="auto"/>
          <w:sz w:val="32"/>
          <w:szCs w:val="32"/>
          <w:highlight w:val="none"/>
          <w:lang w:val="en-US" w:eastAsia="zh-CN"/>
        </w:rPr>
        <w:t>费用表项目</w:t>
      </w:r>
      <w:r>
        <w:rPr>
          <w:rFonts w:hint="eastAsia" w:ascii="仿宋_GB2312" w:hAnsi="仿宋_GB2312" w:eastAsia="仿宋_GB2312" w:cs="仿宋_GB2312"/>
          <w:color w:val="auto"/>
          <w:sz w:val="32"/>
          <w:szCs w:val="32"/>
          <w:highlight w:val="none"/>
          <w:lang w:val="en-US" w:eastAsia="zh-CN"/>
        </w:rPr>
        <w:t>等。</w:t>
      </w:r>
    </w:p>
    <w:p w14:paraId="652E73A2">
      <w:pPr>
        <w:keepNext w:val="0"/>
        <w:keepLines w:val="0"/>
        <w:pageBreakBefore w:val="0"/>
        <w:widowControl w:val="0"/>
        <w:kinsoku/>
        <w:wordWrap/>
        <w:overflowPunct/>
        <w:topLinePunct w:val="0"/>
        <w:autoSpaceDE/>
        <w:autoSpaceDN/>
        <w:bidi w:val="0"/>
        <w:adjustRightInd/>
        <w:snapToGrid/>
        <w:spacing w:line="660" w:lineRule="exact"/>
        <w:ind w:firstLine="640" w:firstLineChars="200"/>
        <w:jc w:val="both"/>
        <w:textAlignment w:val="auto"/>
        <w:rPr>
          <w:rFonts w:hint="eastAsia" w:ascii="仿宋_GB2312" w:hAnsi="仿宋_GB2312" w:eastAsia="仿宋_GB2312" w:cs="仿宋_GB2312"/>
          <w:snapToGrid/>
          <w:color w:val="auto"/>
          <w:kern w:val="2"/>
          <w:sz w:val="32"/>
          <w:szCs w:val="32"/>
          <w:lang w:val="en-US" w:eastAsia="zh-CN" w:bidi="ar-SA"/>
        </w:rPr>
      </w:pPr>
      <w:r>
        <w:rPr>
          <w:rFonts w:hint="eastAsia" w:ascii="仿宋_GB2312" w:hAnsi="仿宋_GB2312" w:eastAsia="仿宋_GB2312" w:cs="仿宋_GB2312"/>
          <w:snapToGrid/>
          <w:color w:val="auto"/>
          <w:kern w:val="2"/>
          <w:sz w:val="32"/>
          <w:szCs w:val="32"/>
          <w:lang w:val="en-US" w:eastAsia="zh-CN" w:bidi="ar-SA"/>
        </w:rPr>
        <w:t>第三条</w:t>
      </w: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snapToGrid/>
          <w:color w:val="auto"/>
          <w:kern w:val="2"/>
          <w:sz w:val="32"/>
          <w:szCs w:val="32"/>
          <w:lang w:val="en-US" w:eastAsia="zh-CN" w:bidi="ar-SA"/>
        </w:rPr>
        <w:t>合同金额及报价明细</w:t>
      </w:r>
    </w:p>
    <w:p w14:paraId="404A2A12">
      <w:pPr>
        <w:keepNext w:val="0"/>
        <w:keepLines w:val="0"/>
        <w:pageBreakBefore w:val="0"/>
        <w:widowControl w:val="0"/>
        <w:kinsoku/>
        <w:wordWrap/>
        <w:overflowPunct/>
        <w:topLinePunct w:val="0"/>
        <w:autoSpaceDE/>
        <w:autoSpaceDN/>
        <w:bidi w:val="0"/>
        <w:adjustRightInd/>
        <w:snapToGrid/>
        <w:spacing w:line="660" w:lineRule="exact"/>
        <w:ind w:firstLine="640" w:firstLineChars="200"/>
        <w:jc w:val="both"/>
        <w:textAlignment w:val="auto"/>
        <w:rPr>
          <w:rFonts w:hint="default" w:ascii="仿宋_GB2312" w:hAnsi="仿宋_GB2312" w:eastAsia="仿宋_GB2312" w:cs="仿宋_GB2312"/>
          <w:snapToGrid/>
          <w:color w:val="auto"/>
          <w:kern w:val="2"/>
          <w:sz w:val="32"/>
          <w:szCs w:val="32"/>
          <w:lang w:val="en-US" w:eastAsia="zh-CN" w:bidi="ar-SA"/>
        </w:rPr>
      </w:pPr>
      <w:r>
        <w:rPr>
          <w:rFonts w:hint="eastAsia" w:ascii="仿宋_GB2312" w:hAnsi="仿宋_GB2312" w:eastAsia="仿宋_GB2312" w:cs="仿宋_GB2312"/>
          <w:snapToGrid/>
          <w:color w:val="auto"/>
          <w:kern w:val="2"/>
          <w:sz w:val="32"/>
          <w:szCs w:val="32"/>
          <w:lang w:val="en-US" w:eastAsia="zh-CN" w:bidi="ar-SA"/>
        </w:rPr>
        <w:t>1.本合同服务费用总金额</w:t>
      </w:r>
      <w:r>
        <w:rPr>
          <w:rFonts w:hint="eastAsia" w:ascii="仿宋_GB2312" w:hAnsi="仿宋_GB2312" w:eastAsia="仿宋_GB2312" w:cs="仿宋_GB2312"/>
          <w:snapToGrid/>
          <w:color w:val="auto"/>
          <w:kern w:val="2"/>
          <w:sz w:val="32"/>
          <w:szCs w:val="32"/>
          <w:highlight w:val="none"/>
          <w:lang w:val="en-US" w:eastAsia="zh-CN"/>
        </w:rPr>
        <w:t>为￥</w:t>
      </w:r>
      <w:r>
        <w:rPr>
          <w:rFonts w:hint="eastAsia" w:ascii="仿宋_GB2312" w:hAnsi="仿宋_GB2312" w:eastAsia="仿宋_GB2312" w:cs="仿宋_GB2312"/>
          <w:snapToGrid/>
          <w:color w:val="auto"/>
          <w:kern w:val="2"/>
          <w:sz w:val="32"/>
          <w:szCs w:val="32"/>
          <w:highlight w:val="none"/>
          <w:u w:val="single"/>
          <w:lang w:val="en-US" w:eastAsia="zh-CN"/>
        </w:rPr>
        <w:t>XXXXX</w:t>
      </w:r>
      <w:r>
        <w:rPr>
          <w:rFonts w:hint="eastAsia" w:ascii="仿宋_GB2312" w:hAnsi="仿宋_GB2312" w:eastAsia="仿宋_GB2312" w:cs="仿宋_GB2312"/>
          <w:snapToGrid/>
          <w:color w:val="auto"/>
          <w:kern w:val="2"/>
          <w:sz w:val="32"/>
          <w:szCs w:val="32"/>
          <w:highlight w:val="none"/>
          <w:u w:val="single"/>
          <w:lang w:val="en-US" w:eastAsia="zh-CN"/>
        </w:rPr>
        <w:t>元</w:t>
      </w:r>
      <w:r>
        <w:rPr>
          <w:rFonts w:hint="eastAsia" w:ascii="仿宋_GB2312" w:hAnsi="仿宋_GB2312" w:eastAsia="仿宋_GB2312" w:cs="仿宋_GB2312"/>
          <w:snapToGrid/>
          <w:color w:val="auto"/>
          <w:kern w:val="2"/>
          <w:sz w:val="32"/>
          <w:szCs w:val="32"/>
          <w:highlight w:val="none"/>
          <w:lang w:val="en-US" w:eastAsia="zh-CN"/>
        </w:rPr>
        <w:t>,</w:t>
      </w:r>
      <w:r>
        <w:rPr>
          <w:rFonts w:hint="eastAsia" w:ascii="仿宋_GB2312" w:hAnsi="仿宋_GB2312" w:eastAsia="仿宋_GB2312" w:cs="仿宋_GB2312"/>
          <w:snapToGrid/>
          <w:color w:val="auto"/>
          <w:kern w:val="2"/>
          <w:sz w:val="32"/>
          <w:szCs w:val="32"/>
          <w:highlight w:val="none"/>
        </w:rPr>
        <w:t>人民币</w:t>
      </w:r>
      <w:r>
        <w:rPr>
          <w:rFonts w:hint="eastAsia" w:ascii="仿宋_GB2312" w:hAnsi="仿宋_GB2312" w:eastAsia="仿宋_GB2312" w:cs="仿宋_GB2312"/>
          <w:snapToGrid/>
          <w:color w:val="auto"/>
          <w:kern w:val="2"/>
          <w:sz w:val="32"/>
          <w:szCs w:val="32"/>
          <w:highlight w:val="none"/>
          <w:lang w:val="en-US" w:eastAsia="zh-CN"/>
        </w:rPr>
        <w:t>:</w:t>
      </w:r>
      <w:r>
        <w:rPr>
          <w:rFonts w:hint="eastAsia" w:ascii="仿宋_GB2312" w:hAnsi="仿宋_GB2312" w:eastAsia="仿宋_GB2312" w:cs="仿宋_GB2312"/>
          <w:snapToGrid/>
          <w:color w:val="auto"/>
          <w:kern w:val="2"/>
          <w:sz w:val="32"/>
          <w:szCs w:val="32"/>
          <w:highlight w:val="none"/>
          <w:lang w:val="en-US" w:eastAsia="zh-CN"/>
        </w:rPr>
        <w:t>XXXX</w:t>
      </w:r>
      <w:r>
        <w:rPr>
          <w:rFonts w:hint="eastAsia" w:ascii="仿宋_GB2312" w:hAnsi="仿宋_GB2312" w:eastAsia="仿宋_GB2312" w:cs="仿宋_GB2312"/>
          <w:snapToGrid/>
          <w:color w:val="auto"/>
          <w:kern w:val="2"/>
          <w:sz w:val="32"/>
          <w:szCs w:val="32"/>
          <w:highlight w:val="none"/>
          <w:lang w:val="en-US" w:eastAsia="zh-CN"/>
        </w:rPr>
        <w:t>。</w:t>
      </w:r>
    </w:p>
    <w:p w14:paraId="3EB7DABE">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.合同金额见</w:t>
      </w:r>
      <w:r>
        <w:rPr>
          <w:rFonts w:hint="eastAsia" w:ascii="仿宋_GB2312" w:hAnsi="仿宋_GB2312" w:eastAsia="仿宋_GB2312" w:cs="仿宋_GB2312"/>
          <w:color w:val="auto"/>
          <w:sz w:val="32"/>
          <w:szCs w:val="32"/>
        </w:rPr>
        <w:t>明细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见费用单）</w:t>
      </w:r>
      <w:r>
        <w:rPr>
          <w:rFonts w:hint="eastAsia" w:ascii="仿宋_GB2312" w:hAnsi="仿宋_GB2312" w:eastAsia="仿宋_GB2312" w:cs="仿宋_GB2312"/>
          <w:color w:val="auto"/>
          <w:sz w:val="32"/>
          <w:szCs w:val="32"/>
        </w:rPr>
        <w:t>。</w:t>
      </w:r>
    </w:p>
    <w:p w14:paraId="1CE146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highlight w:val="none"/>
        </w:rPr>
        <w:t>乙方开户名称：</w:t>
      </w:r>
    </w:p>
    <w:p w14:paraId="4FC688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开户银行：</w:t>
      </w:r>
    </w:p>
    <w:p w14:paraId="328D6FA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eastAsia="zh-CN"/>
        </w:rPr>
        <w:t>银行账号</w:t>
      </w:r>
      <w:r>
        <w:rPr>
          <w:rFonts w:hint="eastAsia" w:ascii="仿宋_GB2312" w:hAnsi="仿宋_GB2312" w:eastAsia="仿宋_GB2312" w:cs="仿宋_GB2312"/>
          <w:color w:val="auto"/>
          <w:sz w:val="32"/>
          <w:szCs w:val="32"/>
          <w:highlight w:val="none"/>
        </w:rPr>
        <w:t>： </w:t>
      </w:r>
    </w:p>
    <w:p w14:paraId="7E362D97">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付款方式（根据有关资金管理规定和服务类型选择以下任一种付款方式）</w:t>
      </w:r>
    </w:p>
    <w:p w14:paraId="62900FF0">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甲方以 </w:t>
      </w:r>
      <w:r>
        <w:rPr>
          <w:rFonts w:hint="eastAsia" w:ascii="仿宋_GB2312" w:hAnsi="仿宋_GB2312" w:eastAsia="仿宋_GB2312" w:cs="仿宋_GB2312"/>
          <w:color w:val="auto"/>
          <w:sz w:val="32"/>
          <w:szCs w:val="32"/>
        </w:rPr>
        <w:sym w:font="Wingdings 2" w:char="00A3"/>
      </w:r>
      <w:r>
        <w:rPr>
          <w:rFonts w:hint="eastAsia" w:ascii="仿宋_GB2312" w:hAnsi="仿宋_GB2312" w:eastAsia="仿宋_GB2312" w:cs="仿宋_GB2312"/>
          <w:color w:val="auto"/>
          <w:sz w:val="32"/>
          <w:szCs w:val="32"/>
        </w:rPr>
        <w:t>国库直接支付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国库授权支付 □单位资金转账支付方式付款（在□内划“</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w:t>
      </w:r>
    </w:p>
    <w:p w14:paraId="41B824C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甲方以下述第</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项方式支付合同款项。</w:t>
      </w:r>
    </w:p>
    <w:p w14:paraId="1561D3CD">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一次性付款：</w:t>
      </w:r>
    </w:p>
    <w:p w14:paraId="26F6D644">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乙方履约完毕后且甲方按照本合同第5条规定验收合格后</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在</w:t>
      </w:r>
      <w:r>
        <w:rPr>
          <w:rFonts w:hint="eastAsia" w:ascii="仿宋_GB2312" w:hAnsi="仿宋_GB2312" w:eastAsia="仿宋_GB2312" w:cs="仿宋_GB2312"/>
          <w:color w:val="auto"/>
          <w:sz w:val="32"/>
          <w:szCs w:val="32"/>
          <w:u w:val="single"/>
          <w:lang w:val="en-US" w:eastAsia="zh-CN"/>
        </w:rPr>
        <w:t xml:space="preserve"> 30个工作日</w:t>
      </w:r>
      <w:r>
        <w:rPr>
          <w:rFonts w:hint="default"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内一次性支付全部服务费。</w:t>
      </w:r>
    </w:p>
    <w:p w14:paraId="7F88AF2E">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分期支付：</w:t>
      </w:r>
    </w:p>
    <w:p w14:paraId="3A578212">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按年/按季度/按月支付等额的服务费；</w:t>
      </w:r>
    </w:p>
    <w:p w14:paraId="0B9BA378">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本合同签订后</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日内，甲方向乙方支付</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元（或服务费总额的</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；在交付服务成果并经验收合格后，支付服务费</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元（或服务费总额的</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14:paraId="050081E8">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按本合同项下的项目进度支付服务费：</w:t>
      </w:r>
    </w:p>
    <w:p w14:paraId="7F8F2A57">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rPr>
        <w:t>乙方服务人员到达服务地点并提交服务实施方案后</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日内，甲方将总服务费的</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 %支付给乙方；</w:t>
      </w:r>
    </w:p>
    <w:p w14:paraId="51ADDA2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rPr>
        <w:t>第二次付款为总服务费的</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甲方在乙方提交服务阶段报告</w:t>
      </w:r>
      <w:r>
        <w:rPr>
          <w:rFonts w:hint="eastAsia" w:ascii="仿宋_GB2312" w:hAnsi="仿宋_GB2312" w:eastAsia="仿宋_GB2312" w:cs="仿宋_GB2312"/>
          <w:color w:val="auto"/>
          <w:sz w:val="32"/>
          <w:szCs w:val="32"/>
          <w:lang w:eastAsia="zh-CN"/>
        </w:rPr>
        <w:t>及其他</w:t>
      </w:r>
      <w:r>
        <w:rPr>
          <w:rFonts w:hint="eastAsia" w:ascii="仿宋_GB2312" w:hAnsi="仿宋_GB2312" w:eastAsia="仿宋_GB2312" w:cs="仿宋_GB2312"/>
          <w:color w:val="auto"/>
          <w:sz w:val="32"/>
          <w:szCs w:val="32"/>
        </w:rPr>
        <w:t>文件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且该报告及相关文件符合本合同要求并经甲方验收后</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日内付给乙方；</w:t>
      </w:r>
    </w:p>
    <w:p w14:paraId="0D19FBD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最后一次付款为总服务费的</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%，甲方应在乙方完全履行合同，递交服务总报告及相关文件资料并经甲方验收完毕日内付给乙方。</w:t>
      </w:r>
    </w:p>
    <w:p w14:paraId="5C18BB53">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验收</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及验收标准</w:t>
      </w:r>
    </w:p>
    <w:p w14:paraId="68095E0B">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一）甲方或甲方委托的其他机构应及时对乙方提供的服务进行验收。验收时乙方应派员参加，共同对验收结果进行确认，并承担相关责任。</w:t>
      </w:r>
    </w:p>
    <w:p w14:paraId="0D0C3253">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rPr>
        <w:t>）验收程序及标准：</w:t>
      </w:r>
    </w:p>
    <w:p w14:paraId="21D24D1A">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1.验收程序：</w:t>
      </w:r>
      <w:r>
        <w:rPr>
          <w:rFonts w:hint="eastAsia" w:ascii="仿宋_GB2312" w:hAnsi="仿宋_GB2312" w:eastAsia="仿宋_GB2312" w:cs="仿宋_GB2312"/>
          <w:color w:val="auto"/>
          <w:sz w:val="32"/>
          <w:szCs w:val="32"/>
        </w:rPr>
        <w:t>甲方或甲方委托的其他机构应及时对乙方提供的服务进行验收。验收时乙方应派员参加，共同对验收结果进行确认，并承担相关责任。</w:t>
      </w:r>
    </w:p>
    <w:p w14:paraId="6E99276A">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2.验收标准：见附件2</w:t>
      </w:r>
    </w:p>
    <w:p w14:paraId="1D63B65A">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甲方的权利和义务</w:t>
      </w:r>
    </w:p>
    <w:p w14:paraId="1BC5497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一）甲方的权利</w:t>
      </w:r>
    </w:p>
    <w:p w14:paraId="29ED1639">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甲方有权随时向乙方了解项目进度，并要求乙方提供项目相关资料。</w:t>
      </w:r>
    </w:p>
    <w:p w14:paraId="18B760DD">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甲方有权对项目资金使用情况进行监督、检查，并要求乙方提供相关资料。</w:t>
      </w:r>
    </w:p>
    <w:p w14:paraId="33814600">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有权按照本合同约定或有关法律法规、政府管理的相关职能规定，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14:paraId="0910FFF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甲方有权在乙方履行合同过程中出现损害或可能损害公共利益、公共安全情形时终止本合同。</w:t>
      </w:r>
    </w:p>
    <w:p w14:paraId="5D3DB9BD">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甲方有权根据国家政策或法律法规的变动对服务项目的需求标准和质量要求作出相应变动或者取消项目。</w:t>
      </w:r>
    </w:p>
    <w:p w14:paraId="712717E4">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甲方有权将乙方履行合同情况及不符合政府购买服务管理规定情况，向相关部门报告并纳入不良信用记录、年检（</w:t>
      </w:r>
      <w:r>
        <w:rPr>
          <w:rFonts w:hint="eastAsia" w:ascii="仿宋_GB2312" w:hAnsi="仿宋_GB2312" w:eastAsia="仿宋_GB2312" w:cs="仿宋_GB2312"/>
          <w:color w:val="auto"/>
          <w:sz w:val="32"/>
          <w:szCs w:val="32"/>
          <w:lang w:eastAsia="zh-CN"/>
        </w:rPr>
        <w:t>报告</w:t>
      </w:r>
      <w:r>
        <w:rPr>
          <w:rFonts w:hint="eastAsia" w:ascii="仿宋_GB2312" w:hAnsi="仿宋_GB2312" w:eastAsia="仿宋_GB2312" w:cs="仿宋_GB2312"/>
          <w:color w:val="auto"/>
          <w:sz w:val="32"/>
          <w:szCs w:val="32"/>
        </w:rPr>
        <w:t>）、评估、执法等监管体系中。</w:t>
      </w:r>
    </w:p>
    <w:p w14:paraId="62A2495D">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二）甲方的义务</w:t>
      </w:r>
    </w:p>
    <w:p w14:paraId="6CDBFCB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甲方应及时向乙方提供与履行本合同相关的</w:t>
      </w:r>
      <w:r>
        <w:rPr>
          <w:rFonts w:hint="eastAsia" w:ascii="仿宋_GB2312" w:hAnsi="仿宋_GB2312" w:eastAsia="仿宋_GB2312" w:cs="仿宋_GB2312"/>
          <w:color w:val="auto"/>
          <w:sz w:val="32"/>
          <w:szCs w:val="32"/>
          <w:lang w:eastAsia="zh-CN"/>
        </w:rPr>
        <w:t>所有必需的文件</w:t>
      </w:r>
      <w:r>
        <w:rPr>
          <w:rFonts w:hint="eastAsia" w:ascii="仿宋_GB2312" w:hAnsi="仿宋_GB2312" w:eastAsia="仿宋_GB2312" w:cs="仿宋_GB2312"/>
          <w:color w:val="auto"/>
          <w:sz w:val="32"/>
          <w:szCs w:val="32"/>
        </w:rPr>
        <w:t>、资料。</w:t>
      </w:r>
    </w:p>
    <w:p w14:paraId="23EDB83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甲方应为乙方履行本合同过程中与相关政府部门及其他第三方的沟通、协调提供必要的协助。</w:t>
      </w:r>
    </w:p>
    <w:p w14:paraId="1169A519">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甲方应按照合同约定支付服务费用。</w:t>
      </w:r>
    </w:p>
    <w:p w14:paraId="6B3A728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乙方的权利和义务</w:t>
      </w:r>
    </w:p>
    <w:p w14:paraId="76424A7A">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一）乙方的权利</w:t>
      </w:r>
    </w:p>
    <w:p w14:paraId="0950B834">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乙方有权按照本合同约定向甲方收取服务费用。</w:t>
      </w:r>
    </w:p>
    <w:p w14:paraId="0DA97F19">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乙方有权自甲方处获得与提供本合同项下服务相关的</w:t>
      </w:r>
      <w:r>
        <w:rPr>
          <w:rFonts w:hint="eastAsia" w:ascii="仿宋_GB2312" w:hAnsi="仿宋_GB2312" w:eastAsia="仿宋_GB2312" w:cs="仿宋_GB2312"/>
          <w:color w:val="auto"/>
          <w:sz w:val="32"/>
          <w:szCs w:val="32"/>
          <w:lang w:eastAsia="zh-CN"/>
        </w:rPr>
        <w:t>所有必需的文件</w:t>
      </w:r>
      <w:r>
        <w:rPr>
          <w:rFonts w:hint="eastAsia" w:ascii="仿宋_GB2312" w:hAnsi="仿宋_GB2312" w:eastAsia="仿宋_GB2312" w:cs="仿宋_GB2312"/>
          <w:color w:val="auto"/>
          <w:sz w:val="32"/>
          <w:szCs w:val="32"/>
        </w:rPr>
        <w:t>、资料。</w:t>
      </w:r>
    </w:p>
    <w:p w14:paraId="421BB7C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二）乙方的义务</w:t>
      </w:r>
    </w:p>
    <w:p w14:paraId="514584AE">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乙方应配备具有相应资质、特定经验的工作人员负责项目实施，按照本合同约定的标准、要求和时间完成项目。</w:t>
      </w:r>
    </w:p>
    <w:p w14:paraId="63903250">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乙方不得以任何理由将本合同项下的服务项目转包给第三方承担。</w:t>
      </w:r>
    </w:p>
    <w:p w14:paraId="1C0176D3">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乙方应全面履行本项目实施过程中的相关安全管理职责，因乙方未尽到管理职责发生安全事故的，由乙方承担相应的法律责任。</w:t>
      </w:r>
    </w:p>
    <w:p w14:paraId="58558A0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乙方承诺根据本合同提供的服务及相关的软件和技术资料，均已取得有关知识产权的权利人的合法授权。如发生</w:t>
      </w:r>
      <w:r>
        <w:rPr>
          <w:rFonts w:hint="eastAsia" w:ascii="仿宋_GB2312" w:hAnsi="仿宋_GB2312" w:eastAsia="仿宋_GB2312" w:cs="仿宋_GB2312"/>
          <w:color w:val="auto"/>
          <w:sz w:val="32"/>
          <w:szCs w:val="32"/>
          <w:lang w:eastAsia="zh-CN"/>
        </w:rPr>
        <w:t>涉及</w:t>
      </w:r>
      <w:r>
        <w:rPr>
          <w:rFonts w:hint="eastAsia" w:ascii="仿宋_GB2312" w:hAnsi="仿宋_GB2312" w:eastAsia="仿宋_GB2312" w:cs="仿宋_GB2312"/>
          <w:color w:val="auto"/>
          <w:sz w:val="32"/>
          <w:szCs w:val="32"/>
        </w:rPr>
        <w:t>专利权、著作权、商标权等争议，乙方负责处理并承担由此引起的全部法律及经济责任。</w:t>
      </w:r>
    </w:p>
    <w:p w14:paraId="56F977E4">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乙方应接受并配合甲方或甲方组织的对本合同履行情况的监督与检查，对于甲方指出的问题，应及时作出合理解释或予以纠正。</w:t>
      </w:r>
    </w:p>
    <w:p w14:paraId="4C476787">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乙方应对项目资金进行规范的财务管理和会计核算，加强自身监督，确保资金规范管理和使用。</w:t>
      </w:r>
    </w:p>
    <w:p w14:paraId="62C3F172">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乙方应建立健全财务管理与报告制度，按要求向甲方提供资金的使用情况、项目执行情况、成果总结等材料，并配合甲方及甲方组织的监督检查或绩效评价。</w:t>
      </w:r>
    </w:p>
    <w:p w14:paraId="33B020CD">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应根据甲方要求，无条件接受和配合甲方或甲方委托的会计师事务所进行的与本合同相关的审计。乙方应保存与本合同相关的记录和账目，保存期限为本合同履行完毕或终止后15年。经提前通知，甲方或甲方委托的会计师事务所有权检查并复制上述记录和账目。</w:t>
      </w:r>
    </w:p>
    <w:p w14:paraId="168B16C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项目交付后，乙方应无条件返还甲方向其提供的文件、资料并向甲方移交项目资料，同时乙方应当自留一份完整的项目档案并予以妥善保存。</w:t>
      </w:r>
    </w:p>
    <w:p w14:paraId="34D6F32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w:t>
      </w: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违约责任</w:t>
      </w:r>
    </w:p>
    <w:p w14:paraId="65CF3519">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在本合同履行过程中，双方因违约或造成对方经济、社会效益等损失的应当赔偿。</w:t>
      </w:r>
    </w:p>
    <w:p w14:paraId="6473EA72">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甲方无正当理由拒绝接收服务，到期拒付服务费的，甲方向乙方偿付本合同总服务费</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%的违约金。甲方逾期付款的，则每日按逾期金额的</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%向乙方偿付违约金。</w:t>
      </w:r>
    </w:p>
    <w:p w14:paraId="5C212AD8">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乙方提供的服务不符合本项目相关文件和本合同规定的，甲方有权拒收，并且乙方须向甲方支付本合同总服务费</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%的违约金。</w:t>
      </w:r>
    </w:p>
    <w:p w14:paraId="4F8BEBA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乙方未能按照本合同约定时间提供服务或完成约定的项目服务内容的，从逾期之日起每日按本合同总服务费</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%的数额向甲方支付违约金；逾期</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日以上的，甲方有权终止合同，由此造成的甲方经济损失由乙方承担。</w:t>
      </w:r>
    </w:p>
    <w:p w14:paraId="378F8E29">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未经甲方同意，乙方不得擅自将本合同服务转包第三方承担。如擅自转包，则乙方应</w:t>
      </w:r>
      <w:r>
        <w:rPr>
          <w:rFonts w:hint="eastAsia" w:ascii="仿宋_GB2312" w:hAnsi="仿宋_GB2312" w:eastAsia="仿宋_GB2312" w:cs="仿宋_GB2312"/>
          <w:color w:val="auto"/>
          <w:sz w:val="32"/>
          <w:szCs w:val="32"/>
          <w:lang w:eastAsia="zh-CN"/>
        </w:rPr>
        <w:t>支付</w:t>
      </w:r>
      <w:r>
        <w:rPr>
          <w:rFonts w:hint="eastAsia" w:ascii="仿宋_GB2312" w:hAnsi="仿宋_GB2312" w:eastAsia="仿宋_GB2312" w:cs="仿宋_GB2312"/>
          <w:color w:val="auto"/>
          <w:sz w:val="32"/>
          <w:szCs w:val="32"/>
        </w:rPr>
        <w:t>甲方本合同总服务费</w:t>
      </w:r>
      <w:r>
        <w:rPr>
          <w:rFonts w:hint="eastAsia" w:ascii="仿宋_GB2312" w:hAnsi="仿宋_GB2312" w:eastAsia="仿宋_GB2312" w:cs="仿宋_GB2312"/>
          <w:color w:val="auto"/>
          <w:sz w:val="32"/>
          <w:szCs w:val="32"/>
          <w:u w:val="single"/>
          <w:lang w:val="en-US" w:eastAsia="zh-CN"/>
        </w:rPr>
        <w:t xml:space="preserve"> / </w:t>
      </w:r>
      <w:r>
        <w:rPr>
          <w:rFonts w:hint="eastAsia" w:ascii="仿宋_GB2312" w:hAnsi="仿宋_GB2312" w:eastAsia="仿宋_GB2312" w:cs="仿宋_GB2312"/>
          <w:color w:val="auto"/>
          <w:sz w:val="32"/>
          <w:szCs w:val="32"/>
        </w:rPr>
        <w:t>%的违约金。</w:t>
      </w:r>
    </w:p>
    <w:p w14:paraId="09CC2782">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其他违约责任按《中华人民共和国合同法》处理。</w:t>
      </w:r>
    </w:p>
    <w:p w14:paraId="2D42E2BE">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w:t>
      </w:r>
      <w:r>
        <w:rPr>
          <w:rFonts w:hint="eastAsia" w:ascii="仿宋_GB2312" w:hAnsi="仿宋_GB2312" w:eastAsia="仿宋_GB2312" w:cs="仿宋_GB2312"/>
          <w:color w:val="auto"/>
          <w:sz w:val="32"/>
          <w:szCs w:val="32"/>
          <w:lang w:eastAsia="zh-CN"/>
        </w:rPr>
        <w:t>九</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保密条款</w:t>
      </w:r>
    </w:p>
    <w:p w14:paraId="06E24178">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应遵守国家有关保密的法律法规和行业规定，并对甲方提供的资料负有保密义务。未经甲方同意，不得将承接政府公共服务项目获得的政府、公民个人等各种信息和资料提供给其他单位和个人。如发生以上情况，甲方有权索赔。</w:t>
      </w:r>
    </w:p>
    <w:p w14:paraId="16BEA737">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12CD64F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w:t>
      </w:r>
      <w:r>
        <w:rPr>
          <w:rFonts w:hint="eastAsia" w:ascii="仿宋_GB2312" w:hAnsi="仿宋_GB2312" w:eastAsia="仿宋_GB2312" w:cs="仿宋_GB2312"/>
          <w:color w:val="auto"/>
          <w:sz w:val="32"/>
          <w:szCs w:val="32"/>
          <w:lang w:eastAsia="zh-CN"/>
        </w:rPr>
        <w:t>十</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争议的解决</w:t>
      </w:r>
    </w:p>
    <w:p w14:paraId="2CFFC39D">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本合同在履行过程中发生的任何争议，如双方不能通过友好协商解决，通过甲方所在地有管辖权的人民法院诉讼处理。</w:t>
      </w:r>
    </w:p>
    <w:p w14:paraId="1386AF6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不可抗力</w:t>
      </w:r>
    </w:p>
    <w:p w14:paraId="22546D7B">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何一方由于不可抗力原因不能履行合同时，应在不可抗力事件发生后1日内向对方通报，以减轻可能给对方造成的损失，在取得有关机构的不可抗力证明或双方谅解确认后，允许延期履行或修订合同，并可根据具体情况部分或全部免于承担违约责任。</w:t>
      </w:r>
    </w:p>
    <w:p w14:paraId="135DD5D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合同的终止</w:t>
      </w:r>
    </w:p>
    <w:p w14:paraId="1581835A">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本合同期满，双方未续签合同的；</w:t>
      </w:r>
    </w:p>
    <w:p w14:paraId="1AD66DEE">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乙方服务能力丧失，致使本合同服务无法正常提供的；</w:t>
      </w:r>
    </w:p>
    <w:p w14:paraId="4A6698FD">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在履行合同过程中，发现乙方已不符合承接主体应具备的条件，造成合同无法履行的；</w:t>
      </w:r>
    </w:p>
    <w:p w14:paraId="7A95D42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受国家政策或法律法规变动影响，经双方协商终止本合同的。</w:t>
      </w:r>
    </w:p>
    <w:p w14:paraId="08F2E307">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税费发生与履行</w:t>
      </w:r>
    </w:p>
    <w:p w14:paraId="1DCEAB8E">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本合同有关的一切税费均由乙方负担。</w:t>
      </w:r>
    </w:p>
    <w:p w14:paraId="442F1042">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rPr>
        <w:t>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其他</w:t>
      </w:r>
    </w:p>
    <w:p w14:paraId="43A8AF3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本合同所有附件及相关购买文件均为本合同的有效组成部分，与本合同具有同等法律效力。若合同附件与本合同存在不一致的，则以本合同为准。</w:t>
      </w:r>
    </w:p>
    <w:p w14:paraId="58AB9178">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在履行本合同过程中，所有经双方签署确认的文件（包括会议纪要、补充协议、往来信函）即成为本合同的有效组成部分。</w:t>
      </w:r>
    </w:p>
    <w:p w14:paraId="3073DA1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如一方地址、电话、传真号码及乙方银行账户信息有变更，应在变更当日书面通知对方，否则，应承担相应责任。</w:t>
      </w:r>
    </w:p>
    <w:p w14:paraId="0456376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rPr>
        <w:t>条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合同生效</w:t>
      </w:r>
    </w:p>
    <w:p w14:paraId="4B29EAB3">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1、本合同订立时间：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rPr>
        <w:t>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rPr>
        <w:t>月</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rPr>
        <w:t>。</w:t>
      </w:r>
    </w:p>
    <w:p w14:paraId="3B3C586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2、本合同订立地点：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14:paraId="1E79B61E">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3、本合同在甲、乙双方法人代表或其授权代表签章之日起生效。</w:t>
      </w:r>
    </w:p>
    <w:p w14:paraId="1BD744DE">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4、本合同一式二份，具有同等法律效力，甲乙双方各执一份。</w:t>
      </w:r>
    </w:p>
    <w:p w14:paraId="2AEB6554">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p>
    <w:p w14:paraId="6CE1BBF0">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p>
    <w:p w14:paraId="0BCE01BB">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 w:val="32"/>
          <w:szCs w:val="32"/>
        </w:rPr>
      </w:pPr>
    </w:p>
    <w:p w14:paraId="59029936">
      <w:pPr>
        <w:keepNext w:val="0"/>
        <w:keepLines w:val="0"/>
        <w:pageBreakBefore w:val="0"/>
        <w:widowControl w:val="0"/>
        <w:tabs>
          <w:tab w:val="left" w:pos="334"/>
        </w:tabs>
        <w:kinsoku/>
        <w:wordWrap/>
        <w:overflowPunct/>
        <w:topLinePunct w:val="0"/>
        <w:autoSpaceDE/>
        <w:autoSpaceDN/>
        <w:bidi w:val="0"/>
        <w:adjustRightInd/>
        <w:snapToGrid/>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甲方（盖章）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乙方（盖章）</w:t>
      </w:r>
    </w:p>
    <w:p w14:paraId="34DB32C0">
      <w:pPr>
        <w:keepNext w:val="0"/>
        <w:keepLines w:val="0"/>
        <w:pageBreakBefore w:val="0"/>
        <w:widowControl w:val="0"/>
        <w:kinsoku/>
        <w:wordWrap/>
        <w:overflowPunct/>
        <w:topLinePunct w:val="0"/>
        <w:autoSpaceDE/>
        <w:autoSpaceDN/>
        <w:bidi w:val="0"/>
        <w:adjustRightInd/>
        <w:snapToGrid/>
        <w:ind w:left="6080" w:hanging="6080" w:hangingChars="19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单位名称：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单位名称：</w:t>
      </w:r>
    </w:p>
    <w:p w14:paraId="5B60E50B">
      <w:pPr>
        <w:keepNext w:val="0"/>
        <w:keepLines w:val="0"/>
        <w:pageBreakBefore w:val="0"/>
        <w:widowControl w:val="0"/>
        <w:kinsoku/>
        <w:wordWrap/>
        <w:overflowPunct/>
        <w:topLinePunct w:val="0"/>
        <w:autoSpaceDE/>
        <w:autoSpaceDN/>
        <w:bidi w:val="0"/>
        <w:adjustRightInd/>
        <w:snapToGrid/>
        <w:ind w:firstLine="5760" w:firstLineChars="18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p>
    <w:p w14:paraId="2691870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法人</w:t>
      </w:r>
      <w:r>
        <w:rPr>
          <w:rFonts w:hint="eastAsia" w:ascii="仿宋_GB2312" w:hAnsi="仿宋_GB2312" w:eastAsia="仿宋_GB2312" w:cs="仿宋_GB2312"/>
          <w:color w:val="auto"/>
          <w:sz w:val="32"/>
          <w:szCs w:val="32"/>
          <w:lang w:val="en-US" w:eastAsia="zh-CN"/>
        </w:rPr>
        <w:t>或委托代理人：</w:t>
      </w: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法人</w:t>
      </w:r>
      <w:r>
        <w:rPr>
          <w:rFonts w:hint="eastAsia" w:ascii="仿宋_GB2312" w:hAnsi="仿宋_GB2312" w:eastAsia="仿宋_GB2312" w:cs="仿宋_GB2312"/>
          <w:color w:val="auto"/>
          <w:sz w:val="32"/>
          <w:szCs w:val="32"/>
          <w:lang w:val="en-US" w:eastAsia="zh-CN"/>
        </w:rPr>
        <w:t>或委托代理人</w:t>
      </w:r>
      <w:r>
        <w:rPr>
          <w:rFonts w:hint="eastAsia" w:ascii="仿宋_GB2312" w:hAnsi="仿宋_GB2312" w:eastAsia="仿宋_GB2312" w:cs="仿宋_GB2312"/>
          <w:color w:val="auto"/>
          <w:sz w:val="32"/>
          <w:szCs w:val="32"/>
          <w:lang w:eastAsia="zh-CN"/>
        </w:rPr>
        <w:t>：</w:t>
      </w:r>
    </w:p>
    <w:p w14:paraId="1A71BBA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（盖章或签字）</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盖章或签字）</w:t>
      </w:r>
      <w:r>
        <w:rPr>
          <w:rFonts w:hint="eastAsia" w:ascii="仿宋_GB2312" w:hAnsi="仿宋_GB2312" w:eastAsia="仿宋_GB2312" w:cs="仿宋_GB2312"/>
          <w:color w:val="auto"/>
          <w:sz w:val="32"/>
          <w:szCs w:val="32"/>
          <w:lang w:val="en-US" w:eastAsia="zh-CN"/>
        </w:rPr>
        <w:t xml:space="preserve"> </w:t>
      </w:r>
    </w:p>
    <w:p w14:paraId="19714E7F">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电话：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电话</w:t>
      </w:r>
      <w:r>
        <w:rPr>
          <w:rFonts w:hint="eastAsia" w:ascii="仿宋_GB2312" w:hAnsi="仿宋_GB2312" w:eastAsia="仿宋_GB2312" w:cs="仿宋_GB2312"/>
          <w:color w:val="auto"/>
          <w:sz w:val="32"/>
          <w:szCs w:val="32"/>
          <w:lang w:eastAsia="zh-CN"/>
        </w:rPr>
        <w:t>：</w:t>
      </w:r>
    </w:p>
    <w:p w14:paraId="4496030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olor w:val="auto"/>
          <w:sz w:val="28"/>
          <w:szCs w:val="28"/>
          <w:lang w:val="en-US" w:eastAsia="zh-CN"/>
        </w:rPr>
      </w:pPr>
      <w:r>
        <w:rPr>
          <w:rFonts w:hint="eastAsia" w:ascii="仿宋_GB2312" w:hAnsi="仿宋_GB2312" w:eastAsia="仿宋_GB2312" w:cs="仿宋_GB2312"/>
          <w:color w:val="auto"/>
          <w:sz w:val="32"/>
          <w:szCs w:val="32"/>
        </w:rPr>
        <w:t>日期：  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月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日期：  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月  </w:t>
      </w:r>
      <w:r>
        <w:rPr>
          <w:rFonts w:hint="eastAsia" w:ascii="仿宋_GB2312" w:hAnsi="仿宋_GB2312" w:eastAsia="仿宋_GB2312" w:cs="仿宋_GB2312"/>
          <w:color w:val="auto"/>
          <w:sz w:val="32"/>
          <w:szCs w:val="32"/>
          <w:lang w:val="en-US" w:eastAsia="zh-CN"/>
        </w:rPr>
        <w:t xml:space="preserve"> 日</w:t>
      </w:r>
    </w:p>
    <w:p w14:paraId="54A4F3D6">
      <w:pPr>
        <w:pStyle w:val="9"/>
        <w:ind w:left="0" w:leftChars="0" w:firstLine="0" w:firstLineChars="0"/>
        <w:jc w:val="left"/>
        <w:rPr>
          <w:rFonts w:hint="eastAsia" w:asciiTheme="majorEastAsia" w:hAnsiTheme="majorEastAsia" w:eastAsiaTheme="majorEastAsia" w:cstheme="majorEastAsia"/>
          <w:color w:val="auto"/>
          <w:sz w:val="44"/>
          <w:szCs w:val="44"/>
          <w:lang w:val="en-US" w:eastAsia="zh-CN"/>
        </w:rPr>
      </w:pPr>
    </w:p>
    <w:bookmarkEnd w:id="0"/>
    <w:sectPr>
      <w:footerReference r:id="rId5" w:type="default"/>
      <w:pgSz w:w="11906" w:h="16838"/>
      <w:pgMar w:top="2098" w:right="1474" w:bottom="1984" w:left="1587"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B7CCE">
    <w:pPr>
      <w:pStyle w:val="3"/>
    </w:pPr>
    <w:r>
      <mc:AlternateContent>
        <mc:Choice Requires="wps">
          <w:drawing>
            <wp:anchor distT="0" distB="0" distL="114300" distR="114300" simplePos="0" relativeHeight="251659264" behindDoc="0" locked="0" layoutInCell="1" allowOverlap="1">
              <wp:simplePos x="0" y="0"/>
              <wp:positionH relativeFrom="margin">
                <wp:posOffset>2521585</wp:posOffset>
              </wp:positionH>
              <wp:positionV relativeFrom="paragraph">
                <wp:posOffset>-104775</wp:posOffset>
              </wp:positionV>
              <wp:extent cx="421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21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C7CE5">
                          <w:pPr>
                            <w:pStyle w:val="3"/>
                            <w:rPr>
                              <w:rFonts w:ascii="楷体" w:hAnsi="楷体" w:eastAsia="楷体" w:cs="楷体"/>
                              <w:sz w:val="28"/>
                              <w:szCs w:val="22"/>
                            </w:rPr>
                          </w:pPr>
                          <w:r>
                            <w:rPr>
                              <w:rFonts w:hint="eastAsia" w:asciiTheme="minorEastAsia" w:hAnsiTheme="minorEastAsia" w:cstheme="minorEastAsia"/>
                              <w:sz w:val="28"/>
                              <w:szCs w:val="22"/>
                            </w:rPr>
                            <w:fldChar w:fldCharType="begin"/>
                          </w:r>
                          <w:r>
                            <w:rPr>
                              <w:rFonts w:hint="eastAsia" w:asciiTheme="minorEastAsia" w:hAnsiTheme="minorEastAsia" w:cstheme="minorEastAsia"/>
                              <w:sz w:val="28"/>
                              <w:szCs w:val="22"/>
                            </w:rPr>
                            <w:instrText xml:space="preserve"> PAGE  \* MERGEFORMAT </w:instrText>
                          </w:r>
                          <w:r>
                            <w:rPr>
                              <w:rFonts w:hint="eastAsia" w:asciiTheme="minorEastAsia" w:hAnsiTheme="minorEastAsia" w:cstheme="minorEastAsia"/>
                              <w:sz w:val="28"/>
                              <w:szCs w:val="22"/>
                            </w:rPr>
                            <w:fldChar w:fldCharType="separate"/>
                          </w:r>
                          <w:r>
                            <w:rPr>
                              <w:rFonts w:asciiTheme="minorEastAsia" w:hAnsiTheme="minorEastAsia" w:cstheme="minorEastAsia"/>
                              <w:sz w:val="28"/>
                              <w:szCs w:val="22"/>
                            </w:rPr>
                            <w:t>- 2 -</w:t>
                          </w:r>
                          <w:r>
                            <w:rPr>
                              <w:rFonts w:hint="eastAsia" w:asciiTheme="minorEastAsia" w:hAnsiTheme="minorEastAsia" w:cstheme="minorEastAsia"/>
                              <w:sz w:val="28"/>
                              <w:szCs w:val="22"/>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8.55pt;margin-top:-8.25pt;height:144pt;width:33.2pt;mso-position-horizontal-relative:margin;z-index:251659264;mso-width-relative:page;mso-height-relative:page;" filled="f" stroked="f" coordsize="21600,21600" o:gfxdata="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TkYGjaAAAACwEAAA8AAAAAAAAAAQAgAAAAIgAAAGRycy9kb3ducmV2Lnht&#10;bFBLAQIUABQAAAAIAIdO4kBs0hQNMAIAAFYEAAAOAAAAAAAAAAEAIAAAACkBAABkcnMvZTJvRG9j&#10;LnhtbFBLBQYAAAAABgAGAFkBAADLBQAAAAA=&#10;">
              <v:fill on="f" focussize="0,0"/>
              <v:stroke on="f" weight="0.5pt"/>
              <v:imagedata o:title=""/>
              <o:lock v:ext="edit" aspectratio="f"/>
              <v:textbox inset="0mm,0mm,0mm,0mm" style="mso-fit-shape-to-text:t;">
                <w:txbxContent>
                  <w:p w14:paraId="307C7CE5">
                    <w:pPr>
                      <w:pStyle w:val="3"/>
                      <w:rPr>
                        <w:rFonts w:ascii="楷体" w:hAnsi="楷体" w:eastAsia="楷体" w:cs="楷体"/>
                        <w:sz w:val="28"/>
                        <w:szCs w:val="22"/>
                      </w:rPr>
                    </w:pPr>
                    <w:r>
                      <w:rPr>
                        <w:rFonts w:hint="eastAsia" w:asciiTheme="minorEastAsia" w:hAnsiTheme="minorEastAsia" w:cstheme="minorEastAsia"/>
                        <w:sz w:val="28"/>
                        <w:szCs w:val="22"/>
                      </w:rPr>
                      <w:fldChar w:fldCharType="begin"/>
                    </w:r>
                    <w:r>
                      <w:rPr>
                        <w:rFonts w:hint="eastAsia" w:asciiTheme="minorEastAsia" w:hAnsiTheme="minorEastAsia" w:cstheme="minorEastAsia"/>
                        <w:sz w:val="28"/>
                        <w:szCs w:val="22"/>
                      </w:rPr>
                      <w:instrText xml:space="preserve"> PAGE  \* MERGEFORMAT </w:instrText>
                    </w:r>
                    <w:r>
                      <w:rPr>
                        <w:rFonts w:hint="eastAsia" w:asciiTheme="minorEastAsia" w:hAnsiTheme="minorEastAsia" w:cstheme="minorEastAsia"/>
                        <w:sz w:val="28"/>
                        <w:szCs w:val="22"/>
                      </w:rPr>
                      <w:fldChar w:fldCharType="separate"/>
                    </w:r>
                    <w:r>
                      <w:rPr>
                        <w:rFonts w:asciiTheme="minorEastAsia" w:hAnsiTheme="minorEastAsia" w:cstheme="minorEastAsia"/>
                        <w:sz w:val="28"/>
                        <w:szCs w:val="22"/>
                      </w:rPr>
                      <w:t>- 2 -</w:t>
                    </w:r>
                    <w:r>
                      <w:rPr>
                        <w:rFonts w:hint="eastAsia" w:asciiTheme="minorEastAsia" w:hAnsiTheme="minorEastAsia" w:cstheme="minorEastAsia"/>
                        <w:sz w:val="28"/>
                        <w:szCs w:val="2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zZmYwOTM2NmI5YmQxM2ZiZTM4YzI2NjZjZjhlZTQifQ=="/>
  </w:docVars>
  <w:rsids>
    <w:rsidRoot w:val="00172A27"/>
    <w:rsid w:val="00314A9B"/>
    <w:rsid w:val="008A1BD1"/>
    <w:rsid w:val="009847F9"/>
    <w:rsid w:val="00E75638"/>
    <w:rsid w:val="014E4B86"/>
    <w:rsid w:val="024B2444"/>
    <w:rsid w:val="04D962FF"/>
    <w:rsid w:val="083A16B6"/>
    <w:rsid w:val="0999599C"/>
    <w:rsid w:val="0AAC2506"/>
    <w:rsid w:val="0B8E299F"/>
    <w:rsid w:val="0C1D318E"/>
    <w:rsid w:val="0D4D69B4"/>
    <w:rsid w:val="0E1B2911"/>
    <w:rsid w:val="0F932A72"/>
    <w:rsid w:val="10E9720B"/>
    <w:rsid w:val="11BA3E01"/>
    <w:rsid w:val="12974993"/>
    <w:rsid w:val="13087BCF"/>
    <w:rsid w:val="13D917EB"/>
    <w:rsid w:val="14D022B1"/>
    <w:rsid w:val="16127E63"/>
    <w:rsid w:val="17525CFF"/>
    <w:rsid w:val="17674434"/>
    <w:rsid w:val="17A86473"/>
    <w:rsid w:val="182A5419"/>
    <w:rsid w:val="19E249E2"/>
    <w:rsid w:val="1A7F4BCD"/>
    <w:rsid w:val="1B436E08"/>
    <w:rsid w:val="1EDC2C75"/>
    <w:rsid w:val="1F65250E"/>
    <w:rsid w:val="23DE3396"/>
    <w:rsid w:val="240C5F29"/>
    <w:rsid w:val="24266687"/>
    <w:rsid w:val="243537C8"/>
    <w:rsid w:val="24942747"/>
    <w:rsid w:val="24E748BE"/>
    <w:rsid w:val="25126BCF"/>
    <w:rsid w:val="262001D7"/>
    <w:rsid w:val="265F6EFB"/>
    <w:rsid w:val="27EF7DC7"/>
    <w:rsid w:val="29943AA9"/>
    <w:rsid w:val="29FA2014"/>
    <w:rsid w:val="2B5A7BE5"/>
    <w:rsid w:val="2E1B18F5"/>
    <w:rsid w:val="2F1B00DB"/>
    <w:rsid w:val="3023090E"/>
    <w:rsid w:val="30FD6762"/>
    <w:rsid w:val="32FE6EA4"/>
    <w:rsid w:val="337138DE"/>
    <w:rsid w:val="347245DE"/>
    <w:rsid w:val="34B104B2"/>
    <w:rsid w:val="34F46586"/>
    <w:rsid w:val="35501B11"/>
    <w:rsid w:val="358B200B"/>
    <w:rsid w:val="35AF206A"/>
    <w:rsid w:val="363B2141"/>
    <w:rsid w:val="379D0EF9"/>
    <w:rsid w:val="37D00F6A"/>
    <w:rsid w:val="38E20653"/>
    <w:rsid w:val="38EB514F"/>
    <w:rsid w:val="394F28CA"/>
    <w:rsid w:val="3A1343CC"/>
    <w:rsid w:val="3AB512C4"/>
    <w:rsid w:val="3BDC64F5"/>
    <w:rsid w:val="3CB95B20"/>
    <w:rsid w:val="3ECA7854"/>
    <w:rsid w:val="3FC47526"/>
    <w:rsid w:val="3FD3068D"/>
    <w:rsid w:val="45661443"/>
    <w:rsid w:val="45FB44BE"/>
    <w:rsid w:val="46B70F7D"/>
    <w:rsid w:val="47B42F29"/>
    <w:rsid w:val="4A8F50FA"/>
    <w:rsid w:val="4AAC5ECB"/>
    <w:rsid w:val="4C683AE3"/>
    <w:rsid w:val="4D324553"/>
    <w:rsid w:val="4D751672"/>
    <w:rsid w:val="52206890"/>
    <w:rsid w:val="52647A51"/>
    <w:rsid w:val="52735234"/>
    <w:rsid w:val="52E93BCD"/>
    <w:rsid w:val="52F30603"/>
    <w:rsid w:val="5460162F"/>
    <w:rsid w:val="557F62FD"/>
    <w:rsid w:val="56463DC7"/>
    <w:rsid w:val="56CC4F31"/>
    <w:rsid w:val="57053C0D"/>
    <w:rsid w:val="57DF5B9C"/>
    <w:rsid w:val="57E66006"/>
    <w:rsid w:val="58886E03"/>
    <w:rsid w:val="5A0451CE"/>
    <w:rsid w:val="5B4A160D"/>
    <w:rsid w:val="5CC85BF2"/>
    <w:rsid w:val="5D7522A3"/>
    <w:rsid w:val="5D7B1F27"/>
    <w:rsid w:val="5DAA646A"/>
    <w:rsid w:val="5E55396C"/>
    <w:rsid w:val="618D003E"/>
    <w:rsid w:val="61D603A7"/>
    <w:rsid w:val="63CB6D12"/>
    <w:rsid w:val="63E41B2C"/>
    <w:rsid w:val="64943516"/>
    <w:rsid w:val="6683356E"/>
    <w:rsid w:val="693D38D8"/>
    <w:rsid w:val="6A7C5B90"/>
    <w:rsid w:val="6C9A31B2"/>
    <w:rsid w:val="6DA168BE"/>
    <w:rsid w:val="6E8E6E63"/>
    <w:rsid w:val="70547189"/>
    <w:rsid w:val="7197742F"/>
    <w:rsid w:val="72456F7B"/>
    <w:rsid w:val="731F1F61"/>
    <w:rsid w:val="748249D0"/>
    <w:rsid w:val="74C448BD"/>
    <w:rsid w:val="7B635401"/>
    <w:rsid w:val="7D704C17"/>
    <w:rsid w:val="7E461DD7"/>
    <w:rsid w:val="7F360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hint="default"/>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First Indent"/>
    <w:basedOn w:val="2"/>
    <w:qFormat/>
    <w:uiPriority w:val="0"/>
    <w:pPr>
      <w:ind w:firstLine="420" w:firstLineChars="100"/>
    </w:pPr>
    <w:rPr>
      <w:rFonts w:ascii="Courier New" w:hAnsi="Courier New"/>
      <w:kern w:val="0"/>
      <w:sz w:val="24"/>
    </w:rPr>
  </w:style>
  <w:style w:type="table" w:styleId="7">
    <w:name w:val="Table Grid"/>
    <w:basedOn w:val="6"/>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缩进1"/>
    <w:basedOn w:val="1"/>
    <w:qFormat/>
    <w:uiPriority w:val="0"/>
    <w:pPr>
      <w:ind w:firstLine="88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3266</Words>
  <Characters>3322</Characters>
  <Lines>5</Lines>
  <Paragraphs>1</Paragraphs>
  <TotalTime>2</TotalTime>
  <ScaleCrop>false</ScaleCrop>
  <LinksUpToDate>false</LinksUpToDate>
  <CharactersWithSpaces>3600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2020-10-19T04:04:00Z</dcterms:created>
  <dc:creator>Dell</dc:creator>
  <cp:lastModifiedBy>Shy、boy</cp:lastModifiedBy>
  <cp:lastPrinted>2025-10-11T09:22:00Z</cp:lastPrinted>
  <dcterms:modified xsi:type="dcterms:W3CDTF">2026-04-15T09:40:40Z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E263B7AD12DA490D82A7052662D2D2FC_13</vt:lpwstr>
  </property>
  <property fmtid="{D5CDD505-2E9C-101B-9397-08002B2CF9AE}" pid="4" name="KSOTemplateDocerSaveRecord">
    <vt:lpwstr>eyJoZGlkIjoiMTA3OGRkNWRhNTc5OTY4MzgwMzJhODk3ZjJmN2U5NTMiLCJ1c2VySWQiOiI2MDE2MDQ1NTIifQ==</vt:lpwstr>
  </property>
</Properties>
</file>