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版本号：SXWXZBDL2026-ZC-CS101420260806001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莲湖区红光路价值园区开发实施规划及地块实施详细规划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SXWXZBDL2026-ZC-CS1014</w:t>
      </w:r>
      <w:r>
        <w:br/>
      </w:r>
      <w:r>
        <w:br/>
      </w:r>
      <w:r>
        <w:br/>
      </w:r>
    </w:p>
    <w:p>
      <w:pPr>
        <w:pStyle w:val="null3"/>
        <w:jc w:val="center"/>
        <w:outlineLvl w:val="2"/>
      </w:pPr>
      <w:r>
        <w:rPr>
          <w:rFonts w:ascii="仿宋_GB2312" w:hAnsi="仿宋_GB2312" w:cs="仿宋_GB2312" w:eastAsia="仿宋_GB2312"/>
          <w:sz w:val="28"/>
          <w:b/>
        </w:rPr>
        <w:t>西安市自然资源和规划局莲湖分局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西安市自然资源和规划局莲湖分局</w:t>
      </w:r>
      <w:r>
        <w:rPr>
          <w:rFonts w:ascii="仿宋_GB2312" w:hAnsi="仿宋_GB2312" w:cs="仿宋_GB2312" w:eastAsia="仿宋_GB2312"/>
        </w:rPr>
        <w:t>委托，拟对</w:t>
      </w:r>
      <w:r>
        <w:rPr>
          <w:rFonts w:ascii="仿宋_GB2312" w:hAnsi="仿宋_GB2312" w:cs="仿宋_GB2312" w:eastAsia="仿宋_GB2312"/>
        </w:rPr>
        <w:t>莲湖区红光路价值园区开发实施规划及地块实施详细规划</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莲湖区红光路价值园区开发实施规划及地块实施详细规划</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市政府工作部署，要加快完成红光路价值园区规划方案编制，有序推进红光路价值园区的产业提质升级、公共空间治理、人居环境改善，补齐各类产业配套与生活配套，努力实现企业增产扩能、城市空间更新、经济稳定增长等多重目标，探索形成老旧厂区更新改造新模式，促进莲湖区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内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9、企业资质：供应商须具有城乡规划编制乙级及以上资质证书；</w:t>
      </w:r>
    </w:p>
    <w:p>
      <w:pPr>
        <w:pStyle w:val="null3"/>
      </w:pPr>
      <w:r>
        <w:rPr>
          <w:rFonts w:ascii="仿宋_GB2312" w:hAnsi="仿宋_GB2312" w:cs="仿宋_GB2312" w:eastAsia="仿宋_GB2312"/>
        </w:rPr>
        <w:t>10、项目负责人：拟派项目负责人须具有国家注册城乡规划师资格证书；</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本项目接受联合体：本项目接受联合体磋商，联合体参加磋商的，应满足下列要求：联合体成员数量不得超过2家，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 注：非联合体供应商以响应文件中所附加盖供应商单位公章的非联合体供应商书面声明为准；联合体供应商以响应文件中所附的加盖所有联合体成员单位公章的联合体协议为准。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西安市自然资源和规划局莲湖分局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西安市莲湖区团结东路243号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029-84581998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西安市自然资源和规划局莲湖分局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西安市自然资源和规划局莲湖分局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西安市自然资源和规划局莲湖分局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按照合同约定及磋商文件要求执行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市政府工作部署，要加快完成红光路价值园区规划方案编制，有序推进红光路价值园区的产业提质升级、公共空间治理、人居环境改善，补齐各类产业配套与生活配套，努力实现企业增产扩能、城市空间更新、经济稳定增长等多重目标，探索形成老旧厂区更新改造新模式，促进莲湖区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莲湖区红光路价值园区开发实施规划及地块实施详细规划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标的名称：莲湖区红光路价值园区开发实施规划及地块实施详细规划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ind w:firstLine="480"/>
              <w:jc w:val="left"/>
            </w:pPr>
            <w:r>
              <w:rPr>
                <w:rFonts w:ascii="仿宋_GB2312" w:hAnsi="仿宋_GB2312" w:cs="仿宋_GB2312" w:eastAsia="仿宋_GB2312"/>
                <w:sz w:val="24"/>
              </w:rPr>
              <w:t>（一）红光路价值园区开发策划研究方案</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现状摸查梳理。在研究范围内，开展土地收储情况、相关规划情况、现状建设情况、现状企业利用情况等多方面情况的综合梳理，综合考虑周边城市功能和自身更新潜力，明晰项目建设的制约因素及重点、难点问题。</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更新范围划定。在土地整理基础上，按照“整体研究、聚焦实施”的原则，衔接周边现状建设情况、土地资源现状利用情况，综合考虑单元详细规划边界，道路、现状权属等限制要素，合理确定本次研究范围和更新实施范围。</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更新目标定位。在现状资料调查评估基础上，结合产业片区功能传导要求和区域产业布局情况，研判红光路价值园区发展趋势，分析片区在产业转型升级、公共设施完善、综合效益升级等方面的核心价值，提出更新目标与规划定位。</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功能业态策划。深入研究红光路价值园区的产业功能及规模，依托已收储项目、公共配套和基础设施等建设，补齐各类产业配套与生活配套，促进土地升值和资源盘活，确保既符合地区发展的目标要求，又符合市场的需求。</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规划优化方案。结合片区发展现状与定位，充分衔接研究范围所涉及的单元详细规划，在已编制的单元详细规划基础上，明确功能传导、单元控制指标等约束性内容，明确本轮规划着力解决的问题，合理布局各类项目用地，落实近期重点项目布局，明确地块划分、功能配比、土地利用性质、开发强度等内容，优化形成整体土地利用方案，为土地开发、项目建设、宣传展示搭建平台。</w:t>
            </w:r>
          </w:p>
          <w:p>
            <w:pPr>
              <w:pStyle w:val="null3"/>
              <w:ind w:firstLine="480"/>
              <w:jc w:val="left"/>
            </w:pPr>
            <w:r>
              <w:rPr>
                <w:rFonts w:ascii="仿宋_GB2312" w:hAnsi="仿宋_GB2312" w:cs="仿宋_GB2312" w:eastAsia="仿宋_GB2312"/>
                <w:sz w:val="24"/>
              </w:rPr>
              <w:t>（二）红光路价值园区开发实施方案</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开发实施方案。根据片区开发建设诉求，梳理出适宜红光路实施区块开发实施的政策依据，并根据现状详查分析情况和用地权属人诉求、相关利益人意见，提出土地整合、土地收储策略等，明确包括土地开发、道路建设、市政公服建设等在内的开发实施计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详细城市设计。针对红光路实施区块开展详细城市设计研究，通过对空间框架、功能业态与产品策划、开敞空间、城市界面、建筑形态、城市天际线、地标建筑、视线廊道等方面的整体统筹，提出城市空间的总体发展意向和相关控制要求，指导后续地块的规划实施。</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经济平衡测算。根据规划范围现状详查分析情况，结合土地整合、征收储备方案，估算土地整合、征收储备成本；根据土地整备方案，结合规划方案估算可出让的地块面积、指标及出让收益；在此基础上，测算规划范围经济效益情况。</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、近远期实施计划。开展土地收储、基础设施建设的安排和成本投入分析，制定近远期出让方案，明确开发实施计划，开展经济测算。</w:t>
            </w:r>
          </w:p>
          <w:p>
            <w:pPr>
              <w:pStyle w:val="null3"/>
              <w:ind w:firstLine="480"/>
              <w:jc w:val="left"/>
            </w:pPr>
            <w:r>
              <w:rPr>
                <w:rFonts w:ascii="仿宋_GB2312" w:hAnsi="仿宋_GB2312" w:cs="仿宋_GB2312" w:eastAsia="仿宋_GB2312"/>
                <w:sz w:val="24"/>
              </w:rPr>
              <w:t>（三）西仪新园区地块实施详细规划</w:t>
            </w:r>
          </w:p>
          <w:p>
            <w:pPr>
              <w:pStyle w:val="null3"/>
            </w:pPr>
            <w:r>
              <w:rPr>
                <w:rFonts w:ascii="仿宋_GB2312" w:hAnsi="仿宋_GB2312" w:cs="仿宋_GB2312" w:eastAsia="仿宋_GB2312"/>
                <w:sz w:val="24"/>
              </w:rPr>
              <w:t>在单元详细规划、开发实施规划基础上，聚焦西仪新园区选址地块，落实细化规划指标、管控要求，明晰地块用地性质、容积率、建筑密度、建筑高度等技术指标，确定产业配套和生活配套设施的类别、数量、用地面积、建筑面积、建设形式，以及建筑形态、公共空间等城市设计控制要求；提供“规土评让”相关技术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技术</w:t>
            </w:r>
            <w:r>
              <w:rPr>
                <w:rFonts w:ascii="仿宋_GB2312" w:hAnsi="仿宋_GB2312" w:cs="仿宋_GB2312" w:eastAsia="仿宋_GB2312"/>
                <w:sz w:val="24"/>
              </w:rPr>
              <w:t>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本项目规划设计必须执行中华人民共和国现行规划行业设计规范、规定、规程、条例、标准等。</w:t>
            </w:r>
          </w:p>
          <w:p>
            <w:pPr>
              <w:pStyle w:val="null3"/>
            </w:pPr>
            <w:r>
              <w:rPr>
                <w:rFonts w:ascii="仿宋_GB2312" w:hAnsi="仿宋_GB2312" w:cs="仿宋_GB2312" w:eastAsia="仿宋_GB2312"/>
                <w:sz w:val="24"/>
              </w:rPr>
              <w:t>2.</w:t>
            </w:r>
            <w:r>
              <w:rPr>
                <w:rFonts w:ascii="仿宋_GB2312" w:hAnsi="仿宋_GB2312" w:cs="仿宋_GB2312" w:eastAsia="仿宋_GB2312"/>
                <w:sz w:val="24"/>
              </w:rPr>
              <w:t>本项目规划设计文件应符合行业及地方通用标准和惯例的要求。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服务要求：供应商应配备稳定的人员团队，并具备开展规划编制所需的软硬件设备，包括但不限于GIS系统，以及城市规划辅助设计软件；投标人应在合同期内提供全程技术支持和协调服务，包括参与相关会议、配合报审、根据甲方要求对成果进行合理解释与必要调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进度要求：自合同签订之日起至服务期截止完成所有成果交付，具体进度按甲方要求执行。</w:t>
            </w:r>
          </w:p>
          <w:p>
            <w:pPr>
              <w:pStyle w:val="null3"/>
            </w:pPr>
            <w:r>
              <w:rPr>
                <w:rFonts w:ascii="仿宋_GB2312" w:hAnsi="仿宋_GB2312" w:cs="仿宋_GB2312" w:eastAsia="仿宋_GB2312"/>
                <w:sz w:val="24"/>
              </w:rPr>
              <w:t>2.</w:t>
            </w:r>
            <w:r>
              <w:rPr>
                <w:rFonts w:ascii="仿宋_GB2312" w:hAnsi="仿宋_GB2312" w:cs="仿宋_GB2312" w:eastAsia="仿宋_GB2312"/>
                <w:sz w:val="24"/>
              </w:rPr>
              <w:t>成果交付要求：</w:t>
            </w:r>
          </w:p>
          <w:p>
            <w:pPr>
              <w:pStyle w:val="null3"/>
            </w:pPr>
            <w:r>
              <w:rPr>
                <w:rFonts w:ascii="仿宋_GB2312" w:hAnsi="仿宋_GB2312" w:cs="仿宋_GB2312" w:eastAsia="仿宋_GB2312"/>
                <w:sz w:val="24"/>
              </w:rPr>
              <w:t>反馈材料：规划设计成果包括纸质文件及相应的电子文件。</w:t>
            </w:r>
          </w:p>
          <w:p>
            <w:pPr>
              <w:pStyle w:val="null3"/>
            </w:pPr>
            <w:r>
              <w:rPr>
                <w:rFonts w:ascii="仿宋_GB2312" w:hAnsi="仿宋_GB2312" w:cs="仿宋_GB2312" w:eastAsia="仿宋_GB2312"/>
                <w:sz w:val="24"/>
              </w:rPr>
              <w:t>以上资料提供纸质版2份；电子版2份（WORD格式），并储存U盘。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按照国家相关标准、行业标准、地方标准或者其他标准、规范标准执行。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执行中华人民共和国规划设计行业现行标准、规定、规程及规范，符合行业和地方通用标准和惯例要求。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进度款，在乙方提交成果资料并通过红光路重点片区开发实施方案专家评审会后，达到付款条件起22个工作日内，支付合同总金额的30.0%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进度款，在乙方提交成果资料并通过地块实施详细规划“规土评让”联评联审会议后，达到付款条件起22个工作日内，支付合同总金额的20.0%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进度款，地块实施详细规划图则成果按照标准完成入库后，达到付款条件起22个工作日内，支付合同总金额的10.0%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按照合同约定及磋商文件要求执行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1.本项目合同包1为非专门面向中小微企业采购。 2.本项目合同包1属性为服务。 3.本项目合同包1采购标的所属行业为：其他未列明行业；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6.法定代表人授权书（附法定代表人、被授权人身份证复印件）被授权人需提供在本单位近三个月内任意一个月的社保缴纳证明，法定代表人直接参加磋商，须提供法定代表人身份证明及身份证复印件；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8.供应商须具有城乡规划编制乙级及以上资质证书； 9.拟派项目负责人须具有国家注册城乡规划师资格证书； 10.本项目接受联合体磋商。</w:t>
            </w:r>
          </w:p>
        </w:tc>
        <w:tc>
          <w:tcPr>
            <w:tcW w:type="dxa" w:w="1661"/>
          </w:tcPr>
          <w:p>
            <w:pPr>
              <w:pStyle w:val="null3"/>
            </w:pPr>
            <w:r>
              <w:rPr>
                <w:rFonts w:ascii="仿宋_GB2312" w:hAnsi="仿宋_GB2312" w:cs="仿宋_GB2312" w:eastAsia="仿宋_GB2312"/>
              </w:rPr>
              <w:t>响应文件封面 供应商承诺.docx 分项报价.docx 响应函 商务条款偏离表.docx 资格证明文件.docx 服务方案.docx 联合体协议约定承诺书.docx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供应商须具有城乡规划编制乙级及以上资质证书；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拟派项目负责人须具有国家注册城乡规划师资格证书；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w:t>
            </w:r>
          </w:p>
        </w:tc>
        <w:tc>
          <w:tcPr>
            <w:tcW w:type="dxa" w:w="3322"/>
          </w:tcPr>
          <w:p>
            <w:pPr>
              <w:pStyle w:val="null3"/>
            </w:pPr>
            <w:r>
              <w:rPr>
                <w:rFonts w:ascii="仿宋_GB2312" w:hAnsi="仿宋_GB2312" w:cs="仿宋_GB2312" w:eastAsia="仿宋_GB2312"/>
              </w:rPr>
              <w:t>本项目接受联合体磋商，联合体参加磋商的，应满足下列要求：联合体成员数量不得超过2家，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 注：非联合体供应商以响应文件中所附加盖供应商单位公章的非联合体供应商书面声明为准；联合体供应商以响应文件中所附的加盖所有联合体成员单位公章的联合体协议为准。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供应商承诺.docx 标的清单 报价表 分项报价.docx 响应函 商务条款偏离表.docx 资格证明文件.docx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一、评审内容：根据供应商针对本项目编写的本项目理解情况包含（①项目实施背景②工作目标③项目前期资料收集、分析、理解与认识）进行计分：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3 分，评审内容缺项每项扣 1 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项目的总体框架及计划②红光路价值园区开发策划研究方案研究思路及方法③红光路价值园区开发实施方案研究思路及方法④西仪新园区地块实施详细规划方案研究思路及方法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6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一、评审内容：针对本项目提出的项目进度安排内容包含（①项目进度安排②项目进度保证措施③项目风险预测与防范及事故应急预案措施④针对本项目按时交付的保障措施）进行计分：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一、评审内容：①项目负责人具有城市（或城乡）规划专业正高级或教授级职称得4分，具有城市（或城乡）规划专业高级职称得2分，其他或未提供不得分。 二、评审依据：须为本单位人员，评审时以提供2025年至今(任意3个月)参保证明或劳动合同、人员身份证、职称证等证明材料复印件加盖投标人公章为依据。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项目团队组成</w:t>
            </w:r>
          </w:p>
        </w:tc>
        <w:tc>
          <w:tcPr>
            <w:tcW w:type="dxa" w:w="2492"/>
          </w:tcPr>
          <w:p>
            <w:pPr>
              <w:pStyle w:val="null3"/>
            </w:pPr>
            <w:r>
              <w:rPr>
                <w:rFonts w:ascii="仿宋_GB2312" w:hAnsi="仿宋_GB2312" w:cs="仿宋_GB2312" w:eastAsia="仿宋_GB2312"/>
              </w:rPr>
              <w:t>一、评审内容：根据供应商针对本项目编写的团队组成包含（1、项目团队人员职称(不含项目负责人)资质证明等；2、项目组团队相关技术人员专业配备齐全包含（①规划、②交通、③市政、④建筑）专业证明文件）进行计分： 二、评审标准： 1、项目团队人员(不含项目负责人)，具备高级工程师及以上职称，同时具备国家注册城乡规划师资格的每人得3分；只具备高级工程师职称或只具备国家注册城乡规划师资格的每人得2分；具备中级工程师职称的每人得1分；最高得12分； 2、项目组团队相关技术人员专业配备齐全包含（①规划、②交通、③市政、④建筑）专业，每提供一个专业证明文件得1分，最高得4分，专业不重复计分。 说明：提供的证明材料复印件加盖投标人公章。未提供不得分。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一、评审内容：根据供应商针对本项目的保密承诺及措施包含（①保密承诺；②人员保密管理；③所有策划、开发、实施规划的保密措施及处置方案；④成果保密）进行计分：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针对本项目服务工作中的常见问题进行梳理，具有良好的解决方案并及时向采购人提出合理化建议，每提供一条有效的建议得1分，满分2分。未提供不得分。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针对本项目的内容做出服务保障及承诺（①根据采购人意见及时调整人员的服务保障及承诺；②在本项目实施过程中与采购人积极配合，确保项目能按规定要求完成审议、审批承诺；③保障成果文件编制符合国家相关法律法规和行业的规范、标 准及技术规程的承诺；④承诺后续服务具有可延续性及协调人员及时到位），每满足一项得2分，满分8分。未提供不得分。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10分。如为联合体，联合体成员业绩均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1.经初审合格的磋商响应文件，通过符合性审查的磋商报价为有效磋商价。对符合政策性扣减的有效磋商报价进行政策性扣减，并依据扣减后的价格（评审价格）进行价格评审。 2.满足磋商文件实质性要求且最终报价最低的供应商的价格为磋商基准价，其价格分为满分20分。 3.磋商报价得分=（磋商基准价/最终磋商报价）×20的公式计算得分。注：监狱企业与残疾人福利性单位视同小型、微型企业，享受同等价格扣除，当企业属性重复时，不重复价格扣除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接受大中型企业与小微企业组成联合体的采购项目，对联合协议约定小微企业的合同份额占到合同总金额30%以上的，对联合体的符合政策性扣减的有效磋商报价进行政策性扣减，并依据扣减后的价格（评审价格）进行价格评审。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联合体协议约定承诺书.docx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详见附件：联合体协议约定承诺书.docx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