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版本号：JXYFS-2026-01220260730001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渭南高新区水资源论证报告书编制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JXYFS-2026-012</w:t>
      </w:r>
      <w:r>
        <w:br/>
      </w:r>
      <w:r>
        <w:br/>
      </w:r>
      <w:r>
        <w:br/>
      </w:r>
    </w:p>
    <w:p>
      <w:pPr>
        <w:pStyle w:val="null3"/>
        <w:jc w:val="center"/>
        <w:outlineLvl w:val="2"/>
      </w:pPr>
      <w:r>
        <w:rPr>
          <w:rFonts w:ascii="仿宋_GB2312" w:hAnsi="仿宋_GB2312" w:cs="仿宋_GB2312" w:eastAsia="仿宋_GB2312"/>
          <w:sz w:val="28"/>
          <w:b/>
        </w:rPr>
        <w:t>渭南高新区城乡建设和管理局</w:t>
      </w:r>
    </w:p>
    <w:p>
      <w:pPr>
        <w:pStyle w:val="null3"/>
        <w:jc w:val="center"/>
        <w:outlineLvl w:val="2"/>
      </w:pPr>
      <w:r>
        <w:rPr>
          <w:rFonts w:ascii="仿宋_GB2312" w:hAnsi="仿宋_GB2312" w:cs="仿宋_GB2312" w:eastAsia="仿宋_GB2312"/>
          <w:sz w:val="28"/>
          <w:b/>
        </w:rPr>
        <w:t>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嘉翔项目管理有限公司</w:t>
      </w:r>
      <w:r>
        <w:rPr>
          <w:rFonts w:ascii="仿宋_GB2312" w:hAnsi="仿宋_GB2312" w:cs="仿宋_GB2312" w:eastAsia="仿宋_GB2312"/>
        </w:rPr>
        <w:t>（以下简称“代理机构”）受</w:t>
      </w:r>
      <w:r>
        <w:rPr>
          <w:rFonts w:ascii="仿宋_GB2312" w:hAnsi="仿宋_GB2312" w:cs="仿宋_GB2312" w:eastAsia="仿宋_GB2312"/>
        </w:rPr>
        <w:t>渭南高新区城乡建设和管理局</w:t>
      </w:r>
      <w:r>
        <w:rPr>
          <w:rFonts w:ascii="仿宋_GB2312" w:hAnsi="仿宋_GB2312" w:cs="仿宋_GB2312" w:eastAsia="仿宋_GB2312"/>
        </w:rPr>
        <w:t>委托，拟对</w:t>
      </w:r>
      <w:r>
        <w:rPr>
          <w:rFonts w:ascii="仿宋_GB2312" w:hAnsi="仿宋_GB2312" w:cs="仿宋_GB2312" w:eastAsia="仿宋_GB2312"/>
        </w:rPr>
        <w:t>渭南高新区水资源论证报告书编制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JXYFS-2026-012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渭南高新区水资源论证报告书编制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主要渭南高新区编制水资源论证报告书。</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采购包1（渭南高新区水资源论证报告编制）：属于专门面向小微企业采购。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1、营业执照：合法有效，具有独立承担民事责任的能力且具备向采购人提供相关服务的企业法人、事业法人、其他组织或者自然人</w:t>
      </w:r>
    </w:p>
    <w:p>
      <w:pPr>
        <w:pStyle w:val="null3"/>
      </w:pPr>
      <w:r>
        <w:rPr>
          <w:rFonts w:ascii="仿宋_GB2312" w:hAnsi="仿宋_GB2312" w:cs="仿宋_GB2312" w:eastAsia="仿宋_GB2312"/>
        </w:rPr>
        <w:t>2、授权委托：法定代表人参加磋商的，须出具法定代表人身份证明和身份证（正反面）复印件；授权委托代理人参加磋商的，须出具委托授权书，并附法定代表人和委托代理人身份证（正反面）复印件</w:t>
      </w:r>
    </w:p>
    <w:p>
      <w:pPr>
        <w:pStyle w:val="null3"/>
      </w:pPr>
      <w:r>
        <w:rPr>
          <w:rFonts w:ascii="仿宋_GB2312" w:hAnsi="仿宋_GB2312" w:cs="仿宋_GB2312" w:eastAsia="仿宋_GB2312"/>
        </w:rPr>
        <w:t>3、信誉：供应商不得为“信用中国”网站（www.creditchina.gov.cn）中列入失信被执行人和税收违法黑名单的供应商，不得为中国政府采购网（www.ccgp.gov.cn）政府采购严重违法失信行为记录名单中被财政部门禁止参加政府采购活动的供应商（提供查询结果网页截图并加盖供应商公章，查询日期为公告发布之日起至磋商响应截止日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渭南高新区城乡建设和管理局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渭南市高新区香山大道3号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13891328807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西安市雁塔区曲江新区雁南五路曲江影视大厦19楼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15399315150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高新区政府采购管理股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贺晓静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0913-2111101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代理服务费收费标准：参照国家发展和改革委员会《招标代理服务收费暂行办法》（计价格〔2002〕1980号）及发改办价格[2003]857号文件的规定收取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渭南高新区城乡建设和管理局</w:t>
      </w:r>
      <w:r>
        <w:rPr>
          <w:rFonts w:ascii="仿宋_GB2312" w:hAnsi="仿宋_GB2312" w:cs="仿宋_GB2312" w:eastAsia="仿宋_GB2312"/>
        </w:rPr>
        <w:t>和</w:t>
      </w:r>
      <w:r>
        <w:rPr>
          <w:rFonts w:ascii="仿宋_GB2312" w:hAnsi="仿宋_GB2312" w:cs="仿宋_GB2312" w:eastAsia="仿宋_GB2312"/>
        </w:rPr>
        <w:t>嘉翔项目管理有限公司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渭南高新区城乡建设和管理局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渭南高新区城乡建设和管理局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45</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联系人：田凯</w:t>
      </w:r>
    </w:p>
    <w:p>
      <w:pPr>
        <w:pStyle w:val="null3"/>
      </w:pPr>
      <w:r>
        <w:rPr>
          <w:rFonts w:ascii="仿宋_GB2312" w:hAnsi="仿宋_GB2312" w:cs="仿宋_GB2312" w:eastAsia="仿宋_GB2312"/>
        </w:rPr>
        <w:t>联系电话：15399315150</w:t>
      </w:r>
    </w:p>
    <w:p>
      <w:pPr>
        <w:pStyle w:val="null3"/>
      </w:pPr>
      <w:r>
        <w:rPr>
          <w:rFonts w:ascii="仿宋_GB2312" w:hAnsi="仿宋_GB2312" w:cs="仿宋_GB2312" w:eastAsia="仿宋_GB2312"/>
        </w:rPr>
        <w:t>地址：西安市曲江新区雁南五路曲江影视大厦19楼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主要编制渭南高新区水资源论证报告书</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渭南高新区水资源论证报告书编制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标的名称：渭南高新区水资源论证报告书编制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一、项目概况</w:t>
            </w:r>
          </w:p>
          <w:p>
            <w:pPr>
              <w:pStyle w:val="null3"/>
            </w:pPr>
            <w:r>
              <w:rPr>
                <w:rFonts w:ascii="仿宋_GB2312" w:hAnsi="仿宋_GB2312" w:cs="仿宋_GB2312" w:eastAsia="仿宋_GB2312"/>
                <w:sz w:val="18"/>
                <w:color w:val="000000"/>
              </w:rPr>
              <w:t>编制渭南高新区水资源论证报告书。</w:t>
            </w:r>
          </w:p>
          <w:p>
            <w:pPr>
              <w:pStyle w:val="null3"/>
            </w:pPr>
            <w:r>
              <w:rPr>
                <w:rFonts w:ascii="仿宋_GB2312" w:hAnsi="仿宋_GB2312" w:cs="仿宋_GB2312" w:eastAsia="仿宋_GB2312"/>
                <w:sz w:val="21"/>
                <w:b/>
              </w:rPr>
              <w:t>二、服务内容</w:t>
            </w:r>
          </w:p>
          <w:p>
            <w:pPr>
              <w:pStyle w:val="null3"/>
            </w:pPr>
            <w:r>
              <w:rPr>
                <w:rFonts w:ascii="仿宋_GB2312" w:hAnsi="仿宋_GB2312" w:cs="仿宋_GB2312" w:eastAsia="仿宋_GB2312"/>
                <w:sz w:val="18"/>
                <w:color w:val="000000"/>
              </w:rPr>
              <w:t>报告内容和结构按照《规划水资源论证技术导则》(SL/T813-2021)编写</w:t>
            </w:r>
            <w:r>
              <w:rPr>
                <w:rFonts w:ascii="仿宋_GB2312" w:hAnsi="仿宋_GB2312" w:cs="仿宋_GB2312" w:eastAsia="仿宋_GB2312"/>
                <w:sz w:val="24"/>
                <w:color w:val="000000"/>
              </w:rPr>
              <w:t>，</w:t>
            </w:r>
            <w:r>
              <w:rPr>
                <w:rFonts w:ascii="仿宋_GB2312" w:hAnsi="仿宋_GB2312" w:cs="仿宋_GB2312" w:eastAsia="仿宋_GB2312"/>
                <w:sz w:val="18"/>
                <w:color w:val="000000"/>
              </w:rPr>
              <w:t>包括但不限于</w:t>
            </w:r>
            <w:r>
              <w:rPr>
                <w:rFonts w:ascii="仿宋_GB2312" w:hAnsi="仿宋_GB2312" w:cs="仿宋_GB2312" w:eastAsia="仿宋_GB2312"/>
                <w:sz w:val="18"/>
                <w:color w:val="000000"/>
              </w:rPr>
              <w:t>规划分析、水资源承载状况分析、规划需水分析及节水评价、水资源配置论证、规划实施影响分析等，</w:t>
            </w:r>
            <w:r>
              <w:rPr>
                <w:rFonts w:ascii="仿宋_GB2312" w:hAnsi="仿宋_GB2312" w:cs="仿宋_GB2312" w:eastAsia="仿宋_GB2312"/>
                <w:sz w:val="18"/>
                <w:color w:val="000000"/>
              </w:rPr>
              <w:t>最终形成符合技术导则要求规范的区域规划水资源论证报告。</w:t>
            </w:r>
          </w:p>
          <w:p>
            <w:pPr>
              <w:pStyle w:val="null3"/>
            </w:pPr>
            <w:r>
              <w:rPr>
                <w:rFonts w:ascii="仿宋_GB2312" w:hAnsi="仿宋_GB2312" w:cs="仿宋_GB2312" w:eastAsia="仿宋_GB2312"/>
                <w:sz w:val="21"/>
                <w:b/>
              </w:rPr>
              <w:t>三、技术要求</w:t>
            </w:r>
          </w:p>
          <w:p>
            <w:pPr>
              <w:pStyle w:val="null3"/>
            </w:pPr>
            <w:r>
              <w:rPr>
                <w:rFonts w:ascii="仿宋_GB2312" w:hAnsi="仿宋_GB2312" w:cs="仿宋_GB2312" w:eastAsia="仿宋_GB2312"/>
                <w:sz w:val="18"/>
                <w:color w:val="000000"/>
              </w:rPr>
              <w:t>根据《规划水资源论证技术导则》（SL/T813-2021）条款内容，编制完成《渭南高新区水资源论证报告书》。</w:t>
            </w:r>
          </w:p>
          <w:p>
            <w:pPr>
              <w:pStyle w:val="null3"/>
            </w:pPr>
            <w:r>
              <w:rPr>
                <w:rFonts w:ascii="仿宋_GB2312" w:hAnsi="仿宋_GB2312" w:cs="仿宋_GB2312" w:eastAsia="仿宋_GB2312"/>
                <w:sz w:val="21"/>
                <w:b/>
              </w:rPr>
              <w:t>四、成果交付要求</w:t>
            </w:r>
          </w:p>
          <w:p>
            <w:pPr>
              <w:pStyle w:val="null3"/>
            </w:pPr>
            <w:r>
              <w:rPr>
                <w:rFonts w:ascii="仿宋_GB2312" w:hAnsi="仿宋_GB2312" w:cs="仿宋_GB2312" w:eastAsia="仿宋_GB2312"/>
                <w:sz w:val="18"/>
              </w:rPr>
              <w:t>完成《</w:t>
            </w:r>
            <w:r>
              <w:rPr>
                <w:rFonts w:ascii="仿宋_GB2312" w:hAnsi="仿宋_GB2312" w:cs="仿宋_GB2312" w:eastAsia="仿宋_GB2312"/>
                <w:sz w:val="18"/>
                <w:color w:val="000000"/>
              </w:rPr>
              <w:t>渭南高新区水资源论证报告书</w:t>
            </w:r>
            <w:r>
              <w:rPr>
                <w:rFonts w:ascii="仿宋_GB2312" w:hAnsi="仿宋_GB2312" w:cs="仿宋_GB2312" w:eastAsia="仿宋_GB2312"/>
                <w:sz w:val="18"/>
              </w:rPr>
              <w:t>》的编制工作并通过审查。</w:t>
            </w:r>
          </w:p>
          <w:p>
            <w:pPr>
              <w:pStyle w:val="null3"/>
            </w:pPr>
            <w:r>
              <w:rPr>
                <w:rFonts w:ascii="仿宋_GB2312" w:hAnsi="仿宋_GB2312" w:cs="仿宋_GB2312" w:eastAsia="仿宋_GB2312"/>
                <w:sz w:val="21"/>
                <w:b/>
              </w:rPr>
              <w:t>五、需执行的国家相关标准、行业标准、地方标准或者其他标准、规范标准</w:t>
            </w:r>
          </w:p>
          <w:p>
            <w:pPr>
              <w:pStyle w:val="null3"/>
            </w:pPr>
            <w:r>
              <w:rPr>
                <w:rFonts w:ascii="仿宋_GB2312" w:hAnsi="仿宋_GB2312" w:cs="仿宋_GB2312" w:eastAsia="仿宋_GB2312"/>
                <w:sz w:val="18"/>
                <w:color w:val="000000"/>
              </w:rPr>
              <w:t>（1）《中华人民共和国水法》（2016年7月修订）；</w:t>
            </w:r>
          </w:p>
          <w:p>
            <w:pPr>
              <w:pStyle w:val="null3"/>
            </w:pPr>
            <w:r>
              <w:rPr>
                <w:rFonts w:ascii="仿宋_GB2312" w:hAnsi="仿宋_GB2312" w:cs="仿宋_GB2312" w:eastAsia="仿宋_GB2312"/>
                <w:sz w:val="18"/>
                <w:color w:val="000000"/>
              </w:rPr>
              <w:t>（2）《中华人民共和国环境保护法》（2015年1月实施）；</w:t>
            </w:r>
          </w:p>
          <w:p>
            <w:pPr>
              <w:pStyle w:val="null3"/>
            </w:pPr>
            <w:r>
              <w:rPr>
                <w:rFonts w:ascii="仿宋_GB2312" w:hAnsi="仿宋_GB2312" w:cs="仿宋_GB2312" w:eastAsia="仿宋_GB2312"/>
                <w:sz w:val="18"/>
                <w:color w:val="000000"/>
              </w:rPr>
              <w:t>（3）《中华人民共和国水污染防治法》（2017年6月修订）；</w:t>
            </w:r>
          </w:p>
          <w:p>
            <w:pPr>
              <w:pStyle w:val="null3"/>
            </w:pPr>
            <w:r>
              <w:rPr>
                <w:rFonts w:ascii="仿宋_GB2312" w:hAnsi="仿宋_GB2312" w:cs="仿宋_GB2312" w:eastAsia="仿宋_GB2312"/>
                <w:sz w:val="18"/>
                <w:color w:val="000000"/>
              </w:rPr>
              <w:t>（4）《中华人民共和国环境影响评价法》（2018年12月修订）；</w:t>
            </w:r>
          </w:p>
          <w:p>
            <w:pPr>
              <w:pStyle w:val="null3"/>
            </w:pPr>
            <w:r>
              <w:rPr>
                <w:rFonts w:ascii="仿宋_GB2312" w:hAnsi="仿宋_GB2312" w:cs="仿宋_GB2312" w:eastAsia="仿宋_GB2312"/>
                <w:sz w:val="18"/>
                <w:color w:val="000000"/>
              </w:rPr>
              <w:t>（5）《中华人民共和国黄河保护法》（2022年10月30日第十三届全国人民代表大会常务委员会第三十七次会议通过）；</w:t>
            </w:r>
          </w:p>
          <w:p>
            <w:pPr>
              <w:pStyle w:val="null3"/>
            </w:pPr>
            <w:r>
              <w:rPr>
                <w:rFonts w:ascii="仿宋_GB2312" w:hAnsi="仿宋_GB2312" w:cs="仿宋_GB2312" w:eastAsia="仿宋_GB2312"/>
                <w:sz w:val="18"/>
                <w:color w:val="000000"/>
              </w:rPr>
              <w:t>（6）《取水许可和水资源费征收管理条例》（国务院令第676号，2017年）；</w:t>
            </w:r>
          </w:p>
          <w:p>
            <w:pPr>
              <w:pStyle w:val="null3"/>
            </w:pPr>
            <w:r>
              <w:rPr>
                <w:rFonts w:ascii="仿宋_GB2312" w:hAnsi="仿宋_GB2312" w:cs="仿宋_GB2312" w:eastAsia="仿宋_GB2312"/>
                <w:sz w:val="18"/>
                <w:color w:val="000000"/>
              </w:rPr>
              <w:t>（7）《陕西省节约用水条例》（陕西省第十四届人民代表大会常务委员会第十三次会议通过，2025年3月施行）；</w:t>
            </w:r>
          </w:p>
          <w:p>
            <w:pPr>
              <w:pStyle w:val="null3"/>
            </w:pPr>
            <w:r>
              <w:rPr>
                <w:rFonts w:ascii="仿宋_GB2312" w:hAnsi="仿宋_GB2312" w:cs="仿宋_GB2312" w:eastAsia="仿宋_GB2312"/>
                <w:sz w:val="18"/>
                <w:color w:val="000000"/>
              </w:rPr>
              <w:t>（8）《节水型社会评价指标体系和评价方法》（GB/T 28284-2012）；</w:t>
            </w:r>
          </w:p>
          <w:p>
            <w:pPr>
              <w:pStyle w:val="null3"/>
            </w:pPr>
            <w:r>
              <w:rPr>
                <w:rFonts w:ascii="仿宋_GB2312" w:hAnsi="仿宋_GB2312" w:cs="仿宋_GB2312" w:eastAsia="仿宋_GB2312"/>
                <w:sz w:val="18"/>
                <w:color w:val="000000"/>
              </w:rPr>
              <w:t>（9）《规划水资源论证技术导则》（SL/T 813-2021）；</w:t>
            </w:r>
          </w:p>
          <w:p>
            <w:pPr>
              <w:pStyle w:val="null3"/>
            </w:pPr>
            <w:r>
              <w:rPr>
                <w:rFonts w:ascii="仿宋_GB2312" w:hAnsi="仿宋_GB2312" w:cs="仿宋_GB2312" w:eastAsia="仿宋_GB2312"/>
                <w:sz w:val="18"/>
                <w:color w:val="000000"/>
              </w:rPr>
              <w:t>（10）《建设项目水资源论证导则》（GB/T 33580-2017）；</w:t>
            </w:r>
          </w:p>
          <w:p>
            <w:pPr>
              <w:pStyle w:val="null3"/>
            </w:pPr>
            <w:r>
              <w:rPr>
                <w:rFonts w:ascii="仿宋_GB2312" w:hAnsi="仿宋_GB2312" w:cs="仿宋_GB2312" w:eastAsia="仿宋_GB2312"/>
                <w:sz w:val="18"/>
                <w:color w:val="000000"/>
              </w:rPr>
              <w:t>（11）《陕西省行业用水定额》（DB61/T 943-2020）；</w:t>
            </w:r>
          </w:p>
          <w:p>
            <w:pPr>
              <w:pStyle w:val="null3"/>
            </w:pPr>
            <w:r>
              <w:rPr>
                <w:rFonts w:ascii="仿宋_GB2312" w:hAnsi="仿宋_GB2312" w:cs="仿宋_GB2312" w:eastAsia="仿宋_GB2312"/>
                <w:sz w:val="18"/>
                <w:color w:val="000000"/>
              </w:rPr>
              <w:t>（12）《陕西省地下水管控指标方案》（陕水函〔2023〕50号）；</w:t>
            </w:r>
          </w:p>
          <w:p>
            <w:pPr>
              <w:pStyle w:val="null3"/>
            </w:pPr>
            <w:r>
              <w:rPr>
                <w:rFonts w:ascii="仿宋_GB2312" w:hAnsi="仿宋_GB2312" w:cs="仿宋_GB2312" w:eastAsia="仿宋_GB2312"/>
                <w:sz w:val="18"/>
                <w:color w:val="000000"/>
              </w:rPr>
              <w:t>（13）《渭南市水务局、渭南市发展改革委员会关于下达渭南市“十四五”用水总量和强度双控目标的通知》（渭水发〔2022〕293号）。</w:t>
            </w:r>
          </w:p>
          <w:p>
            <w:pPr>
              <w:pStyle w:val="null3"/>
            </w:pPr>
            <w:r>
              <w:rPr>
                <w:rFonts w:ascii="仿宋_GB2312" w:hAnsi="仿宋_GB2312" w:cs="仿宋_GB2312" w:eastAsia="仿宋_GB2312"/>
                <w:sz w:val="18"/>
                <w:color w:val="000000"/>
              </w:rPr>
              <w:t>（14）其他相关法规和标准。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渭南高新区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达到国家相关规范标准和磋商文件要求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预付款，合同签订，达到付款条件起5个工作日内，支付合同总金额的30.0%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进度款，报告编制完成并通过技术审查，达到付款条件起7个工作日内，支付合同总金额的65.0%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进度款，审批通过交付成果后，达到付款条件起7个工作日内，支付合同总金额的5.0%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合法有效，具有独立承担民事责任的能力且具备向采购人提供相关服务的企业法人、事业法人、其他组织或者自然人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法定代表人参加磋商的，须出具法定代表人身份证明和身份证（正反面）复印件；授权委托代理人参加磋商的，须出具委托授权书，并附法定代表人和委托代理人身份证（正反面）复印件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不得为“信用中国”网站（www.creditchina.gov.cn）中列入失信被执行人和税收违法黑名单的供应商，不得为中国政府采购网（www.ccgp.gov.cn）政府采购严重违法失信行为记录名单中被财政部门禁止参加政府采购活动的供应商（提供查询结果网页截图并加盖供应商公章，查询日期为公告发布之日起至磋商响应截止日止）</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响应文件签章及格式响应</w:t>
            </w:r>
          </w:p>
        </w:tc>
        <w:tc>
          <w:tcPr>
            <w:tcW w:type="dxa" w:w="3322"/>
          </w:tcPr>
          <w:p>
            <w:pPr>
              <w:pStyle w:val="null3"/>
            </w:pPr>
            <w:r>
              <w:rPr>
                <w:rFonts w:ascii="仿宋_GB2312" w:hAnsi="仿宋_GB2312" w:cs="仿宋_GB2312" w:eastAsia="仿宋_GB2312"/>
              </w:rPr>
              <w:t>响应文件签章及格式满足磋商文件的要求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资格证明文件.docx 监狱企业的证明文件 商务、技术文件.docx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响应文件有效期满足磋商文件的要求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满足或优于采购要求</w:t>
            </w:r>
          </w:p>
        </w:tc>
        <w:tc>
          <w:tcPr>
            <w:tcW w:type="dxa" w:w="1661"/>
          </w:tcPr>
          <w:p>
            <w:pPr>
              <w:pStyle w:val="null3"/>
            </w:pPr>
            <w:r>
              <w:rPr>
                <w:rFonts w:ascii="仿宋_GB2312" w:hAnsi="仿宋_GB2312" w:cs="仿宋_GB2312" w:eastAsia="仿宋_GB2312"/>
              </w:rPr>
              <w:t>报价表 商务、技术文件.docx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w:t>
            </w:r>
          </w:p>
        </w:tc>
        <w:tc>
          <w:tcPr>
            <w:tcW w:type="dxa" w:w="3322"/>
          </w:tcPr>
          <w:p>
            <w:pPr>
              <w:pStyle w:val="null3"/>
            </w:pPr>
            <w:r>
              <w:rPr>
                <w:rFonts w:ascii="仿宋_GB2312" w:hAnsi="仿宋_GB2312" w:cs="仿宋_GB2312" w:eastAsia="仿宋_GB2312"/>
              </w:rPr>
              <w:t>完全理解并响应采购文件的要求</w:t>
            </w:r>
          </w:p>
        </w:tc>
        <w:tc>
          <w:tcPr>
            <w:tcW w:type="dxa" w:w="1661"/>
          </w:tcPr>
          <w:p>
            <w:pPr>
              <w:pStyle w:val="null3"/>
            </w:pPr>
            <w:r>
              <w:rPr>
                <w:rFonts w:ascii="仿宋_GB2312" w:hAnsi="仿宋_GB2312" w:cs="仿宋_GB2312" w:eastAsia="仿宋_GB2312"/>
              </w:rPr>
              <w:t>商务、技术文件.docx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1.项目负责人：拟派项目负责人须具备水利相关专业职称，具有高级工程师及以上职称或同等职称的，得6分，具有中级工程师或同等职称的得3分，其他不得分。2.项目组成员（不含项目负责人）：每提供1名水利相关专业中级及以上职称人员得3分。本项最多得9分。注：须提供以上人员相关证书的复印件及响应单位近一年任意一个月缴纳的社保证明，并加盖供应商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水资源论证报告编制服务方案包括：①水资源论证报告编制的目的和任务；②水资源论证报告编制的内容、技术程序和一般要求；③对本项目现状的了解和认知；④水资源条件分析；⑤与水资源条件的适应性分析；⑥水资源保障方案分析；⑦需水和退水分析；⑧成果水平及审查方案。方案符合采购文件要求的得32分，每有一项缺项或漏项扣4分，每有一项内容有缺陷扣1分，扣完为止。 缺陷指：①方案内容存在与项目明显无关的文字内容，与本项目要求不一致，套用其他项目方案，内容前后矛盾或不一致；②方案中项目名称、实施地点、规模、服务期、涉及的规范及标准错误，不符合相关的国家、行业标准，涉及的规范及标准错误；③方案内容缺少关键工序、内容前后矛盾、不可能实现；④方案内容有不符合本项目采购需求，内容不切合项目背景，没有具体详细的阐述；⑤不适用项目实际情况的情形、凭空编造、笼统描述、内容无法连贯；最终以评审专家结合项目实际情况和响应文件独立评审为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根据供应商针对本项目的管理方案包括：①质量保障措施；②进度安排与保障措施；③人员配置与工作职责；④数据和信息安全保密措施。以上内容详细完整不缺项得12分，每缺一项扣3分；每项有一处内容错误或缺陷的扣1分；每项扣完为止。 缺陷指：①方案内容存在与项目明显无关的文字内容，与本项目要求不一致，套用其他项目方案，内容前后矛盾或不一致；②方案中项目名称、实施地点、规模、服务期、涉及的规范及标准错误，不符合相关的国家、行业标准，涉及的规范及标准错误；③方案内容缺少关键工序、内容前后矛盾、不可能实现；④方案内容有不符合本项目采购需求，内容不切合项目背景，没有具体详细的阐述；⑤不适用项目实际情况的情形、凭空编造、笼统描述、内容无法连贯；最终以评审专家结合项目实际情况和响应文件独立评审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后续服务方案</w:t>
            </w:r>
          </w:p>
        </w:tc>
        <w:tc>
          <w:tcPr>
            <w:tcW w:type="dxa" w:w="2492"/>
          </w:tcPr>
          <w:p>
            <w:pPr>
              <w:pStyle w:val="null3"/>
            </w:pPr>
            <w:r>
              <w:rPr>
                <w:rFonts w:ascii="仿宋_GB2312" w:hAnsi="仿宋_GB2312" w:cs="仿宋_GB2312" w:eastAsia="仿宋_GB2312"/>
              </w:rPr>
              <w:t>根据供应商提供的后续服务方案包括：①后续服务具体内容；②后续服务响应方式及时间；③后续服务人员情况及工作安排；④后续服务保障措施；上述内容完全满足项目要求的得12分，每缺少一项内容的扣3分，每有一项内容存在缺陷扣1分，扣完为止。 缺陷指：①方案内容存在与项目明显无关的文字内容，与本项目要求不一致，套用其他项目方案，内容前后矛盾或不一致；②方案中项目名称、实施地点、规模、服务期、涉及的规范及标准错误，不符合相关的国家、行业标准，涉及的规范及标准错误；③方案内容缺少关键工序、内容前后矛盾、不可能实现；④方案内容有不符合本项目采购需求，内容不切合项目背景，没有具体详细的阐述；⑤不适用项目实际情况的情形、凭空编造、笼统描述、内容无法连贯；最终以评审专家结合项目实际情况和响应文件独立评审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项目重点难点分析及合理化建议</w:t>
            </w:r>
          </w:p>
        </w:tc>
        <w:tc>
          <w:tcPr>
            <w:tcW w:type="dxa" w:w="2492"/>
          </w:tcPr>
          <w:p>
            <w:pPr>
              <w:pStyle w:val="null3"/>
            </w:pPr>
            <w:r>
              <w:rPr>
                <w:rFonts w:ascii="仿宋_GB2312" w:hAnsi="仿宋_GB2312" w:cs="仿宋_GB2312" w:eastAsia="仿宋_GB2312"/>
              </w:rPr>
              <w:t>根据供应商提供的后续服务方案包括：①重点、难点进行分析；②项目重点、难点的解决方案；③合理化建议；上述内容完全满足项目要求的得9分，每缺少一项内容的扣3分，每有一项内容存在缺陷扣1分，扣完为止。 缺陷指：①方案内容存在与项目明显无关的文字内容，与本项目要求不一致，套用其他项目方案，内容前后矛盾或不一致；②方案中项目名称、实施地点、规模、服务期、涉及的规范及标准错误，不符合相关的国家、行业标准，涉及的规范及标准错误；③方案内容缺少关键工序、内容前后矛盾、不可能实现；④方案内容有不符合本项目采购需求，内容不切合项目背景，没有具体详细的阐述；⑤不适用项目实际情况的情形、凭空编造、笼统描述、内容无法连贯；最终以评审专家结合项目实际情况和响应文件独立评审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供应商自2021年1月1日（含）以来具有的，每提供1个类似项目业绩的得5分，本项最多得10分。注：1.类似业绩指：工作内容为水利规划相关业绩；时间以合同签订时间为准。2.提供完整的合同复印件。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即满足磋商文件要求且最后报价最低的供应商的价格为磋商基准价，其价格分为满分。其他供应商的价格分统一按照下列公式计算：磋商报价得分=（磋商基准价/最后磋商报价）×10%×100。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