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版本号：ZCSP-华县-2026-00135.1.3.4.5B120260824002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渭南市华州区教育体育局2026-2027学年农村义务教育学生营养改善计划及学校食堂大宗食材采购项目(二次)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ZCSP-华县-2026-00135.1.3.4.5B1</w:t>
      </w:r>
      <w:r>
        <w:br/>
      </w:r>
      <w:r>
        <w:br/>
      </w:r>
      <w:r>
        <w:br/>
      </w:r>
    </w:p>
    <w:p>
      <w:pPr>
        <w:pStyle w:val="null3"/>
        <w:jc w:val="center"/>
        <w:outlineLvl w:val="2"/>
      </w:pPr>
      <w:r>
        <w:rPr>
          <w:rFonts w:ascii="仿宋_GB2312" w:hAnsi="仿宋_GB2312" w:cs="仿宋_GB2312" w:eastAsia="仿宋_GB2312"/>
          <w:sz w:val="28"/>
          <w:b/>
        </w:rPr>
        <w:t>渭南市华州区教育科学技术局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渭南市华州区教育科学技术局</w:t>
      </w:r>
      <w:r>
        <w:rPr>
          <w:rFonts w:ascii="仿宋_GB2312" w:hAnsi="仿宋_GB2312" w:cs="仿宋_GB2312" w:eastAsia="仿宋_GB2312"/>
        </w:rPr>
        <w:t>委托，拟对</w:t>
      </w:r>
      <w:r>
        <w:rPr>
          <w:rFonts w:ascii="仿宋_GB2312" w:hAnsi="仿宋_GB2312" w:cs="仿宋_GB2312" w:eastAsia="仿宋_GB2312"/>
        </w:rPr>
        <w:t>渭南市华州区教育体育局2026-2027学年农村义务教育学生营养改善计划及学校食堂大宗食材采购项目(二次)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ZCSP-华县-2026-00135.1.3.4.5B1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渭南市华州区教育体育局2026-2027学年农村义务教育学生营养改善计划及学校食堂大宗食材采购项目(二次)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为满足学校餐厅的食材使用需求，采购一批大宗食材，包含米、面、油、鲜肉、鸡蛋、纯牛奶等食材。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食品生产许可证》；投标人为代理商的，须提供有效的《食品经营许可证》或《仅销售预包装食品经营者备案表》及所代理产品生产厂家有效的《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2、企业资质：投标人为生产厂家的，须提供有效的《动物防疫条件合格证》；投标人为代理商的，须提供所代理产品生产厂家有效的《动物防疫条件合格证》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渭南市华州区教育科学技术局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0913-4733740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 xml:space="preserve"> 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采购包1：2,591,290.00元</w:t>
            </w:r>
          </w:p>
          <w:p>
            <w:pPr>
              <w:pStyle w:val="null3"/>
            </w:pPr>
            <w:r>
              <w:rPr>
                <w:rFonts w:ascii="仿宋_GB2312" w:hAnsi="仿宋_GB2312" w:cs="仿宋_GB2312" w:eastAsia="仿宋_GB2312"/>
              </w:rPr>
              <w:t>采购包2：2,361,797.00元</w:t>
            </w:r>
          </w:p>
          <w:p>
            <w:pPr>
              <w:pStyle w:val="null3"/>
            </w:pPr>
            <w:r>
              <w:rPr>
                <w:rFonts w:ascii="仿宋_GB2312" w:hAnsi="仿宋_GB2312" w:cs="仿宋_GB2312" w:eastAsia="仿宋_GB2312"/>
              </w:rPr>
              <w:t>采购包3：2,500,552.00元</w:t>
            </w:r>
          </w:p>
          <w:p>
            <w:pPr>
              <w:pStyle w:val="null3"/>
            </w:pPr>
            <w:r>
              <w:rPr>
                <w:rFonts w:ascii="仿宋_GB2312" w:hAnsi="仿宋_GB2312" w:cs="仿宋_GB2312" w:eastAsia="仿宋_GB2312"/>
              </w:rPr>
              <w:t>采购包4：800,194.50元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采购包2保证金金额：32,000.00元</w:t>
            </w:r>
          </w:p>
          <w:p>
            <w:pPr>
              <w:pStyle w:val="null3"/>
            </w:pPr>
            <w:r>
              <w:rPr>
                <w:rFonts w:ascii="仿宋_GB2312" w:hAnsi="仿宋_GB2312" w:cs="仿宋_GB2312" w:eastAsia="仿宋_GB2312"/>
              </w:rPr>
              <w:t>采购包3保证金金额：34,000.00元</w:t>
            </w:r>
          </w:p>
          <w:p>
            <w:pPr>
              <w:pStyle w:val="null3"/>
            </w:pPr>
            <w:r>
              <w:rPr>
                <w:rFonts w:ascii="仿宋_GB2312" w:hAnsi="仿宋_GB2312" w:cs="仿宋_GB2312" w:eastAsia="仿宋_GB2312"/>
              </w:rPr>
              <w:t>采购包4保证金金额：12,000.00元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每标段的预算金额为基数计算，按照标准收取；代理服务费由中标（成交）供应商在领取中标（成交）通知书前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渭南市华州区教育科学技术局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渭南市华州区教育科学技术局</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渭南市华州区教育科学技术局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另行约定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 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为满足学校餐厅的食材使用需求，采购一批大宗食材，包含米、面、油、鲜肉、鸡蛋等食材。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2,591,290.00</w:t>
      </w:r>
    </w:p>
    <w:p>
      <w:pPr>
        <w:pStyle w:val="null3"/>
      </w:pPr>
      <w:r>
        <w:rPr>
          <w:rFonts w:ascii="仿宋_GB2312" w:hAnsi="仿宋_GB2312" w:cs="仿宋_GB2312" w:eastAsia="仿宋_GB2312"/>
        </w:rPr>
        <w:t>采购包最高限价（元）: 2,591,290.00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一标段：大米、面粉、食用油采购（东片区）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2,591,290.00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2,361,797.00</w:t>
      </w:r>
    </w:p>
    <w:p>
      <w:pPr>
        <w:pStyle w:val="null3"/>
      </w:pPr>
      <w:r>
        <w:rPr>
          <w:rFonts w:ascii="仿宋_GB2312" w:hAnsi="仿宋_GB2312" w:cs="仿宋_GB2312" w:eastAsia="仿宋_GB2312"/>
        </w:rPr>
        <w:t>采购包最高限价（元）: 2,361,797.00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三标段：无骨鲜猪肉后腿肉、排骨采购（东片区）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2,361,797.00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2,500,552.00</w:t>
      </w:r>
    </w:p>
    <w:p>
      <w:pPr>
        <w:pStyle w:val="null3"/>
      </w:pPr>
      <w:r>
        <w:rPr>
          <w:rFonts w:ascii="仿宋_GB2312" w:hAnsi="仿宋_GB2312" w:cs="仿宋_GB2312" w:eastAsia="仿宋_GB2312"/>
        </w:rPr>
        <w:t>采购包最高限价（元）: 2,500,552.00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四标段：无骨鲜猪肉后腿肉、排骨采购（西片区）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2,500,552.00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800,194.50</w:t>
      </w:r>
    </w:p>
    <w:p>
      <w:pPr>
        <w:pStyle w:val="null3"/>
      </w:pPr>
      <w:r>
        <w:rPr>
          <w:rFonts w:ascii="仿宋_GB2312" w:hAnsi="仿宋_GB2312" w:cs="仿宋_GB2312" w:eastAsia="仿宋_GB2312"/>
        </w:rPr>
        <w:t>采购包最高限价（元）: 800,194.50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五标段：鸡蛋采购（东片区）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800,194.50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标的名称：一标段：大米、面粉、食用油采购（东片区）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一、产品技术参数要求及数量</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米、面、油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米</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1.包装规范、完好</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包装方式：袋独立包装，每袋</w:t>
                  </w:r>
                  <w:r>
                    <w:rPr>
                      <w:rFonts w:ascii="仿宋_GB2312" w:hAnsi="仿宋_GB2312" w:cs="仿宋_GB2312" w:eastAsia="仿宋_GB2312"/>
                      <w:sz w:val="24"/>
                      <w:color w:val="000000"/>
                    </w:rPr>
                    <w:t>≧</w:t>
                  </w:r>
                  <w:r>
                    <w:rPr>
                      <w:rFonts w:ascii="仿宋_GB2312" w:hAnsi="仿宋_GB2312" w:cs="仿宋_GB2312" w:eastAsia="仿宋_GB2312"/>
                      <w:sz w:val="24"/>
                      <w:color w:val="000000"/>
                    </w:rPr>
                    <w:t>25KG。</w:t>
                  </w:r>
                </w:p>
                <w:p>
                  <w:pPr>
                    <w:pStyle w:val="null3"/>
                    <w:jc w:val="left"/>
                  </w:pPr>
                  <w:r>
                    <w:rPr>
                      <w:rFonts w:ascii="仿宋_GB2312" w:hAnsi="仿宋_GB2312" w:cs="仿宋_GB2312" w:eastAsia="仿宋_GB2312"/>
                      <w:sz w:val="24"/>
                      <w:color w:val="000000"/>
                    </w:rPr>
                    <w:t>2.符合GB/T1354-2018《大米》标准或国家最新标准。</w:t>
                  </w:r>
                </w:p>
                <w:p>
                  <w:pPr>
                    <w:pStyle w:val="null3"/>
                    <w:jc w:val="left"/>
                  </w:pPr>
                  <w:r>
                    <w:rPr>
                      <w:rFonts w:ascii="仿宋_GB2312" w:hAnsi="仿宋_GB2312" w:cs="仿宋_GB2312" w:eastAsia="仿宋_GB2312"/>
                      <w:sz w:val="24"/>
                      <w:color w:val="000000"/>
                    </w:rPr>
                    <w:t>3.品质要求：一级大米，色泽清白，有光泽，呈半透明状，米粒大小均匀、丰满光滑,无虫，不含杂质。</w:t>
                  </w:r>
                </w:p>
                <w:p>
                  <w:pPr>
                    <w:pStyle w:val="null3"/>
                    <w:jc w:val="left"/>
                  </w:pPr>
                  <w:r>
                    <w:rPr>
                      <w:rFonts w:ascii="仿宋_GB2312" w:hAnsi="仿宋_GB2312" w:cs="仿宋_GB2312" w:eastAsia="仿宋_GB2312"/>
                      <w:sz w:val="24"/>
                      <w:color w:val="000000"/>
                    </w:rPr>
                    <w:t>4.产品送达时，有效保质时间不低于180天。</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便于运输，储存，外包装上必须标明生产日期，保质期，执行标准，储存条件，生产厂家，产地等</w:t>
                  </w:r>
                  <w:r>
                    <w:rPr>
                      <w:rFonts w:ascii="仿宋_GB2312" w:hAnsi="仿宋_GB2312" w:cs="仿宋_GB2312" w:eastAsia="仿宋_GB2312"/>
                      <w:sz w:val="24"/>
                      <w:color w:val="000000"/>
                    </w:rPr>
                    <w:t>。</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p>
                  <w:pPr>
                    <w:pStyle w:val="null3"/>
                    <w:jc w:val="center"/>
                  </w:pP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1.包装规范、完好，包装方式：袋装，每袋</w:t>
                  </w:r>
                  <w:r>
                    <w:rPr>
                      <w:rFonts w:ascii="仿宋_GB2312" w:hAnsi="仿宋_GB2312" w:cs="仿宋_GB2312" w:eastAsia="仿宋_GB2312"/>
                      <w:sz w:val="24"/>
                      <w:color w:val="000000"/>
                    </w:rPr>
                    <w:t>≧</w:t>
                  </w:r>
                  <w:r>
                    <w:rPr>
                      <w:rFonts w:ascii="仿宋_GB2312" w:hAnsi="仿宋_GB2312" w:cs="仿宋_GB2312" w:eastAsia="仿宋_GB2312"/>
                      <w:sz w:val="24"/>
                    </w:rPr>
                    <w:t>25KG。</w:t>
                  </w:r>
                </w:p>
                <w:p>
                  <w:pPr>
                    <w:pStyle w:val="null3"/>
                    <w:jc w:val="left"/>
                  </w:pPr>
                  <w:r>
                    <w:rPr>
                      <w:rFonts w:ascii="仿宋_GB2312" w:hAnsi="仿宋_GB2312" w:cs="仿宋_GB2312" w:eastAsia="仿宋_GB2312"/>
                      <w:sz w:val="24"/>
                    </w:rPr>
                    <w:t>2.面粉</w:t>
                  </w:r>
                  <w:r>
                    <w:rPr>
                      <w:rFonts w:ascii="仿宋_GB2312" w:hAnsi="仿宋_GB2312" w:cs="仿宋_GB2312" w:eastAsia="仿宋_GB2312"/>
                      <w:sz w:val="24"/>
                    </w:rPr>
                    <w:t>特制一等粉</w:t>
                  </w:r>
                  <w:r>
                    <w:rPr>
                      <w:rFonts w:ascii="仿宋_GB2312" w:hAnsi="仿宋_GB2312" w:cs="仿宋_GB2312" w:eastAsia="仿宋_GB2312"/>
                      <w:sz w:val="24"/>
                    </w:rPr>
                    <w:t>，</w:t>
                  </w:r>
                  <w:r>
                    <w:rPr>
                      <w:rFonts w:ascii="仿宋_GB2312" w:hAnsi="仿宋_GB2312" w:cs="仿宋_GB2312" w:eastAsia="仿宋_GB2312"/>
                      <w:sz w:val="24"/>
                    </w:rPr>
                    <w:t>色泽呈乳白色或淡黄色，不发暗，无杂质，无粗粒感，流散性好，不结块，有自然的麦香味。</w:t>
                  </w:r>
                </w:p>
                <w:p>
                  <w:pPr>
                    <w:pStyle w:val="null3"/>
                    <w:jc w:val="both"/>
                  </w:pPr>
                  <w:r>
                    <w:rPr>
                      <w:rFonts w:ascii="仿宋_GB2312" w:hAnsi="仿宋_GB2312" w:cs="仿宋_GB2312" w:eastAsia="仿宋_GB2312"/>
                      <w:sz w:val="24"/>
                    </w:rPr>
                    <w:t>3.符合国家标准：符合GB/T1355-2021标准</w:t>
                  </w:r>
                  <w:r>
                    <w:rPr>
                      <w:rFonts w:ascii="仿宋_GB2312" w:hAnsi="仿宋_GB2312" w:cs="仿宋_GB2312" w:eastAsia="仿宋_GB2312"/>
                      <w:sz w:val="24"/>
                    </w:rPr>
                    <w:t>及</w:t>
                  </w:r>
                  <w:r>
                    <w:rPr>
                      <w:rFonts w:ascii="仿宋_GB2312" w:hAnsi="仿宋_GB2312" w:cs="仿宋_GB2312" w:eastAsia="仿宋_GB2312"/>
                      <w:sz w:val="24"/>
                    </w:rPr>
                    <w:t>国家最新标准。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便于运输，储存，外包装上必须标明生产日期，保质期，执行标准，储存条件，生产厂家，产地等</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油</w:t>
                  </w:r>
                  <w:r>
                    <w:rPr>
                      <w:rFonts w:ascii="仿宋_GB2312" w:hAnsi="仿宋_GB2312" w:cs="仿宋_GB2312" w:eastAsia="仿宋_GB2312"/>
                      <w:sz w:val="24"/>
                      <w:b/>
                      <w:color w:val="000000"/>
                    </w:rPr>
                    <w:t>（本次采购核心产品）</w:t>
                  </w:r>
                </w:p>
                <w:p>
                  <w:pPr>
                    <w:pStyle w:val="null3"/>
                    <w:jc w:val="center"/>
                  </w:pP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1.每桶≥16.4L/桶，符合国家标准GB/T1536标准，一级非转基因压榨菜籽油。</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剩余保质期：产品在送达采购人指定地点的保质期至少为产品保质期的一半以上（自生产日期开始计算）。</w:t>
                  </w:r>
                </w:p>
                <w:p>
                  <w:pPr>
                    <w:pStyle w:val="null3"/>
                    <w:jc w:val="left"/>
                  </w:pPr>
                  <w:r>
                    <w:rPr>
                      <w:rFonts w:ascii="仿宋_GB2312" w:hAnsi="仿宋_GB2312" w:cs="仿宋_GB2312" w:eastAsia="仿宋_GB2312"/>
                      <w:sz w:val="24"/>
                    </w:rPr>
                    <w:t>3.油必须为非转基因一级压榨菜籽油</w:t>
                  </w:r>
                  <w:r>
                    <w:rPr>
                      <w:rFonts w:ascii="仿宋_GB2312" w:hAnsi="仿宋_GB2312" w:cs="仿宋_GB2312" w:eastAsia="仿宋_GB2312"/>
                      <w:sz w:val="24"/>
                    </w:rPr>
                    <w:t>，</w:t>
                  </w:r>
                  <w:r>
                    <w:rPr>
                      <w:rFonts w:ascii="仿宋_GB2312" w:hAnsi="仿宋_GB2312" w:cs="仿宋_GB2312" w:eastAsia="仿宋_GB2312"/>
                      <w:sz w:val="24"/>
                    </w:rPr>
                    <w:t>油质优良，产品属于非转基因，无杂物混入，无异味，无杂质沉淀、感官、性状好。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菜籽油（压榨）需为国标一级，符合</w:t>
                  </w:r>
                  <w:r>
                    <w:rPr>
                      <w:rFonts w:ascii="仿宋_GB2312" w:hAnsi="仿宋_GB2312" w:cs="仿宋_GB2312" w:eastAsia="仿宋_GB2312"/>
                      <w:sz w:val="24"/>
                    </w:rPr>
                    <w:t>GB/T 1536标准，国家有出台新的更高标准的，以新的更高标准为准。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包装应符合《食用植物油销售包装》</w:t>
                  </w:r>
                  <w:r>
                    <w:rPr>
                      <w:rFonts w:ascii="仿宋_GB2312" w:hAnsi="仿宋_GB2312" w:cs="仿宋_GB2312" w:eastAsia="仿宋_GB2312"/>
                      <w:sz w:val="24"/>
                    </w:rPr>
                    <w:t>，</w:t>
                  </w:r>
                  <w:r>
                    <w:rPr>
                      <w:rFonts w:ascii="仿宋_GB2312" w:hAnsi="仿宋_GB2312" w:cs="仿宋_GB2312" w:eastAsia="仿宋_GB2312"/>
                      <w:sz w:val="24"/>
                    </w:rPr>
                    <w:t>使用专用的一次性桶装，包装完好严密，瓶口无油迹等渗漏现象。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便于运输，储存，外包装上必须标明生产日期，保质期，执行标准，储存条件，生产厂家，产地等</w:t>
                  </w:r>
                  <w:r>
                    <w:rPr>
                      <w:rFonts w:ascii="仿宋_GB2312" w:hAnsi="仿宋_GB2312" w:cs="仿宋_GB2312" w:eastAsia="仿宋_GB2312"/>
                      <w:sz w:val="24"/>
                    </w:rPr>
                    <w:t>。</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rPr>
              <w:t>二、配送服务履约相关要求</w:t>
            </w:r>
          </w:p>
          <w:p>
            <w:pPr>
              <w:pStyle w:val="null3"/>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w:t>
            </w:r>
            <w:r>
              <w:rPr>
                <w:rFonts w:ascii="仿宋_GB2312" w:hAnsi="仿宋_GB2312" w:cs="仿宋_GB2312" w:eastAsia="仿宋_GB2312"/>
                <w:sz w:val="30"/>
              </w:rPr>
              <w:t>须针对本项目安排专业配送服务团队、购买食品安全责任保险、具备相关履约经验。</w:t>
            </w:r>
          </w:p>
          <w:p>
            <w:pPr>
              <w:pStyle w:val="null3"/>
              <w:ind w:firstLine="602"/>
              <w:jc w:val="both"/>
            </w:pPr>
            <w:r>
              <w:rPr>
                <w:rFonts w:ascii="仿宋_GB2312" w:hAnsi="仿宋_GB2312" w:cs="仿宋_GB2312" w:eastAsia="仿宋_GB2312"/>
                <w:sz w:val="30"/>
                <w:b/>
              </w:rPr>
              <w:t>1.包装、标识要求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）所有预包装食材包装标签严格执行《食品安全国家标准预包装食品标签通则》（</w:t>
            </w:r>
            <w:r>
              <w:rPr>
                <w:rFonts w:ascii="仿宋_GB2312" w:hAnsi="仿宋_GB2312" w:cs="仿宋_GB2312" w:eastAsia="仿宋_GB2312"/>
                <w:sz w:val="30"/>
              </w:rPr>
              <w:t>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r>
              <w:rPr>
                <w:rFonts w:ascii="仿宋_GB2312" w:hAnsi="仿宋_GB2312" w:cs="仿宋_GB2312" w:eastAsia="仿宋_GB2312"/>
                <w:sz w:val="30"/>
              </w:rPr>
              <w:t>。</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食材采购要求</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所有食品的来源必须清晰</w:t>
            </w:r>
            <w:r>
              <w:rPr>
                <w:rFonts w:ascii="仿宋_GB2312" w:hAnsi="仿宋_GB2312" w:cs="仿宋_GB2312" w:eastAsia="仿宋_GB2312"/>
                <w:sz w:val="30"/>
              </w:rPr>
              <w:t>，</w:t>
            </w:r>
            <w:r>
              <w:rPr>
                <w:rFonts w:ascii="仿宋_GB2312" w:hAnsi="仿宋_GB2312" w:cs="仿宋_GB2312" w:eastAsia="仿宋_GB2312"/>
                <w:sz w:val="30"/>
              </w:rPr>
              <w:t>保质期在</w:t>
            </w:r>
            <w:r>
              <w:rPr>
                <w:rFonts w:ascii="仿宋_GB2312" w:hAnsi="仿宋_GB2312" w:cs="仿宋_GB2312" w:eastAsia="仿宋_GB2312"/>
                <w:sz w:val="30"/>
              </w:rPr>
              <w:t>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食材采购从食材生产单位、批发市场等采购的，应当查验、索取并留存供货者的相关许可证和产品合格证明等文件</w:t>
            </w:r>
            <w:r>
              <w:rPr>
                <w:rFonts w:ascii="仿宋_GB2312" w:hAnsi="仿宋_GB2312" w:cs="仿宋_GB2312" w:eastAsia="仿宋_GB2312"/>
                <w:sz w:val="30"/>
              </w:rPr>
              <w:t>;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602"/>
              <w:jc w:val="both"/>
            </w:pPr>
            <w:r>
              <w:rPr>
                <w:rFonts w:ascii="仿宋_GB2312" w:hAnsi="仿宋_GB2312" w:cs="仿宋_GB2312" w:eastAsia="仿宋_GB2312"/>
                <w:sz w:val="30"/>
                <w:b/>
              </w:rPr>
              <w:t>3.食材配送要求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ind w:firstLine="602"/>
              <w:jc w:val="both"/>
            </w:pPr>
            <w:r>
              <w:rPr>
                <w:rFonts w:ascii="仿宋_GB2312" w:hAnsi="仿宋_GB2312" w:cs="仿宋_GB2312" w:eastAsia="仿宋_GB2312"/>
                <w:sz w:val="30"/>
                <w:b/>
              </w:rPr>
              <w:t>4.运输要求</w:t>
            </w: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ind w:firstLine="602"/>
              <w:jc w:val="both"/>
            </w:pPr>
            <w:r>
              <w:rPr>
                <w:rFonts w:ascii="仿宋_GB2312" w:hAnsi="仿宋_GB2312" w:cs="仿宋_GB2312" w:eastAsia="仿宋_GB2312"/>
                <w:sz w:val="30"/>
                <w:b/>
              </w:rPr>
              <w:t>5.食品安全管理要求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ind w:firstLine="602"/>
              <w:jc w:val="both"/>
            </w:pPr>
            <w:r>
              <w:rPr>
                <w:rFonts w:ascii="仿宋_GB2312" w:hAnsi="仿宋_GB2312" w:cs="仿宋_GB2312" w:eastAsia="仿宋_GB2312"/>
                <w:sz w:val="30"/>
                <w:b/>
              </w:rPr>
              <w:t>6.食材采购溯源要求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ind w:firstLine="602"/>
              <w:jc w:val="both"/>
            </w:pPr>
            <w:r>
              <w:rPr>
                <w:rFonts w:ascii="仿宋_GB2312" w:hAnsi="仿宋_GB2312" w:cs="仿宋_GB2312" w:eastAsia="仿宋_GB2312"/>
                <w:sz w:val="30"/>
                <w:b/>
              </w:rPr>
              <w:t>7.供应商履约约束与违约责任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ind w:firstLine="600"/>
              <w:jc w:val="both"/>
            </w:pPr>
            <w:r>
              <w:rPr>
                <w:rFonts w:ascii="仿宋_GB2312" w:hAnsi="仿宋_GB2312" w:cs="仿宋_GB2312" w:eastAsia="仿宋_GB2312"/>
                <w:sz w:val="27"/>
                <w:b/>
              </w:rPr>
              <w:t>三、投标报价要求</w:t>
            </w:r>
          </w:p>
          <w:p>
            <w:pPr>
              <w:pStyle w:val="null3"/>
            </w:pPr>
            <w:r>
              <w:rPr>
                <w:rFonts w:ascii="仿宋_GB2312" w:hAnsi="仿宋_GB2312" w:cs="仿宋_GB2312" w:eastAsia="仿宋_GB2312"/>
                <w:sz w:val="27"/>
              </w:rPr>
              <w:t xml:space="preserve">     1.本次投标报价为单价报价，供应商报价不得超过最高单价限价，否则按无效投标处理。</w:t>
            </w:r>
          </w:p>
          <w:p>
            <w:pPr>
              <w:pStyle w:val="null3"/>
            </w:pPr>
            <w:r>
              <w:rPr>
                <w:rFonts w:ascii="仿宋_GB2312" w:hAnsi="仿宋_GB2312" w:cs="仿宋_GB2312" w:eastAsia="仿宋_GB2312"/>
                <w:sz w:val="27"/>
              </w:rPr>
              <w:t xml:space="preserve">    2.单价最高限价为：米：120元/袋/25Kg；面：100元/袋/25Kg；油：210元/桶/16.4L</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标的名称：三标段：无骨鲜猪肉后腿肉、排骨采购（东片区）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无骨鲜猪肉、排骨</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符合国家标准</w:t>
                  </w:r>
                  <w:r>
                    <w:rPr>
                      <w:rFonts w:ascii="仿宋_GB2312" w:hAnsi="仿宋_GB2312" w:cs="仿宋_GB2312" w:eastAsia="仿宋_GB2312"/>
                      <w:sz w:val="24"/>
                    </w:rPr>
                    <w:t>GB/T9959.1—2019标准及其他现行有效的国家标准，每批次配送产品均有“两章两证”，且表皮干净、无毛、无明显伤痕、不湿不黏、肉色鲜红、脂肪洁白无味、无淤血、无淋巴的新鲜猪肉</w:t>
                  </w:r>
                  <w:r>
                    <w:rPr>
                      <w:rFonts w:ascii="仿宋_GB2312" w:hAnsi="仿宋_GB2312" w:cs="仿宋_GB2312" w:eastAsia="仿宋_GB2312"/>
                      <w:sz w:val="24"/>
                    </w:rPr>
                    <w:t>后腿肉。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精排执行</w:t>
                  </w:r>
                  <w:r>
                    <w:rPr>
                      <w:rFonts w:ascii="仿宋_GB2312" w:hAnsi="仿宋_GB2312" w:cs="仿宋_GB2312" w:eastAsia="仿宋_GB2312"/>
                      <w:sz w:val="24"/>
                    </w:rPr>
                    <w:t>GB/T9959.3分割副产品标准，必须来自健康、检疫合格的生猪。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产品</w:t>
                  </w:r>
                  <w:r>
                    <w:rPr>
                      <w:rFonts w:ascii="仿宋_GB2312" w:hAnsi="仿宋_GB2312" w:cs="仿宋_GB2312" w:eastAsia="仿宋_GB2312"/>
                      <w:sz w:val="24"/>
                    </w:rPr>
                    <w:t>应符合国家关于鲜、冻畜肉相关的食品安全标准</w:t>
                  </w:r>
                  <w:r>
                    <w:rPr>
                      <w:rFonts w:ascii="仿宋_GB2312" w:hAnsi="仿宋_GB2312" w:cs="仿宋_GB2312" w:eastAsia="仿宋_GB2312"/>
                      <w:sz w:val="24"/>
                    </w:rPr>
                    <w:t>GB2707- 2016《食品安全国家标准鲜（冻）畜、禽产品》等现行有效的国家标准要求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符合食品安全溯源管理要求。</w:t>
                  </w:r>
                </w:p>
                <w:p>
                  <w:pPr>
                    <w:pStyle w:val="null3"/>
                    <w:jc w:val="left"/>
                  </w:pPr>
                  <w:r>
                    <w:rPr>
                      <w:rFonts w:ascii="仿宋_GB2312" w:hAnsi="仿宋_GB2312" w:cs="仿宋_GB2312" w:eastAsia="仿宋_GB2312"/>
                      <w:sz w:val="24"/>
                    </w:rPr>
                    <w:t>5.外观色泽鲜艳，呈淡红色或鲜红色，脂肪洁白，有光泽，无异味、无酸败味、无臭味触摸表面微干或微湿润，不粘手，具有坚实感。</w:t>
                  </w:r>
                </w:p>
                <w:p>
                  <w:pPr>
                    <w:pStyle w:val="null3"/>
                    <w:jc w:val="left"/>
                  </w:pPr>
                  <w:r>
                    <w:rPr>
                      <w:rFonts w:ascii="仿宋_GB2312" w:hAnsi="仿宋_GB2312" w:cs="仿宋_GB2312" w:eastAsia="仿宋_GB2312"/>
                      <w:sz w:val="24"/>
                    </w:rPr>
                    <w:t>6.骨与肉的比例合理，肉层厚度均匀，不得有过多的碎骨、软骨或残留的淋巴组织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不得提供冷冻肉类，不得以肉制</w:t>
                  </w:r>
                  <w:r>
                    <w:rPr>
                      <w:rFonts w:ascii="仿宋_GB2312" w:hAnsi="仿宋_GB2312" w:cs="仿宋_GB2312" w:eastAsia="仿宋_GB2312"/>
                      <w:sz w:val="24"/>
                    </w:rPr>
                    <w:t>加工</w:t>
                  </w:r>
                  <w:r>
                    <w:rPr>
                      <w:rFonts w:ascii="仿宋_GB2312" w:hAnsi="仿宋_GB2312" w:cs="仿宋_GB2312" w:eastAsia="仿宋_GB2312"/>
                      <w:sz w:val="24"/>
                    </w:rPr>
                    <w:t>品代替猪肉</w:t>
                  </w:r>
                  <w:r>
                    <w:rPr>
                      <w:rFonts w:ascii="仿宋_GB2312" w:hAnsi="仿宋_GB2312" w:cs="仿宋_GB2312" w:eastAsia="仿宋_GB2312"/>
                      <w:sz w:val="24"/>
                    </w:rPr>
                    <w:t>、</w:t>
                  </w:r>
                  <w:r>
                    <w:rPr>
                      <w:rFonts w:ascii="仿宋_GB2312" w:hAnsi="仿宋_GB2312" w:cs="仿宋_GB2312" w:eastAsia="仿宋_GB2312"/>
                      <w:sz w:val="24"/>
                    </w:rPr>
                    <w:t>牛肉、鸡肉、羊肉等鲜肉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所供货物应保持较好的外观和质量等级，保证无异味、无霉烂变质，保证来源于正规。</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w:t>
            </w:r>
            <w:r>
              <w:rPr>
                <w:rFonts w:ascii="仿宋_GB2312" w:hAnsi="仿宋_GB2312" w:cs="仿宋_GB2312" w:eastAsia="仿宋_GB2312"/>
                <w:sz w:val="27"/>
              </w:rPr>
              <w:t>下浮率报价，例如：下浮率为</w:t>
            </w:r>
            <w:r>
              <w:rPr>
                <w:rFonts w:ascii="仿宋_GB2312" w:hAnsi="仿宋_GB2312" w:cs="仿宋_GB2312" w:eastAsia="仿宋_GB2312"/>
                <w:sz w:val="27"/>
              </w:rPr>
              <w:t>10%</w:t>
            </w:r>
          </w:p>
          <w:p>
            <w:pPr>
              <w:pStyle w:val="null3"/>
              <w:spacing w:before="105" w:after="105"/>
              <w:jc w:val="left"/>
            </w:pPr>
            <w:r>
              <w:rPr>
                <w:rFonts w:ascii="仿宋_GB2312" w:hAnsi="仿宋_GB2312" w:cs="仿宋_GB2312" w:eastAsia="仿宋_GB2312"/>
                <w:sz w:val="27"/>
              </w:rPr>
              <w:t xml:space="preserve"> </w:t>
            </w:r>
            <w:r>
              <w:rPr>
                <w:rFonts w:ascii="仿宋_GB2312" w:hAnsi="仿宋_GB2312" w:cs="仿宋_GB2312" w:eastAsia="仿宋_GB2312"/>
                <w:sz w:val="27"/>
              </w:rPr>
              <w:t xml:space="preserve">  </w:t>
            </w:r>
            <w:r>
              <w:rPr>
                <w:rFonts w:ascii="仿宋_GB2312" w:hAnsi="仿宋_GB2312" w:cs="仿宋_GB2312" w:eastAsia="仿宋_GB2312"/>
                <w:sz w:val="27"/>
              </w:rPr>
              <w:t>最终</w:t>
            </w:r>
            <w:r>
              <w:rPr>
                <w:rFonts w:ascii="仿宋_GB2312" w:hAnsi="仿宋_GB2312" w:cs="仿宋_GB2312" w:eastAsia="仿宋_GB2312"/>
                <w:sz w:val="27"/>
              </w:rPr>
              <w:t>结算</w:t>
            </w:r>
            <w:r>
              <w:rPr>
                <w:rFonts w:ascii="仿宋_GB2312" w:hAnsi="仿宋_GB2312" w:cs="仿宋_GB2312" w:eastAsia="仿宋_GB2312"/>
                <w:sz w:val="27"/>
              </w:rPr>
              <w:t>价</w:t>
            </w:r>
            <w:r>
              <w:rPr>
                <w:rFonts w:ascii="仿宋_GB2312" w:hAnsi="仿宋_GB2312" w:cs="仿宋_GB2312" w:eastAsia="仿宋_GB2312"/>
                <w:sz w:val="27"/>
              </w:rPr>
              <w:t>=</w:t>
            </w:r>
            <w:r>
              <w:rPr>
                <w:rFonts w:ascii="仿宋_GB2312" w:hAnsi="仿宋_GB2312" w:cs="仿宋_GB2312" w:eastAsia="仿宋_GB2312"/>
                <w:sz w:val="27"/>
              </w:rPr>
              <w:t>产品</w:t>
            </w:r>
            <w:r>
              <w:rPr>
                <w:rFonts w:ascii="仿宋_GB2312" w:hAnsi="仿宋_GB2312" w:cs="仿宋_GB2312" w:eastAsia="仿宋_GB2312"/>
                <w:sz w:val="27"/>
              </w:rPr>
              <w:t>结算基准价</w:t>
            </w:r>
            <w:r>
              <w:rPr>
                <w:rFonts w:ascii="仿宋_GB2312" w:hAnsi="仿宋_GB2312" w:cs="仿宋_GB2312" w:eastAsia="仿宋_GB2312"/>
                <w:sz w:val="27"/>
              </w:rPr>
              <w:t>*（1-中标下浮率）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标的名称：四标段：无骨鲜猪肉后腿肉、排骨采购（西片区）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无骨鲜猪肉、排骨</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符合国家标准</w:t>
                  </w:r>
                  <w:r>
                    <w:rPr>
                      <w:rFonts w:ascii="仿宋_GB2312" w:hAnsi="仿宋_GB2312" w:cs="仿宋_GB2312" w:eastAsia="仿宋_GB2312"/>
                      <w:sz w:val="24"/>
                    </w:rPr>
                    <w:t>GB/T9959.1—2019标准及其他现行有效的国家标准，每批次配送产品均有“两章两证”，且表皮干净、无毛、无明显伤痕、不湿不黏、肉色鲜红、脂肪洁白无味、无淤血、无淋巴的新鲜猪肉</w:t>
                  </w:r>
                  <w:r>
                    <w:rPr>
                      <w:rFonts w:ascii="仿宋_GB2312" w:hAnsi="仿宋_GB2312" w:cs="仿宋_GB2312" w:eastAsia="仿宋_GB2312"/>
                      <w:sz w:val="24"/>
                    </w:rPr>
                    <w:t>后腿肉。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精排执行</w:t>
                  </w:r>
                  <w:r>
                    <w:rPr>
                      <w:rFonts w:ascii="仿宋_GB2312" w:hAnsi="仿宋_GB2312" w:cs="仿宋_GB2312" w:eastAsia="仿宋_GB2312"/>
                      <w:sz w:val="24"/>
                    </w:rPr>
                    <w:t>GB/T9959.3分割副产品标准，必须来自健康、检疫合格的生猪。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产品</w:t>
                  </w:r>
                  <w:r>
                    <w:rPr>
                      <w:rFonts w:ascii="仿宋_GB2312" w:hAnsi="仿宋_GB2312" w:cs="仿宋_GB2312" w:eastAsia="仿宋_GB2312"/>
                      <w:sz w:val="24"/>
                    </w:rPr>
                    <w:t>应符合国家关于鲜、冻畜肉相关的食品安全标准</w:t>
                  </w:r>
                  <w:r>
                    <w:rPr>
                      <w:rFonts w:ascii="仿宋_GB2312" w:hAnsi="仿宋_GB2312" w:cs="仿宋_GB2312" w:eastAsia="仿宋_GB2312"/>
                      <w:sz w:val="24"/>
                    </w:rPr>
                    <w:t>GB2707- 2016《食品安全国家标准鲜（冻）畜、禽产品》等现行有效的国家标准要求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符合食品安全溯源管理要求。</w:t>
                  </w:r>
                </w:p>
                <w:p>
                  <w:pPr>
                    <w:pStyle w:val="null3"/>
                    <w:jc w:val="left"/>
                  </w:pPr>
                  <w:r>
                    <w:rPr>
                      <w:rFonts w:ascii="仿宋_GB2312" w:hAnsi="仿宋_GB2312" w:cs="仿宋_GB2312" w:eastAsia="仿宋_GB2312"/>
                      <w:sz w:val="24"/>
                    </w:rPr>
                    <w:t>5.外观色泽鲜艳，呈淡红色或鲜红色，脂肪洁白，有光泽，无异味、无酸败味、无臭味触摸表面微干或微湿润，不粘手，具有坚实感。</w:t>
                  </w:r>
                </w:p>
                <w:p>
                  <w:pPr>
                    <w:pStyle w:val="null3"/>
                    <w:jc w:val="left"/>
                  </w:pPr>
                  <w:r>
                    <w:rPr>
                      <w:rFonts w:ascii="仿宋_GB2312" w:hAnsi="仿宋_GB2312" w:cs="仿宋_GB2312" w:eastAsia="仿宋_GB2312"/>
                      <w:sz w:val="24"/>
                    </w:rPr>
                    <w:t>6.骨与肉的比例合理，肉层厚度均匀，不得有过多的碎骨、软骨或残留的淋巴组织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不得提供冷冻肉类，不得以肉制</w:t>
                  </w:r>
                  <w:r>
                    <w:rPr>
                      <w:rFonts w:ascii="仿宋_GB2312" w:hAnsi="仿宋_GB2312" w:cs="仿宋_GB2312" w:eastAsia="仿宋_GB2312"/>
                      <w:sz w:val="24"/>
                    </w:rPr>
                    <w:t>加工</w:t>
                  </w:r>
                  <w:r>
                    <w:rPr>
                      <w:rFonts w:ascii="仿宋_GB2312" w:hAnsi="仿宋_GB2312" w:cs="仿宋_GB2312" w:eastAsia="仿宋_GB2312"/>
                      <w:sz w:val="24"/>
                    </w:rPr>
                    <w:t>品代替猪肉</w:t>
                  </w:r>
                  <w:r>
                    <w:rPr>
                      <w:rFonts w:ascii="仿宋_GB2312" w:hAnsi="仿宋_GB2312" w:cs="仿宋_GB2312" w:eastAsia="仿宋_GB2312"/>
                      <w:sz w:val="24"/>
                    </w:rPr>
                    <w:t>、</w:t>
                  </w:r>
                  <w:r>
                    <w:rPr>
                      <w:rFonts w:ascii="仿宋_GB2312" w:hAnsi="仿宋_GB2312" w:cs="仿宋_GB2312" w:eastAsia="仿宋_GB2312"/>
                      <w:sz w:val="24"/>
                    </w:rPr>
                    <w:t>牛肉、鸡肉、羊肉等鲜肉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所供货物应保持较好的外观和质量等级，保证无异味、无霉烂变质，保证来源于正规。</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w:t>
            </w:r>
            <w:r>
              <w:rPr>
                <w:rFonts w:ascii="仿宋_GB2312" w:hAnsi="仿宋_GB2312" w:cs="仿宋_GB2312" w:eastAsia="仿宋_GB2312"/>
                <w:sz w:val="27"/>
              </w:rPr>
              <w:t>下浮率报价，例如：下浮率为</w:t>
            </w:r>
            <w:r>
              <w:rPr>
                <w:rFonts w:ascii="仿宋_GB2312" w:hAnsi="仿宋_GB2312" w:cs="仿宋_GB2312" w:eastAsia="仿宋_GB2312"/>
                <w:sz w:val="27"/>
              </w:rPr>
              <w:t>10%</w:t>
            </w:r>
          </w:p>
          <w:p>
            <w:pPr>
              <w:pStyle w:val="null3"/>
              <w:spacing w:before="105" w:after="105"/>
              <w:jc w:val="left"/>
            </w:pPr>
            <w:r>
              <w:rPr>
                <w:rFonts w:ascii="仿宋_GB2312" w:hAnsi="仿宋_GB2312" w:cs="仿宋_GB2312" w:eastAsia="仿宋_GB2312"/>
                <w:sz w:val="27"/>
              </w:rPr>
              <w:t xml:space="preserve"> </w:t>
            </w:r>
            <w:r>
              <w:rPr>
                <w:rFonts w:ascii="仿宋_GB2312" w:hAnsi="仿宋_GB2312" w:cs="仿宋_GB2312" w:eastAsia="仿宋_GB2312"/>
                <w:sz w:val="27"/>
              </w:rPr>
              <w:t xml:space="preserve">  </w:t>
            </w:r>
            <w:r>
              <w:rPr>
                <w:rFonts w:ascii="仿宋_GB2312" w:hAnsi="仿宋_GB2312" w:cs="仿宋_GB2312" w:eastAsia="仿宋_GB2312"/>
                <w:sz w:val="27"/>
              </w:rPr>
              <w:t>最终</w:t>
            </w:r>
            <w:r>
              <w:rPr>
                <w:rFonts w:ascii="仿宋_GB2312" w:hAnsi="仿宋_GB2312" w:cs="仿宋_GB2312" w:eastAsia="仿宋_GB2312"/>
                <w:sz w:val="27"/>
              </w:rPr>
              <w:t>结算</w:t>
            </w:r>
            <w:r>
              <w:rPr>
                <w:rFonts w:ascii="仿宋_GB2312" w:hAnsi="仿宋_GB2312" w:cs="仿宋_GB2312" w:eastAsia="仿宋_GB2312"/>
                <w:sz w:val="27"/>
              </w:rPr>
              <w:t>价</w:t>
            </w:r>
            <w:r>
              <w:rPr>
                <w:rFonts w:ascii="仿宋_GB2312" w:hAnsi="仿宋_GB2312" w:cs="仿宋_GB2312" w:eastAsia="仿宋_GB2312"/>
                <w:sz w:val="27"/>
              </w:rPr>
              <w:t>=</w:t>
            </w:r>
            <w:r>
              <w:rPr>
                <w:rFonts w:ascii="仿宋_GB2312" w:hAnsi="仿宋_GB2312" w:cs="仿宋_GB2312" w:eastAsia="仿宋_GB2312"/>
                <w:sz w:val="27"/>
              </w:rPr>
              <w:t>产品</w:t>
            </w:r>
            <w:r>
              <w:rPr>
                <w:rFonts w:ascii="仿宋_GB2312" w:hAnsi="仿宋_GB2312" w:cs="仿宋_GB2312" w:eastAsia="仿宋_GB2312"/>
                <w:sz w:val="27"/>
              </w:rPr>
              <w:t>结算基准价</w:t>
            </w:r>
            <w:r>
              <w:rPr>
                <w:rFonts w:ascii="仿宋_GB2312" w:hAnsi="仿宋_GB2312" w:cs="仿宋_GB2312" w:eastAsia="仿宋_GB2312"/>
                <w:sz w:val="27"/>
              </w:rPr>
              <w:t>*（1-中标下浮率）</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标的名称：五标段：鸡蛋采购（东片区）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br/>
            </w:r>
            <w:r>
              <w:rPr>
                <w:rFonts w:ascii="仿宋_GB2312" w:hAnsi="仿宋_GB2312" w:cs="仿宋_GB2312" w:eastAsia="仿宋_GB2312"/>
              </w:rPr>
              <w:t xml:space="preserve"> 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鸡蛋</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供应鲜鸡蛋须符合</w:t>
                  </w:r>
                  <w:r>
                    <w:rPr>
                      <w:rFonts w:ascii="仿宋_GB2312" w:hAnsi="仿宋_GB2312" w:cs="仿宋_GB2312" w:eastAsia="仿宋_GB2312"/>
                      <w:sz w:val="24"/>
                    </w:rPr>
                    <w:t>GB2749-2015食品安全国家标准，重金属、兽药残留分别满足GB2762、GB31650限值。</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场址选择合理，周围无污染，内部布局科学，蛋品仓库基地要高，库内要阴凉，空气畅通，要有防晒、防寒设施，保持卫生清洁。</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库温保持在</w:t>
                  </w:r>
                  <w:r>
                    <w:rPr>
                      <w:rFonts w:ascii="仿宋_GB2312" w:hAnsi="仿宋_GB2312" w:cs="仿宋_GB2312" w:eastAsia="仿宋_GB2312"/>
                      <w:sz w:val="24"/>
                    </w:rPr>
                    <w:t>20℃左右，码垛要合理，一般不超过五层，留有通风道，不得与有异味的商品混存。</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所投鸡蛋无疫、无（兽药、饲料）残留、无违禁添加物；</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经分拣无异形蛋，确保为</w:t>
                  </w:r>
                  <w:r>
                    <w:rPr>
                      <w:rFonts w:ascii="仿宋_GB2312" w:hAnsi="仿宋_GB2312" w:cs="仿宋_GB2312" w:eastAsia="仿宋_GB2312"/>
                      <w:sz w:val="24"/>
                    </w:rPr>
                    <w:t>3日以内的新鲜蛋。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w:t>
            </w:r>
            <w:r>
              <w:rPr>
                <w:rFonts w:ascii="仿宋_GB2312" w:hAnsi="仿宋_GB2312" w:cs="仿宋_GB2312" w:eastAsia="仿宋_GB2312"/>
                <w:sz w:val="27"/>
              </w:rPr>
              <w:t>下浮率报价，例如：下浮率为</w:t>
            </w:r>
            <w:r>
              <w:rPr>
                <w:rFonts w:ascii="仿宋_GB2312" w:hAnsi="仿宋_GB2312" w:cs="仿宋_GB2312" w:eastAsia="仿宋_GB2312"/>
                <w:sz w:val="27"/>
              </w:rPr>
              <w:t>10%</w:t>
            </w:r>
          </w:p>
          <w:p>
            <w:pPr>
              <w:pStyle w:val="null3"/>
              <w:spacing w:before="105" w:after="105"/>
              <w:jc w:val="left"/>
            </w:pPr>
            <w:r>
              <w:rPr>
                <w:rFonts w:ascii="仿宋_GB2312" w:hAnsi="仿宋_GB2312" w:cs="仿宋_GB2312" w:eastAsia="仿宋_GB2312"/>
                <w:sz w:val="27"/>
              </w:rPr>
              <w:t xml:space="preserve"> </w:t>
            </w:r>
            <w:r>
              <w:rPr>
                <w:rFonts w:ascii="仿宋_GB2312" w:hAnsi="仿宋_GB2312" w:cs="仿宋_GB2312" w:eastAsia="仿宋_GB2312"/>
                <w:sz w:val="27"/>
              </w:rPr>
              <w:t xml:space="preserve">  </w:t>
            </w:r>
            <w:r>
              <w:rPr>
                <w:rFonts w:ascii="仿宋_GB2312" w:hAnsi="仿宋_GB2312" w:cs="仿宋_GB2312" w:eastAsia="仿宋_GB2312"/>
                <w:sz w:val="27"/>
              </w:rPr>
              <w:t>最终</w:t>
            </w:r>
            <w:r>
              <w:rPr>
                <w:rFonts w:ascii="仿宋_GB2312" w:hAnsi="仿宋_GB2312" w:cs="仿宋_GB2312" w:eastAsia="仿宋_GB2312"/>
                <w:sz w:val="27"/>
              </w:rPr>
              <w:t>结算</w:t>
            </w:r>
            <w:r>
              <w:rPr>
                <w:rFonts w:ascii="仿宋_GB2312" w:hAnsi="仿宋_GB2312" w:cs="仿宋_GB2312" w:eastAsia="仿宋_GB2312"/>
                <w:sz w:val="27"/>
              </w:rPr>
              <w:t>价</w:t>
            </w:r>
            <w:r>
              <w:rPr>
                <w:rFonts w:ascii="仿宋_GB2312" w:hAnsi="仿宋_GB2312" w:cs="仿宋_GB2312" w:eastAsia="仿宋_GB2312"/>
                <w:sz w:val="27"/>
              </w:rPr>
              <w:t>=</w:t>
            </w:r>
            <w:r>
              <w:rPr>
                <w:rFonts w:ascii="仿宋_GB2312" w:hAnsi="仿宋_GB2312" w:cs="仿宋_GB2312" w:eastAsia="仿宋_GB2312"/>
                <w:sz w:val="27"/>
              </w:rPr>
              <w:t>产品</w:t>
            </w:r>
            <w:r>
              <w:rPr>
                <w:rFonts w:ascii="仿宋_GB2312" w:hAnsi="仿宋_GB2312" w:cs="仿宋_GB2312" w:eastAsia="仿宋_GB2312"/>
                <w:sz w:val="27"/>
              </w:rPr>
              <w:t>结算基准价</w:t>
            </w:r>
            <w:r>
              <w:rPr>
                <w:rFonts w:ascii="仿宋_GB2312" w:hAnsi="仿宋_GB2312" w:cs="仿宋_GB2312" w:eastAsia="仿宋_GB2312"/>
                <w:sz w:val="27"/>
              </w:rPr>
              <w:t>*（1-中标下浮率）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东片区：咸林中学、少华中学、毓秀小学、城关小学、南街小学、西关小学、未来小学、朝阳学校、下庙镇中心小学（所有公办小学、幼儿园）、莲花寺镇中心小学（所有公办小学、幼儿园）、柳枝镇中心小学（所有公办小学、幼儿园）、城关小学幼儿园、华州街道办铁马幼儿园、华惠幼儿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东片区：咸林中学、少华中学、毓秀小学、城关小学、南街小学、西关小学、未来小学、朝阳学校、下庙镇中心小学（所有公办小学、幼儿园）、莲花寺镇中心小学（所有公办小学、幼儿园）、柳枝镇中心小学（所有公办小学、幼儿园）、城关小学幼儿园、华州街道办铁马幼儿园、华惠幼儿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片区：铁中、职中、城关初级中学、实验学校、瓜坡中学、大明中学、高塘中学、育英小学、杏林中心小学（所有公办小学、幼儿园）、瓜坡中心小学（所有公办小学、幼儿园）、大明中心小学（所有公办小学、幼儿园）、高塘中心小学（所有公办小学、幼儿园）、赤水中心小学（所有公办小学、幼儿园）、第二幼儿园、第一幼儿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东片区：咸林中学、少华中学、毓秀小学、城关小学、南街小学、西关小学、未来小学、朝阳学校、下庙镇中心小学（所有公办小学、幼儿园）、莲花寺镇中心小学（所有公办小学、幼儿园）、柳枝镇中心小学（所有公办小学、幼儿园）、城关小学幼儿园、华州街道办铁马幼儿园、华惠幼儿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1、一标段、二标段、七标段为单价报价；三标段至六标段为下浮率报价。 2、多标段投标与中标限制规则 （1）本项目划分为多个食材采购标段，各标段按食材品类划分。同一品类食材对应的全部标段，投标人仅能选择其中 1 个标段参与投标，不得同时参与同一食材品类下多个标段；不同品类标段可自由多选投标。若投标人投了同一食材品类多个标段，所有该品类投标全部按无效投标处理； （2）在本项目中已参与第一次投标的中标供应商不得再参与该项目同种食材标段的第二次投标，否则按无效投标处理。 （3）无论投标人最终参与多少个不同品类标段投标，单个投标人全项目累计中标标段总数不得超过 2 个。 （4）若评审后该单位满足中标条件的标段数量≥3 个，评标委员会按既定排序规则只确定 2 个标段为其中标标段，其余标段自动丧失中标资格，由对应标段第二名顺延递补。 评审顺序严格按照招标文件载明的标段编号从小到大依次评审。 （5）投标人跨品类多标段入选中标候选人资格，累计拟中标标段超 2 个，优先保留编号靠前的 2 个标段中标资格，其余标段取消其中标，顺位顺延推荐下一名候选供应商。 3、根据《关于印发中小企业划型标准规定的通知》（工信部联企业〔2011〕300号），中小企业划型标准规定： （一）农、林、牧、渔业。营业收入20000万元以下的为中小微型企业。其中，营业收入500万元及以上的为中型企业，营业收入50万元及以上的为小型企业，营业收入50万元以下的为微型企业。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4.结算方式 1.米、面、油：采购人根据中标人最终提供的数量*中标单价 2.牛奶：采购人根据中标人最终提供的数量*中标单价 3.无骨鲜猪肉、排骨、鸡蛋：根据供应商提供的供货清单，每个月进行一次市场价格调查，由采购人和供应商代表组成询价小组在华州区内大型超市或农贸市场进行价格询价，询价结果的平均值作为当月的结算基准价。据实结算=结算基准价*（1-中标下浮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五六标段投标人资格证明文件.docx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投标人为生产厂家的，须提供有效的《食品生产许可证》；投标人为代理商的，须提供有效的《食品经营许可证》或《仅销售预包装食品经营者备案表》及所代理产品生产厂家有效的《食品生产许可证》</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一二标段投标人资格证明文件.docx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五六标段投标人资格证明文件.docx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招标文件要求的其他内容 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一二标段产品分项报价表.docx 投标方案说明.docx 中小企业声明函 商务应答表 一二标段投标人资格证明文件.docx 产品技术参数表 投标人认为提供的其他资料.docx 投标函 残疾人福利性单位声明函 投标人承诺书1.docx 标的清单 关于符合本国产品标准的声明函 投标文件封面 服务内容及服务邀请应答表.docx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三四标段产品分项报价表.docx 投标方案说明.docx 中小企业声明函 商务应答表 产品技术参数表 三四标段投标人资格证明文件.docx 投标人认为提供的其他资料.docx 投标函 残疾人福利性单位声明函 标的清单 投标人承诺书1.docx 投标文件封面 服务内容及服务邀请应答表.docx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三四标段产品分项报价表.docx 投标方案说明.docx 中小企业声明函 商务应答表 产品技术参数表 三四标段投标人资格证明文件.docx 投标人认为提供的其他资料.docx 投标函 残疾人福利性单位声明函 标的清单 投标人承诺书1.docx 投标文件封面 服务内容及服务邀请应答表.docx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 投标人对本项目的承诺</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产品技术参数表 五六标段产品分项报价表.docx 投标人认为提供的其他资料.docx 投标函 残疾人福利性单位声明函 标的清单 投标人承诺书1.docx 投标文件封面 服务内容及服务邀请应答表.docx 五六标段投标人资格证明文件.docx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30分，负偏离将进行扣分，每负偏离1项扣2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（1）订单对接响应：3分 ①常规订单20分钟内响应，城区学校1小时送到、乡镇1.5小时送到，提供承诺得:1.5分。 ②应急订单10分钟内响应，城区学校30分钟送到，乡镇1小时送到，提供承诺得1.5分。 （2）食材质量问题退换货响应： 3分 ① 现场验收不合格：送货人员当场回收，城区15分钟、乡镇 30 分钟内完成补货，提供承诺得1.5分。 ② 入库加工前发现变质、瑕疵：反馈后15分钟内片区负责人到场核实，30分钟内完成换货回收，提供承诺得1.5分。 注：以上内容提供承诺加盖单位公章，未提供承诺不得分。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②配备专职对接员得0.5分；最高得1分。 ③ 配备一名专职食品安全管理员0.5分，最高得1分。 ④ 配备一名配送人员得0.5分，最高得2分。 ⑤ 配备一名其他岗位人员得0.5分，最高得1分. 注：以上人员需提供身份证及有效健康证，否则不得分。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1.报价分组成：①米：价格分10分；②面：价格分10分；③油：价格分15分。 2.满足招标文件要求且投标单价最低的投标报价为评标基准价，其价格分为满分。其他投标人的价格分统一按照下列公式计算： ①单项投标报价得分=(评标基准价／投标报价)×10%×100。 ②单项投标报价得分=(评标基准价／投标报价)×10%×100 ③单项投标报价得分=(评标基准价／投标报价)×15%×100 3.投标人最终报价得分=①+②+③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24分，负偏离将进行扣分，每负偏离1项扣3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①配备项目总负责人1名得2分。 ②配备专职对接员得1分；最高得2分。 ③ 配备一名专职食品安全管理员1分。 ④ 配备一名配送人员得1分，最高得3分。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24分，负偏离将进行扣分，每负偏离1项扣3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①配备项目总负责人1名得2分。 ②配备专职对接员得1分；最高得2分。 ③ 配备一名专职食品安全管理员1分。 ④ 配备一名配送人员得1分，最高得3分。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 （3分） 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25分，负偏离将进行扣分，每负偏离1项扣5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②配备专职对接员得1分；最高得2分。 ③ 配备一名专职食品安全管理员1分，最高得1分。 ④ 配备一名配送人员得1分，最高得3分。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详见附件：一二标段投标人资格证明文件.docx</w:t>
      </w:r>
    </w:p>
    <w:p>
      <w:pPr>
        <w:pStyle w:val="null3"/>
        <w:ind w:firstLine="960"/>
      </w:pPr>
      <w:r>
        <w:rPr>
          <w:rFonts w:ascii="仿宋_GB2312" w:hAnsi="仿宋_GB2312" w:cs="仿宋_GB2312" w:eastAsia="仿宋_GB2312"/>
        </w:rPr>
        <w:t>详见附件：一二标段产品分项报价表.docx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详见附件：三四标段投标人资格证明文件.docx</w:t>
      </w:r>
    </w:p>
    <w:p>
      <w:pPr>
        <w:pStyle w:val="null3"/>
        <w:ind w:firstLine="960"/>
      </w:pPr>
      <w:r>
        <w:rPr>
          <w:rFonts w:ascii="仿宋_GB2312" w:hAnsi="仿宋_GB2312" w:cs="仿宋_GB2312" w:eastAsia="仿宋_GB2312"/>
        </w:rPr>
        <w:t>详见附件：三四标段产品分项报价表.docx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详见附件：三四标段投标人资格证明文件.docx</w:t>
      </w:r>
    </w:p>
    <w:p>
      <w:pPr>
        <w:pStyle w:val="null3"/>
        <w:ind w:firstLine="960"/>
      </w:pPr>
      <w:r>
        <w:rPr>
          <w:rFonts w:ascii="仿宋_GB2312" w:hAnsi="仿宋_GB2312" w:cs="仿宋_GB2312" w:eastAsia="仿宋_GB2312"/>
        </w:rPr>
        <w:t>详见附件：三四标段产品分项报价表.docx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详见附件：五六标段投标人资格证明文件.docx</w:t>
      </w:r>
    </w:p>
    <w:p>
      <w:pPr>
        <w:pStyle w:val="null3"/>
        <w:ind w:firstLine="960"/>
      </w:pPr>
      <w:r>
        <w:rPr>
          <w:rFonts w:ascii="仿宋_GB2312" w:hAnsi="仿宋_GB2312" w:cs="仿宋_GB2312" w:eastAsia="仿宋_GB2312"/>
        </w:rPr>
        <w:t>详见附件：五六标段产品分项报价表.docx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