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2ABC9DC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tbl>
      <w:tblPr>
        <w:tblStyle w:val="8"/>
        <w:tblW w:w="52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4954"/>
        <w:gridCol w:w="2907"/>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9" w:type="pct"/>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779" w:type="pct"/>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w:t>
            </w:r>
          </w:p>
        </w:tc>
        <w:tc>
          <w:tcPr>
            <w:tcW w:w="1631" w:type="pct"/>
            <w:tcBorders>
              <w:top w:val="single" w:color="auto" w:sz="4" w:space="0"/>
              <w:left w:val="single" w:color="auto" w:sz="4" w:space="0"/>
              <w:bottom w:val="single" w:color="auto" w:sz="4" w:space="0"/>
              <w:right w:val="single" w:color="auto" w:sz="4" w:space="0"/>
            </w:tcBorders>
            <w:vAlign w:val="center"/>
          </w:tcPr>
          <w:p w14:paraId="59AC3475">
            <w:pPr>
              <w:widowControl/>
              <w:spacing w:line="360" w:lineRule="auto"/>
              <w:ind w:left="0" w:leftChars="0" w:right="0" w:righ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w:t>
            </w:r>
            <w:r>
              <w:rPr>
                <w:rFonts w:hint="eastAsia" w:ascii="宋体" w:hAnsi="宋体" w:eastAsia="宋体" w:cs="宋体"/>
                <w:b/>
                <w:bCs/>
                <w:sz w:val="24"/>
                <w:szCs w:val="24"/>
                <w:lang w:val="en-US" w:eastAsia="zh-CN"/>
              </w:rPr>
              <w:t>响应</w:t>
            </w:r>
          </w:p>
          <w:p w14:paraId="623E4CF7">
            <w:pPr>
              <w:widowControl/>
              <w:spacing w:line="360" w:lineRule="auto"/>
              <w:ind w:left="0" w:leftChars="0" w:right="0" w:rightChars="0" w:firstLine="0" w:firstLine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响应/不响应</w:t>
            </w:r>
            <w:r>
              <w:rPr>
                <w:rFonts w:hint="eastAsia" w:ascii="宋体" w:hAnsi="宋体" w:eastAsia="宋体" w:cs="宋体"/>
                <w:b/>
                <w:bCs/>
                <w:sz w:val="24"/>
                <w:szCs w:val="24"/>
                <w:lang w:eastAsia="zh-CN"/>
              </w:rPr>
              <w:t>）</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3CD0B12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779" w:type="pct"/>
            <w:tcBorders>
              <w:top w:val="single" w:color="auto" w:sz="4" w:space="0"/>
              <w:left w:val="single" w:color="auto" w:sz="4" w:space="0"/>
              <w:bottom w:val="single" w:color="auto" w:sz="4" w:space="0"/>
              <w:right w:val="single" w:color="auto" w:sz="4" w:space="0"/>
            </w:tcBorders>
          </w:tcPr>
          <w:p w14:paraId="4D81A003">
            <w:pPr>
              <w:widowControl/>
              <w:spacing w:line="36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为规范和促进本项目的正常实施和推进，供应商须针对本项目安排专业配送服务团队、购买食品安全责任保险、具备相关履约经验。</w:t>
            </w:r>
          </w:p>
        </w:tc>
        <w:tc>
          <w:tcPr>
            <w:tcW w:w="1631" w:type="pct"/>
            <w:tcBorders>
              <w:top w:val="single" w:color="auto" w:sz="4" w:space="0"/>
              <w:left w:val="single" w:color="auto" w:sz="4" w:space="0"/>
              <w:bottom w:val="single" w:color="auto" w:sz="4" w:space="0"/>
              <w:right w:val="single" w:color="auto" w:sz="4" w:space="0"/>
            </w:tcBorders>
          </w:tcPr>
          <w:p w14:paraId="7FD2E104">
            <w:pPr>
              <w:widowControl/>
              <w:spacing w:line="360" w:lineRule="auto"/>
              <w:ind w:left="0" w:leftChars="0" w:right="0" w:rightChars="0" w:firstLine="0" w:firstLineChars="0"/>
              <w:jc w:val="left"/>
              <w:rPr>
                <w:rFonts w:hint="eastAsia" w:ascii="宋体" w:hAnsi="宋体" w:eastAsia="宋体" w:cs="宋体"/>
                <w:sz w:val="24"/>
                <w:szCs w:val="24"/>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5EE103C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2779" w:type="pct"/>
            <w:tcBorders>
              <w:top w:val="single" w:color="auto" w:sz="4" w:space="0"/>
              <w:left w:val="single" w:color="auto" w:sz="4" w:space="0"/>
              <w:bottom w:val="single" w:color="auto" w:sz="4" w:space="0"/>
              <w:right w:val="single" w:color="auto" w:sz="4" w:space="0"/>
            </w:tcBorders>
          </w:tcPr>
          <w:p w14:paraId="161BB523">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包装、标识要求</w:t>
            </w:r>
          </w:p>
          <w:p w14:paraId="77CC1026">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14:paraId="47EFFE89">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tc>
        <w:tc>
          <w:tcPr>
            <w:tcW w:w="1631" w:type="pct"/>
            <w:tcBorders>
              <w:top w:val="single" w:color="auto" w:sz="4" w:space="0"/>
              <w:left w:val="single" w:color="auto" w:sz="4" w:space="0"/>
              <w:bottom w:val="single" w:color="auto" w:sz="4" w:space="0"/>
              <w:right w:val="single" w:color="auto" w:sz="4" w:space="0"/>
            </w:tcBorders>
          </w:tcPr>
          <w:p w14:paraId="12D2ABD3">
            <w:pPr>
              <w:widowControl/>
              <w:spacing w:line="360" w:lineRule="auto"/>
              <w:ind w:left="0" w:leftChars="0" w:right="0" w:rightChars="0" w:firstLine="0" w:firstLineChars="0"/>
              <w:jc w:val="left"/>
              <w:rPr>
                <w:rFonts w:hint="eastAsia" w:ascii="宋体" w:hAnsi="宋体" w:eastAsia="宋体" w:cs="宋体"/>
                <w:sz w:val="24"/>
                <w:szCs w:val="24"/>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67428D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2779" w:type="pct"/>
            <w:tcBorders>
              <w:top w:val="single" w:color="auto" w:sz="4" w:space="0"/>
              <w:left w:val="single" w:color="auto" w:sz="4" w:space="0"/>
              <w:bottom w:val="single" w:color="auto" w:sz="4" w:space="0"/>
              <w:right w:val="single" w:color="auto" w:sz="4" w:space="0"/>
            </w:tcBorders>
          </w:tcPr>
          <w:p w14:paraId="33DD6C4F">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食材采购要求</w:t>
            </w:r>
          </w:p>
          <w:p w14:paraId="368D21E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14:paraId="31C17DF7">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14:paraId="335AF49E">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14:paraId="592AF6F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tc>
        <w:tc>
          <w:tcPr>
            <w:tcW w:w="1631" w:type="pct"/>
            <w:tcBorders>
              <w:top w:val="single" w:color="auto" w:sz="4" w:space="0"/>
              <w:left w:val="single" w:color="auto" w:sz="4" w:space="0"/>
              <w:bottom w:val="single" w:color="auto" w:sz="4" w:space="0"/>
              <w:right w:val="single" w:color="auto" w:sz="4" w:space="0"/>
            </w:tcBorders>
          </w:tcPr>
          <w:p w14:paraId="3402B7C6">
            <w:pPr>
              <w:widowControl/>
              <w:spacing w:line="360" w:lineRule="auto"/>
              <w:ind w:left="0" w:leftChars="0" w:right="0" w:rightChars="0" w:firstLine="0" w:firstLineChars="0"/>
              <w:jc w:val="left"/>
              <w:rPr>
                <w:rFonts w:hint="eastAsia" w:ascii="宋体" w:hAnsi="宋体" w:eastAsia="宋体" w:cs="宋体"/>
                <w:sz w:val="24"/>
                <w:szCs w:val="24"/>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26F3D5A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779" w:type="pct"/>
            <w:tcBorders>
              <w:top w:val="single" w:color="auto" w:sz="4" w:space="0"/>
              <w:left w:val="single" w:color="auto" w:sz="4" w:space="0"/>
              <w:bottom w:val="single" w:color="auto" w:sz="4" w:space="0"/>
              <w:right w:val="single" w:color="auto" w:sz="4" w:space="0"/>
            </w:tcBorders>
          </w:tcPr>
          <w:p w14:paraId="3F2A19E4">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食材配送要求</w:t>
            </w:r>
          </w:p>
          <w:p w14:paraId="66913A2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14:paraId="42FB90D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14:paraId="5674D5A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（2）配送车辆、工作人员、包装容器、全程防护措施均符合食品运输卫生规范；车辆、人员入校须遵守校园门禁、通行、消杀管理规定，服从学校安保、食堂管理人员统一调度。</w:t>
            </w:r>
          </w:p>
          <w:p w14:paraId="628AB27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14:paraId="63464FC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具备充足仓储、调运、二次分拣、上门搬运能力，配送食材出现变质、破损、农残超标、规格不符等任何质量问题，须在采购人通知后1小时内完成重新配送、调换到位，往返运输、食材损耗费用全部由供应商承担。</w:t>
            </w:r>
          </w:p>
          <w:p w14:paraId="6106C3C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（5）供应商必须按采购人所填订单配送，按规定时间送达，保障学校食堂正常运行。确保配送的食品优质、安全、可靠，确保运输安全，无条件更换运输过程中受到污染或变质的食品所需费用由供应商承担。</w:t>
            </w:r>
          </w:p>
          <w:p w14:paraId="0630F2A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14:paraId="4A0B6AC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14:paraId="41A095C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合同履约周期内，供应商须完善内部安全生产管理制度，定期开展从业人员安全操作、应急处置培训；运输、装卸、入校作业过程中发生人身伤害、财产损毁等安全事故，全部责任、赔偿费用由供应商独立承担。</w:t>
            </w:r>
          </w:p>
        </w:tc>
        <w:tc>
          <w:tcPr>
            <w:tcW w:w="1631" w:type="pct"/>
            <w:tcBorders>
              <w:top w:val="single" w:color="auto" w:sz="4" w:space="0"/>
              <w:left w:val="single" w:color="auto" w:sz="4" w:space="0"/>
              <w:bottom w:val="single" w:color="auto" w:sz="4" w:space="0"/>
              <w:right w:val="single" w:color="auto" w:sz="4" w:space="0"/>
            </w:tcBorders>
          </w:tcPr>
          <w:p w14:paraId="7AAD87CB">
            <w:pPr>
              <w:widowControl/>
              <w:spacing w:line="360" w:lineRule="auto"/>
              <w:ind w:left="0" w:leftChars="0" w:right="0" w:rightChars="0" w:firstLine="0" w:firstLineChars="0"/>
              <w:jc w:val="left"/>
              <w:rPr>
                <w:rFonts w:hint="eastAsia" w:ascii="宋体" w:hAnsi="宋体" w:eastAsia="宋体" w:cs="宋体"/>
                <w:sz w:val="24"/>
                <w:szCs w:val="24"/>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9" w:hRule="atLeast"/>
          <w:jc w:val="center"/>
        </w:trPr>
        <w:tc>
          <w:tcPr>
            <w:tcW w:w="589" w:type="pct"/>
            <w:tcBorders>
              <w:top w:val="single" w:color="auto" w:sz="4" w:space="0"/>
              <w:left w:val="single" w:color="auto" w:sz="4" w:space="0"/>
              <w:bottom w:val="single" w:color="auto" w:sz="4" w:space="0"/>
              <w:right w:val="single" w:color="auto" w:sz="4" w:space="0"/>
            </w:tcBorders>
          </w:tcPr>
          <w:p w14:paraId="14F3CC5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2779" w:type="pct"/>
            <w:tcBorders>
              <w:top w:val="single" w:color="auto" w:sz="4" w:space="0"/>
              <w:left w:val="single" w:color="auto" w:sz="4" w:space="0"/>
              <w:bottom w:val="single" w:color="auto" w:sz="4" w:space="0"/>
              <w:right w:val="single" w:color="auto" w:sz="4" w:space="0"/>
            </w:tcBorders>
          </w:tcPr>
          <w:p w14:paraId="38622EA5">
            <w:pPr>
              <w:pStyle w:val="4"/>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运输要求 </w:t>
            </w:r>
          </w:p>
          <w:p w14:paraId="36F425C0">
            <w:pPr>
              <w:pStyle w:val="4"/>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14:paraId="52B1618C">
            <w:pPr>
              <w:pStyle w:val="4"/>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（2）冷藏食材须使用专用保温或制冷车辆运输，全程持续控温，长途运输实时监测、记录车厢温度，严防日晒、雨淋、高温暴晒，配套通风散热设施，保证全程温控稳定达标。</w:t>
            </w:r>
          </w:p>
          <w:p w14:paraId="13BA53D4">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tc>
        <w:tc>
          <w:tcPr>
            <w:tcW w:w="1631" w:type="pct"/>
            <w:tcBorders>
              <w:top w:val="single" w:color="auto" w:sz="4" w:space="0"/>
              <w:left w:val="single" w:color="auto" w:sz="4" w:space="0"/>
              <w:bottom w:val="single" w:color="auto" w:sz="4" w:space="0"/>
              <w:right w:val="single" w:color="auto" w:sz="4" w:space="0"/>
            </w:tcBorders>
          </w:tcPr>
          <w:p w14:paraId="4C83E59A">
            <w:pPr>
              <w:widowControl/>
              <w:spacing w:line="360" w:lineRule="auto"/>
              <w:ind w:left="0" w:leftChars="0" w:right="0" w:rightChars="0" w:firstLine="0" w:firstLineChars="0"/>
              <w:jc w:val="left"/>
              <w:rPr>
                <w:rFonts w:hint="eastAsia" w:ascii="宋体" w:hAnsi="宋体" w:eastAsia="宋体" w:cs="宋体"/>
                <w:sz w:val="24"/>
                <w:szCs w:val="24"/>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19E663A0">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2779" w:type="pct"/>
            <w:tcBorders>
              <w:top w:val="single" w:color="auto" w:sz="4" w:space="0"/>
              <w:left w:val="single" w:color="auto" w:sz="4" w:space="0"/>
              <w:bottom w:val="single" w:color="auto" w:sz="4" w:space="0"/>
              <w:right w:val="single" w:color="auto" w:sz="4" w:space="0"/>
            </w:tcBorders>
          </w:tcPr>
          <w:p w14:paraId="41E318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食品安全管理要求</w:t>
            </w:r>
          </w:p>
          <w:p w14:paraId="6A3C10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14:paraId="3410E02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14:paraId="5BCCF8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tc>
        <w:tc>
          <w:tcPr>
            <w:tcW w:w="1631" w:type="pct"/>
            <w:tcBorders>
              <w:top w:val="single" w:color="auto" w:sz="4" w:space="0"/>
              <w:left w:val="single" w:color="auto" w:sz="4" w:space="0"/>
              <w:bottom w:val="single" w:color="auto" w:sz="4" w:space="0"/>
              <w:right w:val="single" w:color="auto" w:sz="4" w:space="0"/>
            </w:tcBorders>
          </w:tcPr>
          <w:p w14:paraId="375848FE">
            <w:pPr>
              <w:widowControl/>
              <w:spacing w:line="360" w:lineRule="auto"/>
              <w:ind w:left="0" w:leftChars="0" w:right="0" w:rightChars="0" w:firstLine="0" w:firstLineChars="0"/>
              <w:jc w:val="left"/>
              <w:rPr>
                <w:rFonts w:hint="eastAsia" w:ascii="宋体" w:hAnsi="宋体" w:eastAsia="宋体" w:cs="宋体"/>
                <w:sz w:val="24"/>
                <w:szCs w:val="24"/>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2748ED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2779" w:type="pct"/>
            <w:tcBorders>
              <w:top w:val="single" w:color="auto" w:sz="4" w:space="0"/>
              <w:left w:val="single" w:color="auto" w:sz="4" w:space="0"/>
              <w:bottom w:val="single" w:color="auto" w:sz="4" w:space="0"/>
              <w:right w:val="single" w:color="auto" w:sz="4" w:space="0"/>
            </w:tcBorders>
          </w:tcPr>
          <w:p w14:paraId="744D1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食材采购溯源要求</w:t>
            </w:r>
          </w:p>
          <w:p w14:paraId="13BEA0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（1）供应商完整记录每批次食材核心溯源数据：食材名称、规格、采购数量、生产批号、保质期、产地（种植基地 / 养殖场）、采收 / 屠宰日期、采购下单日期、冷链运输全程温度记录、入库验收时间、验收人员签字。</w:t>
            </w:r>
          </w:p>
          <w:p w14:paraId="0B0DC2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（2）建立食材采购信息档案，确保食材从生产、加工、运输到销售的全流程信息可追溯。</w:t>
            </w:r>
          </w:p>
          <w:p w14:paraId="2FF4D4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tc>
        <w:tc>
          <w:tcPr>
            <w:tcW w:w="1631" w:type="pct"/>
            <w:tcBorders>
              <w:top w:val="single" w:color="auto" w:sz="4" w:space="0"/>
              <w:left w:val="single" w:color="auto" w:sz="4" w:space="0"/>
              <w:bottom w:val="single" w:color="auto" w:sz="4" w:space="0"/>
              <w:right w:val="single" w:color="auto" w:sz="4" w:space="0"/>
            </w:tcBorders>
          </w:tcPr>
          <w:p w14:paraId="039BB467">
            <w:pPr>
              <w:widowControl/>
              <w:spacing w:line="360" w:lineRule="auto"/>
              <w:ind w:left="0" w:leftChars="0" w:right="0" w:rightChars="0" w:firstLine="0" w:firstLineChars="0"/>
              <w:jc w:val="left"/>
              <w:rPr>
                <w:rFonts w:hint="eastAsia" w:ascii="宋体" w:hAnsi="宋体" w:eastAsia="宋体" w:cs="宋体"/>
                <w:sz w:val="24"/>
                <w:szCs w:val="24"/>
              </w:rPr>
            </w:pPr>
          </w:p>
        </w:tc>
      </w:tr>
      <w:tr w14:paraId="2BE5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4E9276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8</w:t>
            </w:r>
          </w:p>
        </w:tc>
        <w:tc>
          <w:tcPr>
            <w:tcW w:w="2779" w:type="pct"/>
            <w:tcBorders>
              <w:top w:val="single" w:color="auto" w:sz="4" w:space="0"/>
              <w:left w:val="single" w:color="auto" w:sz="4" w:space="0"/>
              <w:bottom w:val="single" w:color="auto" w:sz="4" w:space="0"/>
              <w:right w:val="single" w:color="auto" w:sz="4" w:space="0"/>
            </w:tcBorders>
          </w:tcPr>
          <w:p w14:paraId="0B8A61D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供应商履约约束与违约责任</w:t>
            </w:r>
          </w:p>
          <w:p w14:paraId="749F60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14:paraId="350AF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14:paraId="06EC3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（3）供应商在项目实施期间，严格明确安全责任，服从采购人的日常管理和检查，有健全的安全管理制度，保证工作人员安全。如因供应商原因导致发生任何安全事故或造成人员伤亡的，由供应商完全负责。</w:t>
            </w:r>
          </w:p>
          <w:p w14:paraId="62B442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（4）单次供货食材抽检不合格，该批次全部退回，供应商 24 小时内免费补货；同一学年累计 2 次及以上抽检不合格，采购人有权解除合同。</w:t>
            </w:r>
          </w:p>
          <w:p w14:paraId="3E3D7F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（5）因供应商食材问题引发师生食物中毒、群体性食源性疾病等食品安全事故，供应商承担全部医疗费、赔偿金、行政处罚费用，采购人立即终止合同并追究法律责任。</w:t>
            </w:r>
          </w:p>
          <w:p w14:paraId="4BAE07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（6）供应商不得转包、分包本项目配送业务，未经采购人书面许可擅自分包的，视为严重违约，采购人直接解除合同。</w:t>
            </w:r>
          </w:p>
          <w:p w14:paraId="3A1BD7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（7）供应商具有食材本地化配送及售后保障能力。</w:t>
            </w:r>
          </w:p>
        </w:tc>
        <w:tc>
          <w:tcPr>
            <w:tcW w:w="1631" w:type="pct"/>
            <w:tcBorders>
              <w:top w:val="single" w:color="auto" w:sz="4" w:space="0"/>
              <w:left w:val="single" w:color="auto" w:sz="4" w:space="0"/>
              <w:bottom w:val="single" w:color="auto" w:sz="4" w:space="0"/>
              <w:right w:val="single" w:color="auto" w:sz="4" w:space="0"/>
            </w:tcBorders>
          </w:tcPr>
          <w:p w14:paraId="476E33A1">
            <w:pPr>
              <w:widowControl/>
              <w:spacing w:line="360" w:lineRule="auto"/>
              <w:ind w:left="0" w:leftChars="0" w:right="0" w:rightChars="0" w:firstLine="0" w:firstLineChars="0"/>
              <w:jc w:val="left"/>
              <w:rPr>
                <w:rFonts w:hint="eastAsia" w:ascii="宋体" w:hAnsi="宋体" w:eastAsia="宋体" w:cs="宋体"/>
                <w:sz w:val="24"/>
                <w:szCs w:val="24"/>
              </w:rPr>
            </w:pPr>
          </w:p>
        </w:tc>
      </w:tr>
      <w:tr w14:paraId="258D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42BFD36B">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9</w:t>
            </w:r>
          </w:p>
        </w:tc>
        <w:tc>
          <w:tcPr>
            <w:tcW w:w="2779" w:type="pct"/>
            <w:tcBorders>
              <w:top w:val="single" w:color="auto" w:sz="4" w:space="0"/>
              <w:left w:val="single" w:color="auto" w:sz="4" w:space="0"/>
              <w:bottom w:val="single" w:color="auto" w:sz="4" w:space="0"/>
              <w:right w:val="single" w:color="auto" w:sz="4" w:space="0"/>
            </w:tcBorders>
          </w:tcPr>
          <w:p w14:paraId="71B61A4F">
            <w:pPr>
              <w:pStyle w:val="4"/>
              <w:numPr>
                <w:ilvl w:val="0"/>
                <w:numId w:val="0"/>
              </w:numPr>
              <w:spacing w:line="360" w:lineRule="auto"/>
              <w:ind w:left="0" w:leftChars="0" w:firstLine="480" w:firstLineChars="200"/>
              <w:rPr>
                <w:rFonts w:hint="eastAsia" w:ascii="宋体" w:hAnsi="宋体" w:eastAsia="宋体" w:cs="宋体"/>
                <w:sz w:val="24"/>
                <w:szCs w:val="24"/>
              </w:rPr>
            </w:pPr>
          </w:p>
        </w:tc>
        <w:tc>
          <w:tcPr>
            <w:tcW w:w="1631" w:type="pct"/>
            <w:tcBorders>
              <w:top w:val="single" w:color="auto" w:sz="4" w:space="0"/>
              <w:left w:val="single" w:color="auto" w:sz="4" w:space="0"/>
              <w:bottom w:val="single" w:color="auto" w:sz="4" w:space="0"/>
              <w:right w:val="single" w:color="auto" w:sz="4" w:space="0"/>
            </w:tcBorders>
          </w:tcPr>
          <w:p w14:paraId="06C600C6">
            <w:pPr>
              <w:widowControl/>
              <w:spacing w:line="360" w:lineRule="auto"/>
              <w:ind w:left="0" w:leftChars="0" w:right="0" w:rightChars="0" w:firstLine="0" w:firstLineChars="0"/>
              <w:jc w:val="left"/>
              <w:rPr>
                <w:rFonts w:hint="eastAsia" w:ascii="宋体" w:hAnsi="宋体" w:eastAsia="宋体" w:cs="宋体"/>
                <w:sz w:val="24"/>
                <w:szCs w:val="24"/>
              </w:rPr>
            </w:pPr>
          </w:p>
        </w:tc>
      </w:tr>
      <w:tr w14:paraId="3E8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DE008FB">
            <w:pPr>
              <w:widowControl/>
              <w:spacing w:line="360" w:lineRule="auto"/>
              <w:ind w:left="0" w:leftChars="0" w:right="0" w:rightChars="0" w:firstLine="0" w:firstLineChars="0"/>
              <w:jc w:val="center"/>
              <w:rPr>
                <w:rFonts w:hint="eastAsia" w:ascii="宋体" w:hAnsi="宋体" w:cs="宋体"/>
                <w:sz w:val="24"/>
                <w:szCs w:val="24"/>
                <w:lang w:val="en-US" w:eastAsia="zh-CN"/>
              </w:rPr>
            </w:pPr>
            <w:r>
              <w:rPr>
                <w:rFonts w:hint="eastAsia" w:ascii="宋体" w:hAnsi="宋体" w:cs="宋体"/>
                <w:sz w:val="24"/>
                <w:szCs w:val="24"/>
                <w:lang w:val="en-US" w:eastAsia="zh-CN"/>
              </w:rPr>
              <w:t>……</w:t>
            </w:r>
          </w:p>
        </w:tc>
        <w:tc>
          <w:tcPr>
            <w:tcW w:w="2779" w:type="pct"/>
            <w:tcBorders>
              <w:top w:val="single" w:color="auto" w:sz="4" w:space="0"/>
              <w:left w:val="single" w:color="auto" w:sz="4" w:space="0"/>
              <w:bottom w:val="single" w:color="auto" w:sz="4" w:space="0"/>
              <w:right w:val="single" w:color="auto" w:sz="4" w:space="0"/>
            </w:tcBorders>
          </w:tcPr>
          <w:p w14:paraId="03AE2556">
            <w:pPr>
              <w:pStyle w:val="4"/>
              <w:numPr>
                <w:ilvl w:val="0"/>
                <w:numId w:val="0"/>
              </w:numPr>
              <w:spacing w:line="360" w:lineRule="auto"/>
              <w:ind w:left="0" w:leftChars="0" w:firstLine="480" w:firstLineChars="200"/>
              <w:rPr>
                <w:rFonts w:hint="eastAsia" w:ascii="宋体" w:hAnsi="宋体" w:eastAsia="宋体" w:cs="宋体"/>
                <w:b w:val="0"/>
                <w:bCs w:val="0"/>
                <w:color w:val="auto"/>
                <w:sz w:val="24"/>
                <w:szCs w:val="24"/>
                <w:lang w:val="en-US" w:eastAsia="zh-CN"/>
              </w:rPr>
            </w:pPr>
          </w:p>
        </w:tc>
        <w:tc>
          <w:tcPr>
            <w:tcW w:w="1631" w:type="pct"/>
            <w:tcBorders>
              <w:top w:val="single" w:color="auto" w:sz="4" w:space="0"/>
              <w:left w:val="single" w:color="auto" w:sz="4" w:space="0"/>
              <w:bottom w:val="single" w:color="auto" w:sz="4" w:space="0"/>
              <w:right w:val="single" w:color="auto" w:sz="4" w:space="0"/>
            </w:tcBorders>
          </w:tcPr>
          <w:p w14:paraId="26071013">
            <w:pPr>
              <w:widowControl/>
              <w:spacing w:line="360" w:lineRule="auto"/>
              <w:ind w:left="0" w:leftChars="0" w:right="0" w:rightChars="0" w:firstLine="0" w:firstLineChars="0"/>
              <w:jc w:val="left"/>
              <w:rPr>
                <w:rFonts w:hint="eastAsia" w:ascii="宋体" w:hAnsi="宋体" w:eastAsia="宋体" w:cs="宋体"/>
                <w:sz w:val="24"/>
                <w:szCs w:val="24"/>
              </w:rPr>
            </w:pPr>
          </w:p>
        </w:tc>
      </w:tr>
    </w:tbl>
    <w:p w14:paraId="33F72F20">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w:t>
      </w:r>
      <w:r>
        <w:rPr>
          <w:rFonts w:hint="eastAsia" w:ascii="宋体" w:hAnsi="宋体" w:cs="宋体"/>
          <w:sz w:val="28"/>
          <w:szCs w:val="28"/>
          <w:lang w:val="en-US" w:eastAsia="zh-CN"/>
        </w:rPr>
        <w:t>加，但不得减少</w:t>
      </w:r>
      <w:r>
        <w:rPr>
          <w:rFonts w:hint="eastAsia" w:ascii="宋体" w:hAnsi="宋体" w:cs="宋体"/>
          <w:sz w:val="28"/>
          <w:szCs w:val="28"/>
        </w:rPr>
        <w:t>。</w:t>
      </w:r>
    </w:p>
    <w:p w14:paraId="6B8476A0">
      <w:pPr>
        <w:rPr>
          <w:rFonts w:ascii="宋体" w:hAnsi="宋体" w:cs="宋体"/>
          <w:b/>
          <w:bCs/>
          <w:sz w:val="28"/>
          <w:szCs w:val="28"/>
        </w:rPr>
      </w:pPr>
    </w:p>
    <w:p w14:paraId="12AFE66E">
      <w:pPr>
        <w:spacing w:line="500" w:lineRule="exact"/>
        <w:ind w:firstLine="4320" w:firstLineChars="1800"/>
        <w:rPr>
          <w:rFonts w:hint="eastAsia" w:ascii="宋体" w:hAnsi="宋体" w:cs="宋体"/>
          <w:sz w:val="24"/>
        </w:rPr>
      </w:pPr>
      <w:r>
        <w:rPr>
          <w:rFonts w:hint="eastAsia" w:ascii="宋体" w:hAnsi="宋体" w:cs="宋体"/>
          <w:sz w:val="24"/>
        </w:rPr>
        <w:t>投标人（</w:t>
      </w:r>
      <w:r>
        <w:rPr>
          <w:rFonts w:hint="eastAsia" w:ascii="宋体" w:hAnsi="宋体" w:cs="宋体"/>
          <w:sz w:val="24"/>
          <w:lang w:val="en-US" w:eastAsia="zh-CN"/>
        </w:rPr>
        <w:t>签</w:t>
      </w:r>
      <w:r>
        <w:rPr>
          <w:rFonts w:hint="eastAsia" w:ascii="宋体" w:hAnsi="宋体" w:cs="宋体"/>
          <w:sz w:val="24"/>
        </w:rPr>
        <w:t>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14:paraId="4A968D39">
      <w:pPr>
        <w:ind w:firstLine="1920" w:firstLineChars="800"/>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75EB501D">
      <w:pPr>
        <w:ind w:firstLine="5280" w:firstLineChars="2200"/>
      </w:pPr>
      <w:r>
        <w:rPr>
          <w:rFonts w:hint="eastAsia" w:ascii="宋体" w:hAnsi="宋体" w:cs="宋体"/>
          <w:sz w:val="24"/>
        </w:rPr>
        <w:t>年   月   日</w:t>
      </w:r>
    </w:p>
    <w:p w14:paraId="4EC545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FFAA9F5"/>
    <w:rsid w:val="268912C6"/>
    <w:rsid w:val="357B2CD2"/>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页脚 字符"/>
    <w:basedOn w:val="10"/>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1226</Words>
  <Characters>1267</Characters>
  <Lines>1</Lines>
  <Paragraphs>1</Paragraphs>
  <TotalTime>0</TotalTime>
  <ScaleCrop>false</ScaleCrop>
  <LinksUpToDate>false</LinksUpToDate>
  <CharactersWithSpaces>1306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陕西省政府采购综合管理平台</dc:creator>
  <cp:lastModifiedBy>WPS_1730446345</cp:lastModifiedBy>
  <dcterms:modified xsi:type="dcterms:W3CDTF">2026-07-27T01:35:25Z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eyJoZGlkIjoiNzRmYTc3NGRiZGYyYzEyMDJmNGQwMjAyYmI3NjZiYWUiLCJ1c2VySWQiOiIxNjUwNzU2NTAyIn0=</vt:lpwstr>
  </property>
  <property fmtid="{D5CDD505-2E9C-101B-9397-08002B2CF9AE}" pid="4" name="ICV">
    <vt:lpwstr>B5B380B5F3154A128CB77235ED7AC905_12</vt:lpwstr>
  </property>
</Properties>
</file>