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113823">
      <w:pPr>
        <w:pStyle w:val="5"/>
        <w:spacing w:line="500" w:lineRule="exact"/>
        <w:ind w:firstLine="0" w:firstLineChars="0"/>
        <w:jc w:val="center"/>
        <w:outlineLvl w:val="1"/>
        <w:rPr>
          <w:rFonts w:hint="eastAsia" w:ascii="仿宋" w:hAnsi="仿宋" w:eastAsia="仿宋" w:cs="Times New Roman"/>
          <w:b/>
          <w:color w:val="auto"/>
          <w:sz w:val="32"/>
          <w:szCs w:val="32"/>
        </w:rPr>
      </w:pPr>
      <w:bookmarkStart w:id="0" w:name="_Toc48834107"/>
      <w:bookmarkStart w:id="1" w:name="_Toc20365"/>
      <w:bookmarkStart w:id="2" w:name="_Toc48834466"/>
      <w:bookmarkStart w:id="3" w:name="_Toc14082138"/>
      <w:bookmarkStart w:id="4" w:name="_Toc48834545"/>
      <w:bookmarkStart w:id="5" w:name="_Toc48834177"/>
      <w:bookmarkStart w:id="6" w:name="_Toc48834304"/>
      <w:bookmarkStart w:id="7" w:name="OLE_LINK6"/>
      <w:bookmarkStart w:id="11" w:name="_GoBack"/>
      <w:bookmarkEnd w:id="11"/>
      <w:r>
        <w:rPr>
          <w:rFonts w:ascii="仿宋" w:hAnsi="仿宋" w:eastAsia="仿宋" w:cs="Times New Roman"/>
          <w:b/>
          <w:color w:val="auto"/>
          <w:sz w:val="32"/>
          <w:szCs w:val="32"/>
        </w:rPr>
        <w:t>磋商内容及采购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bookmarkEnd w:id="0"/>
    <w:bookmarkEnd w:id="1"/>
    <w:bookmarkEnd w:id="2"/>
    <w:bookmarkEnd w:id="3"/>
    <w:bookmarkEnd w:id="4"/>
    <w:bookmarkEnd w:id="5"/>
    <w:bookmarkEnd w:id="6"/>
    <w:p w14:paraId="1B7F7C30">
      <w:pPr>
        <w:pStyle w:val="2"/>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color w:val="auto"/>
          <w:sz w:val="28"/>
          <w:szCs w:val="28"/>
          <w:highlight w:val="none"/>
          <w:u w:val="none"/>
          <w:lang w:val="en-US" w:eastAsia="zh-CN"/>
        </w:rPr>
      </w:pPr>
      <w:r>
        <w:rPr>
          <w:rFonts w:hint="eastAsia" w:ascii="仿宋" w:hAnsi="仿宋" w:eastAsia="仿宋" w:cs="仿宋"/>
          <w:b/>
          <w:bCs/>
          <w:color w:val="auto"/>
          <w:sz w:val="28"/>
          <w:szCs w:val="28"/>
          <w:highlight w:val="none"/>
          <w:u w:val="none"/>
          <w:lang w:val="en-US" w:eastAsia="zh-CN"/>
        </w:rPr>
        <w:t>一、项目概况</w:t>
      </w:r>
    </w:p>
    <w:p w14:paraId="74EF0283">
      <w:pPr>
        <w:pStyle w:val="2"/>
        <w:keepNext w:val="0"/>
        <w:keepLines w:val="0"/>
        <w:pageBreakBefore w:val="0"/>
        <w:widowControl/>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b w:val="0"/>
          <w:bCs w:val="0"/>
          <w:color w:val="auto"/>
          <w:sz w:val="28"/>
          <w:szCs w:val="28"/>
          <w:highlight w:val="none"/>
          <w:u w:val="none"/>
          <w:lang w:val="en-US" w:eastAsia="zh-CN"/>
        </w:rPr>
      </w:pPr>
      <w:r>
        <w:rPr>
          <w:rFonts w:hint="eastAsia" w:ascii="仿宋" w:hAnsi="仿宋" w:eastAsia="仿宋" w:cs="仿宋"/>
          <w:b w:val="0"/>
          <w:bCs w:val="0"/>
          <w:color w:val="auto"/>
          <w:sz w:val="28"/>
          <w:szCs w:val="28"/>
          <w:highlight w:val="none"/>
          <w:u w:val="none"/>
          <w:lang w:val="en-US" w:eastAsia="zh-CN"/>
        </w:rPr>
        <w:t>本项目为神木市沙峁镇人民政府《沙峁镇镇志》印刷项目（二次），主要采购印刷</w:t>
      </w:r>
      <w:bookmarkStart w:id="8" w:name="OLE_LINK1"/>
      <w:r>
        <w:rPr>
          <w:rFonts w:hint="eastAsia" w:ascii="仿宋" w:hAnsi="仿宋" w:eastAsia="仿宋" w:cs="仿宋"/>
          <w:b w:val="0"/>
          <w:bCs w:val="0"/>
          <w:color w:val="auto"/>
          <w:sz w:val="28"/>
          <w:szCs w:val="28"/>
          <w:highlight w:val="none"/>
          <w:u w:val="none"/>
          <w:lang w:val="en-US" w:eastAsia="zh-CN"/>
        </w:rPr>
        <w:t>《沙峁镇镇志》</w:t>
      </w:r>
      <w:bookmarkEnd w:id="8"/>
      <w:r>
        <w:rPr>
          <w:rFonts w:hint="eastAsia" w:ascii="仿宋" w:hAnsi="仿宋" w:eastAsia="仿宋" w:cs="仿宋"/>
          <w:b w:val="0"/>
          <w:bCs w:val="0"/>
          <w:color w:val="auto"/>
          <w:sz w:val="28"/>
          <w:szCs w:val="28"/>
          <w:highlight w:val="none"/>
          <w:u w:val="none"/>
          <w:lang w:val="en-US" w:eastAsia="zh-CN"/>
        </w:rPr>
        <w:t>5000本。</w:t>
      </w:r>
    </w:p>
    <w:p w14:paraId="70A00140">
      <w:pPr>
        <w:pStyle w:val="2"/>
        <w:keepNext w:val="0"/>
        <w:keepLines w:val="0"/>
        <w:pageBreakBefore w:val="0"/>
        <w:widowControl/>
        <w:numPr>
          <w:ilvl w:val="0"/>
          <w:numId w:val="1"/>
        </w:numPr>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color w:val="auto"/>
          <w:sz w:val="28"/>
          <w:szCs w:val="28"/>
          <w:highlight w:val="none"/>
          <w:u w:val="none"/>
          <w:lang w:val="en-US" w:eastAsia="zh-CN"/>
        </w:rPr>
      </w:pPr>
      <w:r>
        <w:rPr>
          <w:rFonts w:hint="eastAsia" w:ascii="仿宋" w:hAnsi="仿宋" w:eastAsia="仿宋" w:cs="仿宋"/>
          <w:b/>
          <w:bCs/>
          <w:color w:val="auto"/>
          <w:sz w:val="28"/>
          <w:szCs w:val="28"/>
          <w:highlight w:val="none"/>
          <w:u w:val="none"/>
          <w:lang w:val="en-US" w:eastAsia="zh-CN"/>
        </w:rPr>
        <w:t>采购内容及要求</w:t>
      </w:r>
    </w:p>
    <w:p w14:paraId="68CAAE1B">
      <w:pPr>
        <w:pStyle w:val="2"/>
        <w:keepNext w:val="0"/>
        <w:keepLines w:val="0"/>
        <w:pageBreakBefore w:val="0"/>
        <w:widowControl/>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b w:val="0"/>
          <w:bCs w:val="0"/>
          <w:color w:val="auto"/>
          <w:sz w:val="28"/>
          <w:szCs w:val="28"/>
          <w:highlight w:val="none"/>
          <w:u w:val="none"/>
          <w:lang w:val="en-US" w:eastAsia="zh-CN"/>
        </w:rPr>
      </w:pPr>
      <w:r>
        <w:rPr>
          <w:rFonts w:hint="eastAsia" w:ascii="仿宋" w:hAnsi="仿宋" w:eastAsia="仿宋" w:cs="仿宋"/>
          <w:b w:val="0"/>
          <w:bCs w:val="0"/>
          <w:color w:val="auto"/>
          <w:sz w:val="28"/>
          <w:szCs w:val="28"/>
          <w:highlight w:val="none"/>
          <w:u w:val="none"/>
          <w:lang w:val="en-US" w:eastAsia="zh-CN"/>
        </w:rPr>
        <w:t>《沙峁镇镇志》书</w:t>
      </w:r>
      <w:r>
        <w:rPr>
          <w:rFonts w:hint="default" w:ascii="仿宋" w:hAnsi="仿宋" w:eastAsia="仿宋" w:cs="仿宋"/>
          <w:b w:val="0"/>
          <w:bCs w:val="0"/>
          <w:color w:val="auto"/>
          <w:sz w:val="28"/>
          <w:szCs w:val="28"/>
          <w:highlight w:val="none"/>
          <w:u w:val="none"/>
          <w:lang w:val="en-US" w:eastAsia="zh-CN"/>
        </w:rPr>
        <w:t>中有2幅16开地图(沙峁镇行政区划图和交通文化旅游图)</w:t>
      </w:r>
      <w:r>
        <w:rPr>
          <w:rFonts w:hint="eastAsia" w:ascii="仿宋" w:hAnsi="仿宋" w:eastAsia="仿宋" w:cs="仿宋"/>
          <w:b w:val="0"/>
          <w:bCs w:val="0"/>
          <w:color w:val="auto"/>
          <w:sz w:val="28"/>
          <w:szCs w:val="28"/>
          <w:highlight w:val="none"/>
          <w:u w:val="none"/>
          <w:lang w:val="en-US" w:eastAsia="zh-CN"/>
        </w:rPr>
        <w:t>，</w:t>
      </w:r>
      <w:r>
        <w:rPr>
          <w:rFonts w:hint="default" w:ascii="仿宋" w:hAnsi="仿宋" w:eastAsia="仿宋" w:cs="仿宋"/>
          <w:b w:val="0"/>
          <w:bCs w:val="0"/>
          <w:color w:val="auto"/>
          <w:sz w:val="28"/>
          <w:szCs w:val="28"/>
          <w:highlight w:val="none"/>
          <w:u w:val="none"/>
          <w:lang w:val="en-US" w:eastAsia="zh-CN"/>
        </w:rPr>
        <w:t>由供应商编制并办理审图号，全书四色印刷，图文按1235千字测算。排版后，用80g纯质环保纸印刷，印刷采用蝶蝴牌油墨、护封用250g双铜纸4色印刷，有烫金复膜。精装硬壳用高档PVC或特种纸(以出版社设计要求定)有压凹、击凸、烫金等工艺。前后双环用180g特种纸。成品尺寸为大度16开(21*28.5cm)、箱板选用3.0mm荷兰进口箱板、手提袋用250g白卡纸四色印刷，复亚膜，棉绳子、包装用牛皮纸打包,装箱发运</w:t>
      </w:r>
      <w:r>
        <w:rPr>
          <w:rFonts w:hint="eastAsia" w:ascii="仿宋" w:hAnsi="仿宋" w:eastAsia="仿宋" w:cs="仿宋"/>
          <w:b w:val="0"/>
          <w:bCs w:val="0"/>
          <w:color w:val="auto"/>
          <w:sz w:val="28"/>
          <w:szCs w:val="28"/>
          <w:highlight w:val="none"/>
          <w:u w:val="none"/>
          <w:lang w:val="en-US" w:eastAsia="zh-CN"/>
        </w:rPr>
        <w:t>。</w:t>
      </w:r>
    </w:p>
    <w:p w14:paraId="5E1B1CAB">
      <w:pPr>
        <w:pStyle w:val="2"/>
        <w:keepNext w:val="0"/>
        <w:keepLines w:val="0"/>
        <w:pageBreakBefore w:val="0"/>
        <w:widowControl/>
        <w:numPr>
          <w:ilvl w:val="0"/>
          <w:numId w:val="0"/>
        </w:numPr>
        <w:kinsoku/>
        <w:wordWrap/>
        <w:overflowPunct/>
        <w:topLinePunct w:val="0"/>
        <w:autoSpaceDE/>
        <w:autoSpaceDN/>
        <w:bidi w:val="0"/>
        <w:adjustRightInd/>
        <w:snapToGrid/>
        <w:spacing w:line="240" w:lineRule="auto"/>
        <w:ind w:firstLine="562" w:firstLineChars="200"/>
        <w:textAlignment w:val="auto"/>
        <w:rPr>
          <w:rFonts w:hint="default" w:ascii="仿宋" w:hAnsi="仿宋" w:eastAsia="仿宋" w:cs="仿宋"/>
          <w:b w:val="0"/>
          <w:bCs w:val="0"/>
          <w:color w:val="auto"/>
          <w:sz w:val="28"/>
          <w:szCs w:val="28"/>
          <w:highlight w:val="none"/>
          <w:u w:val="none"/>
          <w:lang w:val="en-US" w:eastAsia="zh-CN"/>
        </w:rPr>
      </w:pPr>
      <w:r>
        <w:rPr>
          <w:rFonts w:hint="eastAsia" w:ascii="仿宋" w:hAnsi="仿宋" w:eastAsia="仿宋" w:cs="仿宋"/>
          <w:b/>
          <w:bCs/>
          <w:color w:val="auto"/>
          <w:sz w:val="28"/>
          <w:szCs w:val="28"/>
          <w:highlight w:val="none"/>
          <w:u w:val="none"/>
          <w:lang w:val="en-US" w:eastAsia="zh-CN"/>
        </w:rPr>
        <w:t>样品图：</w:t>
      </w:r>
      <w:r>
        <w:rPr>
          <w:rFonts w:hint="default" w:ascii="仿宋" w:hAnsi="仿宋" w:eastAsia="仿宋" w:cs="仿宋"/>
          <w:b w:val="0"/>
          <w:bCs w:val="0"/>
          <w:color w:val="auto"/>
          <w:sz w:val="28"/>
          <w:szCs w:val="28"/>
          <w:highlight w:val="none"/>
          <w:u w:val="none"/>
          <w:lang w:val="en-US" w:eastAsia="zh-CN"/>
        </w:rPr>
        <w:drawing>
          <wp:inline distT="0" distB="0" distL="114300" distR="114300">
            <wp:extent cx="5740400" cy="4410075"/>
            <wp:effectExtent l="0" t="0" r="12700" b="9525"/>
            <wp:docPr id="1" name="图片 1" descr="微信图片_20260812161650_28_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812161650_28_142"/>
                    <pic:cNvPicPr>
                      <a:picLocks noChangeAspect="1"/>
                    </pic:cNvPicPr>
                  </pic:nvPicPr>
                  <pic:blipFill>
                    <a:blip r:embed="rId6"/>
                    <a:stretch>
                      <a:fillRect/>
                    </a:stretch>
                  </pic:blipFill>
                  <pic:spPr>
                    <a:xfrm>
                      <a:off x="0" y="0"/>
                      <a:ext cx="5740400" cy="4410075"/>
                    </a:xfrm>
                    <a:prstGeom prst="rect">
                      <a:avLst/>
                    </a:prstGeom>
                    <a:noFill/>
                    <a:ln>
                      <a:noFill/>
                    </a:ln>
                  </pic:spPr>
                </pic:pic>
              </a:graphicData>
            </a:graphic>
          </wp:inline>
        </w:drawing>
      </w:r>
    </w:p>
    <w:p w14:paraId="0A80D0A5">
      <w:pPr>
        <w:pStyle w:val="2"/>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color w:val="auto"/>
          <w:sz w:val="28"/>
          <w:szCs w:val="28"/>
          <w:highlight w:val="none"/>
          <w:u w:val="none"/>
          <w:lang w:val="en-US" w:eastAsia="zh-CN"/>
        </w:rPr>
      </w:pPr>
      <w:r>
        <w:rPr>
          <w:rFonts w:hint="eastAsia" w:ascii="仿宋" w:hAnsi="仿宋" w:eastAsia="仿宋" w:cs="仿宋"/>
          <w:b/>
          <w:bCs/>
          <w:color w:val="auto"/>
          <w:sz w:val="28"/>
          <w:szCs w:val="28"/>
          <w:highlight w:val="none"/>
          <w:u w:val="none"/>
          <w:lang w:val="en-US" w:eastAsia="zh-CN"/>
        </w:rPr>
        <w:t>三、商务要求</w:t>
      </w:r>
    </w:p>
    <w:bookmarkEnd w:id="7"/>
    <w:p w14:paraId="6641F1C4">
      <w:pPr>
        <w:pStyle w:val="2"/>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1、实施期限：本项目服务期为</w:t>
      </w:r>
      <w:bookmarkStart w:id="9" w:name="OLE_LINK7"/>
      <w:r>
        <w:rPr>
          <w:rFonts w:hint="eastAsia" w:ascii="仿宋" w:hAnsi="仿宋" w:eastAsia="仿宋" w:cs="仿宋"/>
          <w:color w:val="auto"/>
          <w:sz w:val="28"/>
          <w:szCs w:val="28"/>
          <w:highlight w:val="none"/>
          <w:u w:val="none"/>
          <w:lang w:val="en-US" w:eastAsia="zh-CN"/>
        </w:rPr>
        <w:t>50天。</w:t>
      </w:r>
    </w:p>
    <w:bookmarkEnd w:id="9"/>
    <w:p w14:paraId="1A42ED81">
      <w:pPr>
        <w:pStyle w:val="2"/>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2、付款方式：</w:t>
      </w:r>
      <w:bookmarkStart w:id="10" w:name="OLE_LINK8"/>
      <w:r>
        <w:rPr>
          <w:rFonts w:hint="eastAsia" w:ascii="仿宋" w:hAnsi="仿宋" w:eastAsia="仿宋" w:cs="仿宋"/>
          <w:color w:val="auto"/>
          <w:sz w:val="28"/>
          <w:szCs w:val="28"/>
          <w:highlight w:val="none"/>
          <w:u w:val="none"/>
          <w:lang w:val="en-US" w:eastAsia="zh-CN"/>
        </w:rPr>
        <w:t>合同签订后 5 个工作日内支付合同价款的40%，印刷完成后，经验收合格，采购人收到成交供应商提供的全额增值税发票后 10 日内，采购人支付剩余合同款。（具体支付事宜由采购人与成交供应商商定）</w:t>
      </w:r>
    </w:p>
    <w:bookmarkEnd w:id="10"/>
    <w:p w14:paraId="301E6849">
      <w:pPr>
        <w:pStyle w:val="2"/>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color w:val="auto"/>
          <w:szCs w:val="21"/>
          <w:highlight w:val="none"/>
          <w:u w:val="none"/>
          <w:lang w:val="en-US" w:eastAsia="zh-CN"/>
        </w:rPr>
      </w:pPr>
      <w:r>
        <w:rPr>
          <w:rFonts w:hint="eastAsia" w:ascii="仿宋" w:hAnsi="仿宋" w:eastAsia="仿宋" w:cs="仿宋"/>
          <w:b/>
          <w:bCs/>
          <w:color w:val="auto"/>
          <w:szCs w:val="21"/>
          <w:highlight w:val="none"/>
          <w:u w:val="none"/>
          <w:lang w:val="en-US" w:eastAsia="zh-CN"/>
        </w:rPr>
        <w:t>四、综合要求</w:t>
      </w:r>
    </w:p>
    <w:p w14:paraId="43FAFD5E">
      <w:pPr>
        <w:pStyle w:val="2"/>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1.磋商供应商所提供的服务各项指标符合或优于本次采购要求、国家标准、行业标准及规范。 </w:t>
      </w:r>
    </w:p>
    <w:p w14:paraId="1679380A">
      <w:pPr>
        <w:pStyle w:val="2"/>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2.磋商供应商必须按磋商文件各章节条款的内容和顺序逐项作出实质性应答。无论磋商文件如何表述，磋商小组欢迎磋商供应商尽可能用数据响应服务要求。所提供的服务要求与所规定要求的任何偏离都必须逐条列入磋商响应文件中的服务偏离表中，任何不按此要求的磋商响应文件将承担被拒绝接受的风险。成交后，成交供应商在合同谈判中的任何偏离都不得超越此偏离表中已被采购人确认的条款。</w:t>
      </w:r>
    </w:p>
    <w:p w14:paraId="5F834E24">
      <w:pPr>
        <w:pStyle w:val="2"/>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color w:val="auto"/>
          <w:szCs w:val="21"/>
          <w:highlight w:val="none"/>
          <w:u w:val="none"/>
          <w:lang w:val="en-US" w:eastAsia="zh-CN"/>
        </w:rPr>
      </w:pPr>
      <w:r>
        <w:rPr>
          <w:rFonts w:hint="eastAsia" w:ascii="仿宋" w:hAnsi="仿宋" w:eastAsia="仿宋" w:cs="仿宋"/>
          <w:b/>
          <w:bCs/>
          <w:color w:val="auto"/>
          <w:szCs w:val="21"/>
          <w:highlight w:val="none"/>
          <w:u w:val="none"/>
          <w:lang w:val="en-US" w:eastAsia="zh-CN"/>
        </w:rPr>
        <w:t>★五、实质性条款（须提供承诺函，格式自拟，未提供承诺函则视为无效响应）</w:t>
      </w:r>
    </w:p>
    <w:p w14:paraId="75CF2E65">
      <w:pPr>
        <w:pStyle w:val="2"/>
        <w:keepNext w:val="0"/>
        <w:keepLines w:val="0"/>
        <w:pageBreakBefore w:val="0"/>
        <w:widowControl/>
        <w:numPr>
          <w:ilvl w:val="0"/>
          <w:numId w:val="2"/>
        </w:numPr>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Cs w:val="21"/>
          <w:highlight w:val="none"/>
          <w:u w:val="none"/>
          <w:lang w:val="en-US" w:eastAsia="zh-CN"/>
        </w:rPr>
      </w:pPr>
      <w:r>
        <w:rPr>
          <w:rFonts w:hint="eastAsia" w:ascii="仿宋" w:hAnsi="仿宋" w:eastAsia="仿宋" w:cs="仿宋"/>
          <w:color w:val="auto"/>
          <w:szCs w:val="21"/>
          <w:highlight w:val="none"/>
          <w:u w:val="none"/>
          <w:lang w:val="en-US" w:eastAsia="zh-CN"/>
        </w:rPr>
        <w:t>供应商须承诺：完全按照采购内容与要求完成印刷服务。</w:t>
      </w:r>
    </w:p>
    <w:p w14:paraId="774AF298">
      <w:pPr>
        <w:pStyle w:val="2"/>
        <w:keepNext w:val="0"/>
        <w:keepLines w:val="0"/>
        <w:pageBreakBefore w:val="0"/>
        <w:widowControl/>
        <w:numPr>
          <w:ilvl w:val="0"/>
          <w:numId w:val="2"/>
        </w:numPr>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s="仿宋"/>
          <w:color w:val="auto"/>
          <w:szCs w:val="21"/>
          <w:highlight w:val="none"/>
          <w:u w:val="none"/>
          <w:lang w:val="en-US" w:eastAsia="zh-CN"/>
        </w:rPr>
      </w:pPr>
      <w:r>
        <w:rPr>
          <w:rFonts w:hint="eastAsia" w:ascii="仿宋" w:hAnsi="仿宋" w:eastAsia="仿宋" w:cs="仿宋"/>
          <w:color w:val="auto"/>
          <w:szCs w:val="21"/>
          <w:highlight w:val="none"/>
          <w:u w:val="none"/>
          <w:lang w:val="en-US" w:eastAsia="zh-CN"/>
        </w:rPr>
        <w:t>供应商须承诺：严格按照采购人要求提供免费配送服务。</w:t>
      </w:r>
    </w:p>
    <w:p w14:paraId="01EDEF5C">
      <w:pPr>
        <w:pStyle w:val="2"/>
        <w:keepNext w:val="0"/>
        <w:keepLines w:val="0"/>
        <w:pageBreakBefore w:val="0"/>
        <w:widowControl/>
        <w:numPr>
          <w:ilvl w:val="0"/>
          <w:numId w:val="2"/>
        </w:numPr>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s="仿宋"/>
          <w:color w:val="auto"/>
          <w:szCs w:val="21"/>
          <w:highlight w:val="none"/>
          <w:u w:val="none"/>
          <w:lang w:val="en-US" w:eastAsia="zh-CN"/>
        </w:rPr>
      </w:pPr>
      <w:r>
        <w:rPr>
          <w:rFonts w:hint="eastAsia" w:ascii="仿宋" w:hAnsi="仿宋" w:eastAsia="仿宋" w:cs="仿宋"/>
          <w:color w:val="auto"/>
          <w:szCs w:val="21"/>
          <w:highlight w:val="none"/>
          <w:u w:val="none"/>
          <w:lang w:val="en-US" w:eastAsia="zh-CN"/>
        </w:rPr>
        <w:t>供应商须承诺：印刷数量完全符合采购人需求。</w:t>
      </w:r>
    </w:p>
    <w:p w14:paraId="2A6794B0"/>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8E5201"/>
    <w:multiLevelType w:val="singleLevel"/>
    <w:tmpl w:val="228E5201"/>
    <w:lvl w:ilvl="0" w:tentative="0">
      <w:start w:val="2"/>
      <w:numFmt w:val="chineseCounting"/>
      <w:suff w:val="nothing"/>
      <w:lvlText w:val="%1、"/>
      <w:lvlJc w:val="left"/>
      <w:rPr>
        <w:rFonts w:hint="eastAsia"/>
      </w:rPr>
    </w:lvl>
  </w:abstractNum>
  <w:abstractNum w:abstractNumId="1">
    <w:nsid w:val="2E87DADD"/>
    <w:multiLevelType w:val="singleLevel"/>
    <w:tmpl w:val="2E87DADD"/>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941109"/>
    <w:rsid w:val="09941109"/>
    <w:rsid w:val="34C44C99"/>
    <w:rsid w:val="666F77CE"/>
    <w:rsid w:val="686708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w:basedOn w:val="1"/>
    <w:next w:val="1"/>
    <w:qFormat/>
    <w:uiPriority w:val="0"/>
    <w:pPr>
      <w:spacing w:afterLines="50" w:line="360" w:lineRule="auto"/>
    </w:pPr>
    <w:rPr>
      <w:rFonts w:ascii="宋体" w:hAnsi="宋体"/>
      <w:color w:val="000000"/>
      <w:sz w:val="24"/>
    </w:rPr>
  </w:style>
  <w:style w:type="paragraph" w:styleId="4">
    <w:name w:val="Body Text Indent"/>
    <w:basedOn w:val="1"/>
    <w:unhideWhenUsed/>
    <w:qFormat/>
    <w:uiPriority w:val="99"/>
    <w:pPr>
      <w:spacing w:after="120"/>
      <w:ind w:left="420" w:leftChars="200"/>
    </w:pPr>
  </w:style>
  <w:style w:type="paragraph" w:styleId="5">
    <w:name w:val="Body Text First Indent"/>
    <w:basedOn w:val="3"/>
    <w:next w:val="6"/>
    <w:unhideWhenUsed/>
    <w:qFormat/>
    <w:uiPriority w:val="0"/>
    <w:pPr>
      <w:spacing w:afterLines="0" w:line="240" w:lineRule="auto"/>
      <w:ind w:firstLine="420" w:firstLineChars="100"/>
    </w:pPr>
    <w:rPr>
      <w:rFonts w:ascii="Times New Roman" w:hAnsi="Times New Roman"/>
      <w:color w:val="auto"/>
      <w:sz w:val="18"/>
      <w:szCs w:val="18"/>
    </w:rPr>
  </w:style>
  <w:style w:type="paragraph" w:styleId="6">
    <w:name w:val="Body Text First Indent 2"/>
    <w:basedOn w:val="4"/>
    <w:unhideWhenUsed/>
    <w:qFormat/>
    <w:uiPriority w:val="99"/>
    <w:pPr>
      <w:spacing w:before="100" w:beforeAutospacing="1"/>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2026-09-01T07:56:00Z</dcterms:created>
  <dc:creator>东腻</dc:creator>
  <cp:lastModifiedBy>东腻</cp:lastModifiedBy>
  <dcterms:modified xsi:type="dcterms:W3CDTF">2026-09-01T07:56:55Z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9A5849F204054E5F8FB844EE4AC828A2_11</vt:lpwstr>
  </property>
</Properties>
</file>