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版本号：慧科ZX-CG01074BF20260606002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2026年陕西省西部计划志愿者商业保险采购项目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慧科ZX-CG01074BF</w:t>
      </w:r>
      <w:r>
        <w:br/>
      </w:r>
      <w:r>
        <w:br/>
      </w:r>
      <w:r>
        <w:br/>
      </w:r>
    </w:p>
    <w:p>
      <w:pPr>
        <w:pStyle w:val="null3"/>
        <w:jc w:val="center"/>
        <w:outlineLvl w:val="2"/>
      </w:pPr>
      <w:r>
        <w:rPr>
          <w:rFonts w:ascii="仿宋_GB2312" w:hAnsi="仿宋_GB2312" w:cs="仿宋_GB2312" w:eastAsia="仿宋_GB2312"/>
          <w:sz w:val="28"/>
          <w:b/>
        </w:rPr>
        <w:t>团省委机关</w:t>
      </w:r>
    </w:p>
    <w:p>
      <w:pPr>
        <w:pStyle w:val="null3"/>
        <w:jc w:val="center"/>
        <w:outlineLvl w:val="2"/>
      </w:pPr>
      <w:r>
        <w:rPr>
          <w:rFonts w:ascii="仿宋_GB2312" w:hAnsi="仿宋_GB2312" w:cs="仿宋_GB2312" w:eastAsia="仿宋_GB2312"/>
          <w:sz w:val="28"/>
          <w:b/>
        </w:rPr>
        <w:t>陕西慧科工程管理咨询有限公司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陕西慧科工程管理咨询有限公司</w:t>
      </w:r>
      <w:r>
        <w:rPr>
          <w:rFonts w:ascii="仿宋_GB2312" w:hAnsi="仿宋_GB2312" w:cs="仿宋_GB2312" w:eastAsia="仿宋_GB2312"/>
        </w:rPr>
        <w:t>（以下简称“代理机构”）受</w:t>
      </w:r>
      <w:r>
        <w:rPr>
          <w:rFonts w:ascii="仿宋_GB2312" w:hAnsi="仿宋_GB2312" w:cs="仿宋_GB2312" w:eastAsia="仿宋_GB2312"/>
        </w:rPr>
        <w:t>团省委机关</w:t>
      </w:r>
      <w:r>
        <w:rPr>
          <w:rFonts w:ascii="仿宋_GB2312" w:hAnsi="仿宋_GB2312" w:cs="仿宋_GB2312" w:eastAsia="仿宋_GB2312"/>
        </w:rPr>
        <w:t>委托，拟对</w:t>
      </w:r>
      <w:r>
        <w:rPr>
          <w:rFonts w:ascii="仿宋_GB2312" w:hAnsi="仿宋_GB2312" w:cs="仿宋_GB2312" w:eastAsia="仿宋_GB2312"/>
        </w:rPr>
        <w:t>2026年陕西省西部计划志愿者商业保险采购项目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慧科ZX-CG01074BF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2026年陕西省西部计划志愿者商业保险采购项目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中国共产主义青年团陕西省委员会2026年陕西省西部计划志愿者商业保险采购项目，保险人数:1445人，保险期限：一年。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1、有效的主体资格证明：供应商为合法注册的法人、其他组织或自然人，提供营业执照等证明文件。</w:t>
      </w:r>
    </w:p>
    <w:p>
      <w:pPr>
        <w:pStyle w:val="null3"/>
      </w:pPr>
      <w:r>
        <w:rPr>
          <w:rFonts w:ascii="仿宋_GB2312" w:hAnsi="仿宋_GB2312" w:cs="仿宋_GB2312" w:eastAsia="仿宋_GB2312"/>
        </w:rPr>
        <w:t>2、财务状况报告：供应商提供2024年度或2025年度经审计的财务报告或磋商截止时间前三个月内其基本开户银行出具的资信证明及账户开户许可证明材料或财政部门认可的政府采购专业担保机构开具的投标担保函。</w:t>
      </w:r>
    </w:p>
    <w:p>
      <w:pPr>
        <w:pStyle w:val="null3"/>
      </w:pPr>
      <w:r>
        <w:rPr>
          <w:rFonts w:ascii="仿宋_GB2312" w:hAnsi="仿宋_GB2312" w:cs="仿宋_GB2312" w:eastAsia="仿宋_GB2312"/>
        </w:rPr>
        <w:t>3、税收缴纳证明：提供响应文件递交截止日前一年内已缴存的至少一个月的纳税证明或完税证明。依法免税的供应商应提供相关文件证明。</w:t>
      </w:r>
    </w:p>
    <w:p>
      <w:pPr>
        <w:pStyle w:val="null3"/>
      </w:pPr>
      <w:r>
        <w:rPr>
          <w:rFonts w:ascii="仿宋_GB2312" w:hAnsi="仿宋_GB2312" w:cs="仿宋_GB2312" w:eastAsia="仿宋_GB2312"/>
        </w:rPr>
        <w:t>4、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5、专业技术能力的声明：提供具有履行本合同所必需的设备和专业技术能力的声明或承诺。</w:t>
      </w:r>
    </w:p>
    <w:p>
      <w:pPr>
        <w:pStyle w:val="null3"/>
      </w:pPr>
      <w:r>
        <w:rPr>
          <w:rFonts w:ascii="仿宋_GB2312" w:hAnsi="仿宋_GB2312" w:cs="仿宋_GB2312" w:eastAsia="仿宋_GB2312"/>
        </w:rPr>
        <w:t>6、没有重大违法记录的书面声明：提供参加政府采购活动前三年内在经营活动中没有重大违法记录的书面声明。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7、供应商资质：供应商须具有中国银行保险监督管理委员会颁发的经营保险业务许可证（同一保险机构只允许其总公司或一家分支机构参与磋商）</w:t>
      </w:r>
    </w:p>
    <w:p>
      <w:pPr>
        <w:pStyle w:val="null3"/>
      </w:pPr>
      <w:r>
        <w:rPr>
          <w:rFonts w:ascii="仿宋_GB2312" w:hAnsi="仿宋_GB2312" w:cs="仿宋_GB2312" w:eastAsia="仿宋_GB2312"/>
        </w:rPr>
        <w:t>8、供应商信用：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pPr>
        <w:pStyle w:val="null3"/>
      </w:pPr>
      <w:r>
        <w:rPr>
          <w:rFonts w:ascii="仿宋_GB2312" w:hAnsi="仿宋_GB2312" w:cs="仿宋_GB2312" w:eastAsia="仿宋_GB2312"/>
        </w:rPr>
        <w:t>9、法定代表人（单位负责人）身份证明或法定代表人（单位负责人）授权委托书：法定代表人（单位负责人）参加磋商的，须提供本人身份证复印件（附在响应文件中）；法定代表人（单位负责人）授权他人参加磋商的，须提供法定代表人（单位负责人）授权委托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团省委机关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陕西省西安市碑林区红缨路158号共青团陕西省委员会</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029-88422425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陕西慧科工程管理咨询有限公司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陕西省西安市高新区锦业一路56号研祥城市广场C座3楼C-306室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达涛涛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029-89384142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采购包1：505,750.00元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人依据采购预算向采购代理机构交纳招标代理服务费，供应商可将此费用考虑在磋商报价中，采购人不再单独支付。招标代理服务收费按代理服务费的金额参照国家发展计划委员会计价格[2002]1980号文件的规定标准计算，不足6000元按照6000元计。 2.成交供应商在取得成交通知书时，以转账或现金形式向采购代理机构缴付招标代理服务费，代理费缴纳账号如下： 开户名称：陕西慧科工程管理咨询有限公司 开户银行：交通银行股份有限公司西安光华路支行 账 号：611301135013001841428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团省委机关</w:t>
      </w:r>
      <w:r>
        <w:rPr>
          <w:rFonts w:ascii="仿宋_GB2312" w:hAnsi="仿宋_GB2312" w:cs="仿宋_GB2312" w:eastAsia="仿宋_GB2312"/>
        </w:rPr>
        <w:t>和</w:t>
      </w:r>
      <w:r>
        <w:rPr>
          <w:rFonts w:ascii="仿宋_GB2312" w:hAnsi="仿宋_GB2312" w:cs="仿宋_GB2312" w:eastAsia="仿宋_GB2312"/>
        </w:rPr>
        <w:t>陕西慧科工程管理咨询有限公司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团省委机关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陕西慧科工程管理咨询有限公司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团省委机关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陕西慧科工程管理咨询有限公司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1、按磋商文件、响应文件及合同约定执行；2、国家标准、规范。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联系人：达涛涛</w:t>
      </w:r>
    </w:p>
    <w:p>
      <w:pPr>
        <w:pStyle w:val="null3"/>
      </w:pPr>
      <w:r>
        <w:rPr>
          <w:rFonts w:ascii="仿宋_GB2312" w:hAnsi="仿宋_GB2312" w:cs="仿宋_GB2312" w:eastAsia="仿宋_GB2312"/>
        </w:rPr>
        <w:t>联系电话：029-89384142</w:t>
      </w:r>
    </w:p>
    <w:p>
      <w:pPr>
        <w:pStyle w:val="null3"/>
      </w:pPr>
      <w:r>
        <w:rPr>
          <w:rFonts w:ascii="仿宋_GB2312" w:hAnsi="仿宋_GB2312" w:cs="仿宋_GB2312" w:eastAsia="仿宋_GB2312"/>
        </w:rPr>
        <w:t>地址：陕西省西安市高新区锦业一路56号研祥城市广场C座3楼C-306室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中国共产主义青年团陕西省委员会2026年陕西省西部计划志愿者商业保险采购项目，保险人数:1445人，保险期限：一年。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505,750.00</w:t>
      </w:r>
    </w:p>
    <w:p>
      <w:pPr>
        <w:pStyle w:val="null3"/>
      </w:pPr>
      <w:r>
        <w:rPr>
          <w:rFonts w:ascii="仿宋_GB2312" w:hAnsi="仿宋_GB2312" w:cs="仿宋_GB2312" w:eastAsia="仿宋_GB2312"/>
        </w:rPr>
        <w:t>采购包最高限价（元）: 505,750.00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商业保险</w:t>
            </w:r>
          </w:p>
        </w:tc>
        <w:tc>
          <w:tcPr>
            <w:tcW w:type="dxa" w:w="755"/>
          </w:tcPr>
          <w:p>
            <w:pPr>
              <w:pStyle w:val="null3"/>
              <w:jc w:val="right"/>
            </w:pPr>
            <w:r>
              <w:rPr>
                <w:rFonts w:ascii="仿宋_GB2312" w:hAnsi="仿宋_GB2312" w:cs="仿宋_GB2312" w:eastAsia="仿宋_GB2312"/>
              </w:rPr>
              <w:t>1,445.00</w:t>
            </w:r>
          </w:p>
        </w:tc>
        <w:tc>
          <w:tcPr>
            <w:tcW w:type="dxa" w:w="755"/>
          </w:tcPr>
          <w:p>
            <w:pPr>
              <w:pStyle w:val="null3"/>
              <w:jc w:val="right"/>
            </w:pPr>
            <w:r>
              <w:rPr>
                <w:rFonts w:ascii="仿宋_GB2312" w:hAnsi="仿宋_GB2312" w:cs="仿宋_GB2312" w:eastAsia="仿宋_GB2312"/>
              </w:rPr>
              <w:t>505,750.00</w:t>
            </w:r>
          </w:p>
        </w:tc>
        <w:tc>
          <w:tcPr>
            <w:tcW w:type="dxa" w:w="755"/>
          </w:tcPr>
          <w:p>
            <w:pPr>
              <w:pStyle w:val="null3"/>
            </w:pPr>
            <w:r>
              <w:rPr>
                <w:rFonts w:ascii="仿宋_GB2312" w:hAnsi="仿宋_GB2312" w:cs="仿宋_GB2312" w:eastAsia="仿宋_GB2312"/>
              </w:rPr>
              <w:t>人</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标的名称：商业保险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一．技术要求</w:t>
            </w:r>
          </w:p>
          <w:p>
            <w:pPr>
              <w:pStyle w:val="null3"/>
            </w:pPr>
            <w:r>
              <w:rPr>
                <w:rFonts w:ascii="仿宋_GB2312" w:hAnsi="仿宋_GB2312" w:cs="仿宋_GB2312" w:eastAsia="仿宋_GB2312"/>
              </w:rPr>
              <w:t>1、项目名称：中国共产主义青年团陕西省委员</w:t>
            </w:r>
            <w:r>
              <w:rPr>
                <w:rFonts w:ascii="仿宋_GB2312" w:hAnsi="仿宋_GB2312" w:cs="仿宋_GB2312" w:eastAsia="仿宋_GB2312"/>
              </w:rPr>
              <w:t>202</w:t>
            </w:r>
            <w:r>
              <w:rPr>
                <w:rFonts w:ascii="仿宋_GB2312" w:hAnsi="仿宋_GB2312" w:cs="仿宋_GB2312" w:eastAsia="仿宋_GB2312"/>
              </w:rPr>
              <w:t>6</w:t>
            </w:r>
            <w:r>
              <w:rPr>
                <w:rFonts w:ascii="仿宋_GB2312" w:hAnsi="仿宋_GB2312" w:cs="仿宋_GB2312" w:eastAsia="仿宋_GB2312"/>
              </w:rPr>
              <w:t>年陕西省西部计划志愿者商业保险</w:t>
            </w:r>
            <w:r>
              <w:rPr>
                <w:rFonts w:ascii="仿宋_GB2312" w:hAnsi="仿宋_GB2312" w:cs="仿宋_GB2312" w:eastAsia="仿宋_GB2312"/>
              </w:rPr>
              <w:t>采购项目</w:t>
            </w:r>
          </w:p>
          <w:p>
            <w:pPr>
              <w:pStyle w:val="null3"/>
            </w:pPr>
            <w:r>
              <w:rPr>
                <w:rFonts w:ascii="仿宋_GB2312" w:hAnsi="仿宋_GB2312" w:cs="仿宋_GB2312" w:eastAsia="仿宋_GB2312"/>
              </w:rPr>
              <w:t>2、保险人数: 1445人</w:t>
            </w:r>
          </w:p>
          <w:p>
            <w:pPr>
              <w:pStyle w:val="null3"/>
            </w:pPr>
            <w:r>
              <w:rPr>
                <w:rFonts w:ascii="仿宋_GB2312" w:hAnsi="仿宋_GB2312" w:cs="仿宋_GB2312" w:eastAsia="仿宋_GB2312"/>
              </w:rPr>
              <w:t>3、保险期限：一年</w:t>
            </w:r>
          </w:p>
          <w:p>
            <w:pPr>
              <w:pStyle w:val="null3"/>
            </w:pPr>
            <w:r>
              <w:rPr>
                <w:rFonts w:ascii="仿宋_GB2312" w:hAnsi="仿宋_GB2312" w:cs="仿宋_GB2312" w:eastAsia="仿宋_GB2312"/>
              </w:rPr>
              <w:t>二．技术指标及要求</w:t>
            </w:r>
          </w:p>
          <w:tbl>
            <w:tblPr>
              <w:tblBorders>
                <w:top w:val="none" w:color="000000" w:sz="4"/>
                <w:left w:val="none" w:color="000000" w:sz="4"/>
                <w:bottom w:val="none" w:color="000000" w:sz="4"/>
                <w:right w:val="none" w:color="000000" w:sz="4"/>
                <w:insideH w:val="none"/>
                <w:insideV w:val="none"/>
              </w:tblBorders>
            </w:tblPr>
            <w:tblGrid>
              <w:gridCol w:w="386"/>
              <w:gridCol w:w="342"/>
              <w:gridCol w:w="342"/>
              <w:gridCol w:w="525"/>
              <w:gridCol w:w="525"/>
              <w:gridCol w:w="433"/>
            </w:tblGrid>
            <w:tr>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保障项目</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保赔额度</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免赔额</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给付比例</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保险服务人群数量</w:t>
                  </w:r>
                </w:p>
              </w:tc>
              <w:tc>
                <w:tcPr>
                  <w:tcW w:type="dxa" w:w="4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单人</w:t>
                  </w:r>
                </w:p>
                <w:p>
                  <w:pPr>
                    <w:pStyle w:val="null3"/>
                    <w:jc w:val="center"/>
                  </w:pPr>
                  <w:r>
                    <w:rPr>
                      <w:rFonts w:ascii="仿宋_GB2312" w:hAnsi="仿宋_GB2312" w:cs="仿宋_GB2312" w:eastAsia="仿宋_GB2312"/>
                      <w:sz w:val="19"/>
                    </w:rPr>
                    <w:t>保费</w:t>
                  </w:r>
                </w:p>
              </w:tc>
            </w:tr>
            <w:tr>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意外身故</w:t>
                  </w:r>
                </w:p>
              </w:tc>
              <w:tc>
                <w:tcPr>
                  <w:tcW w:type="dxa" w:w="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≥50万元</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0</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c>
                <w:tcPr>
                  <w:tcW w:type="dxa" w:w="5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1445人</w:t>
                  </w:r>
                </w:p>
              </w:tc>
              <w:tc>
                <w:tcPr>
                  <w:tcW w:type="dxa" w:w="4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350元</w:t>
                  </w:r>
                </w:p>
              </w:tc>
            </w:tr>
            <w:tr>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疾病身故</w:t>
                  </w:r>
                </w:p>
              </w:tc>
              <w:tc>
                <w:tcPr>
                  <w:tcW w:type="dxa" w:w="342"/>
                  <w:vMerge/>
                  <w:tcBorders>
                    <w:top w:val="none" w:color="000000" w:sz="4"/>
                    <w:left w:val="none" w:color="000000" w:sz="4"/>
                    <w:bottom w:val="single" w:color="000000" w:sz="4"/>
                    <w:right w:val="single" w:color="000000" w:sz="4"/>
                  </w:tcBorders>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0</w:t>
                  </w:r>
                </w:p>
              </w:tc>
              <w:tc>
                <w:tcPr>
                  <w:tcW w:type="dxa" w:w="52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c>
                <w:tcPr>
                  <w:tcW w:type="dxa" w:w="525"/>
                  <w:vMerge/>
                  <w:tcBorders>
                    <w:top w:val="none" w:color="000000" w:sz="4"/>
                    <w:left w:val="none" w:color="000000" w:sz="4"/>
                    <w:bottom w:val="single" w:color="000000" w:sz="4"/>
                    <w:right w:val="single" w:color="000000" w:sz="4"/>
                  </w:tcBorders>
                </w:tcPr>
                <w:p/>
              </w:tc>
              <w:tc>
                <w:tcPr>
                  <w:tcW w:type="dxa" w:w="433"/>
                  <w:vMerge/>
                  <w:tcBorders>
                    <w:top w:val="none" w:color="000000" w:sz="4"/>
                    <w:left w:val="none" w:color="000000" w:sz="4"/>
                    <w:bottom w:val="single" w:color="000000" w:sz="4"/>
                    <w:right w:val="single" w:color="000000" w:sz="4"/>
                  </w:tcBorders>
                </w:tcPr>
                <w:p/>
              </w:tc>
            </w:tr>
            <w:tr>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意外伤残</w:t>
                  </w:r>
                </w:p>
              </w:tc>
              <w:tc>
                <w:tcPr>
                  <w:tcW w:type="dxa" w:w="342"/>
                  <w:vMerge/>
                  <w:tcBorders>
                    <w:top w:val="none" w:color="000000" w:sz="4"/>
                    <w:left w:val="none" w:color="000000" w:sz="4"/>
                    <w:bottom w:val="single" w:color="000000" w:sz="4"/>
                    <w:right w:val="single" w:color="000000" w:sz="4"/>
                  </w:tcBorders>
                </w:tcPr>
                <w:p/>
              </w:tc>
              <w:tc>
                <w:tcPr>
                  <w:tcW w:type="dxa" w:w="86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按伤残程度给付</w:t>
                  </w:r>
                </w:p>
              </w:tc>
              <w:tc>
                <w:tcPr>
                  <w:tcW w:type="dxa" w:w="525"/>
                  <w:vMerge/>
                  <w:tcBorders>
                    <w:top w:val="none" w:color="000000" w:sz="4"/>
                    <w:left w:val="none" w:color="000000" w:sz="4"/>
                    <w:bottom w:val="single" w:color="000000" w:sz="4"/>
                    <w:right w:val="single" w:color="000000" w:sz="4"/>
                  </w:tcBorders>
                </w:tcPr>
                <w:p/>
              </w:tc>
              <w:tc>
                <w:tcPr>
                  <w:tcW w:type="dxa" w:w="433"/>
                  <w:vMerge/>
                  <w:tcBorders>
                    <w:top w:val="none" w:color="000000" w:sz="4"/>
                    <w:left w:val="none" w:color="000000" w:sz="4"/>
                    <w:bottom w:val="single" w:color="000000" w:sz="4"/>
                    <w:right w:val="single" w:color="000000" w:sz="4"/>
                  </w:tcBorders>
                </w:tcPr>
                <w:p/>
              </w:tc>
            </w:tr>
            <w:tr>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住院医疗</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≥5万元</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0元</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c>
                <w:tcPr>
                  <w:tcW w:type="dxa" w:w="525"/>
                  <w:vMerge/>
                  <w:tcBorders>
                    <w:top w:val="none" w:color="000000" w:sz="4"/>
                    <w:left w:val="none" w:color="000000" w:sz="4"/>
                    <w:bottom w:val="single" w:color="000000" w:sz="4"/>
                    <w:right w:val="single" w:color="000000" w:sz="4"/>
                  </w:tcBorders>
                </w:tcPr>
                <w:p/>
              </w:tc>
              <w:tc>
                <w:tcPr>
                  <w:tcW w:type="dxa" w:w="433"/>
                  <w:vMerge/>
                  <w:tcBorders>
                    <w:top w:val="none" w:color="000000" w:sz="4"/>
                    <w:left w:val="none" w:color="000000" w:sz="4"/>
                    <w:bottom w:val="single" w:color="000000" w:sz="4"/>
                    <w:right w:val="single" w:color="000000" w:sz="4"/>
                  </w:tcBorders>
                </w:tcP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备注：</w:t>
                  </w:r>
                  <w:r>
                    <w:rPr>
                      <w:rFonts w:ascii="仿宋_GB2312" w:hAnsi="仿宋_GB2312" w:cs="仿宋_GB2312" w:eastAsia="仿宋_GB2312"/>
                      <w:sz w:val="19"/>
                      <w:b/>
                    </w:rPr>
                    <w:t>本项目采用固定预算报价，价格不作竞争。各供应商须严格按照采购预算单价及总价进行响应报价，不得</w:t>
                  </w:r>
                  <w:r>
                    <w:rPr>
                      <w:rFonts w:ascii="仿宋_GB2312" w:hAnsi="仿宋_GB2312" w:cs="仿宋_GB2312" w:eastAsia="仿宋_GB2312"/>
                      <w:sz w:val="19"/>
                      <w:b/>
                    </w:rPr>
                    <w:t>增减</w:t>
                  </w:r>
                  <w:r>
                    <w:rPr>
                      <w:rFonts w:ascii="仿宋_GB2312" w:hAnsi="仿宋_GB2312" w:cs="仿宋_GB2312" w:eastAsia="仿宋_GB2312"/>
                      <w:sz w:val="19"/>
                      <w:b/>
                    </w:rPr>
                    <w:t>。否则按无效标处理。</w:t>
                  </w:r>
                </w:p>
              </w:tc>
            </w:tr>
          </w:tbl>
          <w:p>
            <w:pPr>
              <w:pStyle w:val="null3"/>
            </w:pPr>
            <w:r>
              <w:rPr>
                <w:rFonts w:ascii="仿宋_GB2312" w:hAnsi="仿宋_GB2312" w:cs="仿宋_GB2312" w:eastAsia="仿宋_GB2312"/>
              </w:rPr>
              <w:t>（</w:t>
            </w:r>
            <w:r>
              <w:rPr>
                <w:rFonts w:ascii="仿宋_GB2312" w:hAnsi="仿宋_GB2312" w:cs="仿宋_GB2312" w:eastAsia="仿宋_GB2312"/>
              </w:rPr>
              <w:t>1）意外身故保险金：在保险责任有效期内，被保险人因意外伤害身故，保险人按其保险金额给付意外身故保险金。</w:t>
            </w:r>
          </w:p>
          <w:p>
            <w:pPr>
              <w:pStyle w:val="null3"/>
            </w:pPr>
            <w:r>
              <w:rPr>
                <w:rFonts w:ascii="仿宋_GB2312" w:hAnsi="仿宋_GB2312" w:cs="仿宋_GB2312" w:eastAsia="仿宋_GB2312"/>
              </w:rPr>
              <w:t>（</w:t>
            </w:r>
            <w:r>
              <w:rPr>
                <w:rFonts w:ascii="仿宋_GB2312" w:hAnsi="仿宋_GB2312" w:cs="仿宋_GB2312" w:eastAsia="仿宋_GB2312"/>
              </w:rPr>
              <w:t>2）疾病身故保险金：在保险责任有效期内，被保险人因疾病身故，保险人按其保险金额给付疾病身故保险金。</w:t>
            </w:r>
          </w:p>
          <w:p>
            <w:pPr>
              <w:pStyle w:val="null3"/>
            </w:pPr>
            <w:r>
              <w:rPr>
                <w:rFonts w:ascii="仿宋_GB2312" w:hAnsi="仿宋_GB2312" w:cs="仿宋_GB2312" w:eastAsia="仿宋_GB2312"/>
              </w:rPr>
              <w:t>（</w:t>
            </w:r>
            <w:r>
              <w:rPr>
                <w:rFonts w:ascii="仿宋_GB2312" w:hAnsi="仿宋_GB2312" w:cs="仿宋_GB2312" w:eastAsia="仿宋_GB2312"/>
              </w:rPr>
              <w:t>3）意外伤残保险金：在保险责任有效期内，被保险人遭受意外伤害，并自该意外伤害发生之日起一百八十日内因该意外伤害导致身体伤残的，根据比例给付伤残保险金。</w:t>
            </w:r>
          </w:p>
          <w:p>
            <w:pPr>
              <w:pStyle w:val="null3"/>
            </w:pPr>
            <w:r>
              <w:rPr>
                <w:rFonts w:ascii="仿宋_GB2312" w:hAnsi="仿宋_GB2312" w:cs="仿宋_GB2312" w:eastAsia="仿宋_GB2312"/>
                <w:sz w:val="21"/>
              </w:rPr>
              <w:t>（</w:t>
            </w:r>
            <w:r>
              <w:rPr>
                <w:rFonts w:ascii="仿宋_GB2312" w:hAnsi="仿宋_GB2312" w:cs="仿宋_GB2312" w:eastAsia="仿宋_GB2312"/>
                <w:sz w:val="21"/>
              </w:rPr>
              <w:t>4）住院医疗保险金：在保险责任有效期内，被保险人因意外伤害或疾病，在二级以上（含二级）医院或保险公司认可的其他医疗机构实际支出的、并在当地社会医疗保险部门规定的基本医疗保险范围内住院医疗费用，保险公司在保险金额约定范围内，保险人对每次就诊按照免赔0元，100%比例赔付。若被保险人已经从当地社会基本医疗保险、公费医疗或其他途径获得补偿，保险公司仅按剩余部分进行给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自合同签订之日起365日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中国共产主义青年团陕西省委员会指定地点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1、按磋商文件、响应文件及合同约定执行；2、国家标准、规范。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进度款，成交单位出具正式保险单，达到付款条件起30个工作日内，支付合同总金额的100.0%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1、恶意质疑、投诉的法律后果 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 2、成交人在领取成交通知书时提供纸质版响应文件两套，应通过专用制作软件直接打印，确保与电子响应文件保持一致，不允许修改和补充。 3、最终报价如出现异常低价，执行财库〔2026〕2号《关于推动解决政府采购异常低价问题的通知》，评标委员会可在最后报价审查表中审核是否通过审查。 4、采购人应按照招标文件和成交人响应文件，在成交通知书发出之日起25日内与成交人签订采购合同，并进行备案和公示。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供应商为合法注册的法人、其他组织或自然人，提供营业执照等证明文件。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供应商提供2024年度或2025年度经审计的财务报告或磋商截止时间前三个月内其基本开户银行出具的资信证明及账户开户许可证明材料或财政部门认可的政府采购专业担保机构开具的投标担保函。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提供具有履行本合同所必需的设备和专业技术能力的声明或承诺。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供应商须具有中国银行保险监督管理委员会颁发的经营保险业务许可证（同一保险机构只允许其总公司或一家分支机构参与磋商）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法定代表人（单位负责人）身份证明或法定代表人（单位负责人）授权委托书</w:t>
            </w:r>
          </w:p>
        </w:tc>
        <w:tc>
          <w:tcPr>
            <w:tcW w:type="dxa" w:w="3322"/>
          </w:tcPr>
          <w:p>
            <w:pPr>
              <w:pStyle w:val="null3"/>
            </w:pPr>
            <w:r>
              <w:rPr>
                <w:rFonts w:ascii="仿宋_GB2312" w:hAnsi="仿宋_GB2312" w:cs="仿宋_GB2312" w:eastAsia="仿宋_GB2312"/>
              </w:rPr>
              <w:t>法定代表人（单位负责人）参加磋商的，须提供本人身份证复印件（附在响应文件中）；法定代表人（单位负责人）授权他人参加磋商的，须提供法定代表人（单位负责人）授权委托书。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服务方案 标的清单 报价表 商务应答表.docx 服务内容及服务邀请应答表.docx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服务方案 标的清单 报价表 商务应答表.docx 服务内容及服务邀请应答表.docx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1、本项目采用固定预算报价，价格不作竞争。各供应商须严格按照采购预算单价及总价进行响应报价，不得高于或低于规定金额。否则按无效标处理。 2、响应单位对被保人保额承诺情况不得低于技术指标及要求，其中有一条不满足，则按无效响应处理。</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其他无效磋商的情形</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服务方案 标的清单 报价表 商务应答表.docx 服务内容及服务邀请应答表.docx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项目分析及理解</w:t>
            </w:r>
          </w:p>
        </w:tc>
        <w:tc>
          <w:tcPr>
            <w:tcW w:type="dxa" w:w="2492"/>
          </w:tcPr>
          <w:p>
            <w:pPr>
              <w:pStyle w:val="null3"/>
            </w:pPr>
            <w:r>
              <w:rPr>
                <w:rFonts w:ascii="仿宋_GB2312" w:hAnsi="仿宋_GB2312" w:cs="仿宋_GB2312" w:eastAsia="仿宋_GB2312"/>
              </w:rPr>
              <w:t>供应商对本项目的背景、目标及定位理解清晰，对国家相关领域政策、标准的掌握熟练，对本项目需求分析和论述明确。 ①思路清晰，创新整合分析透彻、论述内容展现前瞻性的计5分； ②思路清晰，论述内容深度洞察能力强的计4分； ③思路基本清晰，论述内容具有结构化认知的计3分； ④思路相对清晰，论述内容具有层次感、分析到位的计2分。 ⑤思路欠缺，论述内容仅限于基础理解的计1分。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根据供应商针对本项目的服务方案进行综合评审。包括以下内容：①承保服务和理赔服务方案；②理赔时效方案③对被保险人提供理赔材料有欠缺的协助处理方案；④服务流程方案；⑤保额方案；⑥保密服务方案（供应商设有固定的分支机构可覆盖陕西省范围进行属地服务。供应商需提供行政区域分支机构明细和对应的有效营业执照复印件、经营保险业务许可证复印件并加盖公章。按供应商其省内有效网点数量进行综合评审）；⑦服务保证机制方案。对以上7项内容分别进行评审，评审标准如下： 方案全面、合理、规范，可操作性强得5分； 方案比较合理和规范，有较强的可操作性得4分； 方案基本合理，有一定的可操作性得3分； 方案基本合理，可操作性不强得2分； 方案有缺漏，可操作性差得1分。 未提供相关内容不得分。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增值服务方案</w:t>
            </w:r>
          </w:p>
        </w:tc>
        <w:tc>
          <w:tcPr>
            <w:tcW w:type="dxa" w:w="2492"/>
          </w:tcPr>
          <w:p>
            <w:pPr>
              <w:pStyle w:val="null3"/>
            </w:pPr>
            <w:r>
              <w:rPr>
                <w:rFonts w:ascii="仿宋_GB2312" w:hAnsi="仿宋_GB2312" w:cs="仿宋_GB2312" w:eastAsia="仿宋_GB2312"/>
              </w:rPr>
              <w:t>供应商针对本项目要求提供的保障项目（意外身故、疾病身故、意外伤残、住院医疗），在此基础上每增加一项计2分，本项最高计10分。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根据供应商针对本项目的组织管理机构情况进行综合评审。包括以下内容：①针对本项目提供的组织管理机构；②人员岗位安排及职责；③人员管理、考核管理制度。 对以上3项内容分别进行评审，评审标准如下： 方案全面、合理、规范，可操作性强得5分； 方案比较合理和规范，有较强的可操作性得4分；方案基本合理，有一定的可操作性得3分； 方案基本合理，可操作性不强得2分；方案有缺漏，可操作性差得1分。 未提供相关内容不得分。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突发事件应急处理方案</w:t>
            </w:r>
          </w:p>
        </w:tc>
        <w:tc>
          <w:tcPr>
            <w:tcW w:type="dxa" w:w="2492"/>
          </w:tcPr>
          <w:p>
            <w:pPr>
              <w:pStyle w:val="null3"/>
            </w:pPr>
            <w:r>
              <w:rPr>
                <w:rFonts w:ascii="仿宋_GB2312" w:hAnsi="仿宋_GB2312" w:cs="仿宋_GB2312" w:eastAsia="仿宋_GB2312"/>
              </w:rPr>
              <w:t>根据供应商针对本项目应对突发事件的处理方案进行综合评审。包括以下内容：①针对本项目服务过程突发和临时事件的预计、应急处理能力；②应急管理制度及应急措施。对以上2项内容分别进行评审，评审标准如下： 方案全面、合理、规范，可操作性强得5分； 方案比较合理和规范，有较强的可操作性得4分； 方案基本合理，有一定的可操作性得3分； 方案基本合理，可操作性不强得2分； 方案有缺漏，可操作性差得1分。 未提供相关内容不得分。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合理化建议及服务承诺</w:t>
            </w:r>
          </w:p>
        </w:tc>
        <w:tc>
          <w:tcPr>
            <w:tcW w:type="dxa" w:w="2492"/>
          </w:tcPr>
          <w:p>
            <w:pPr>
              <w:pStyle w:val="null3"/>
            </w:pPr>
            <w:r>
              <w:rPr>
                <w:rFonts w:ascii="仿宋_GB2312" w:hAnsi="仿宋_GB2312" w:cs="仿宋_GB2312" w:eastAsia="仿宋_GB2312"/>
              </w:rPr>
              <w:t>根据供应商针对本项目的合理化建议及服务承诺方案进行综合评审。方案全面、合理、规范，可操作性强得5分； 方案比较合理和规范，有较强的可操作性得4分； 方案基本合理，有一定的可操作性得3分； 方案基本合理，可操作性不强得2分； 方案有缺漏，可操作性差得1分。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供应商提供2023年1月1日至今类似项目业绩（类似项目是指政府为特定人群采购的人身保险，以协议或成交通知书的复印件加盖公章为准）；每提供1个计2分，最多计20分，无业绩不计分。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