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版本号：DXZB-2026-051820260702002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现制现售饮用水检测设备采购项目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DXZB-2026-0518</w:t>
      </w:r>
      <w:r>
        <w:br/>
      </w:r>
      <w:r>
        <w:br/>
      </w:r>
      <w:r>
        <w:br/>
      </w:r>
    </w:p>
    <w:p>
      <w:pPr>
        <w:pStyle w:val="null3"/>
        <w:jc w:val="center"/>
        <w:outlineLvl w:val="2"/>
      </w:pPr>
      <w:r>
        <w:rPr>
          <w:rFonts w:ascii="仿宋_GB2312" w:hAnsi="仿宋_GB2312" w:cs="仿宋_GB2312" w:eastAsia="仿宋_GB2312"/>
          <w:sz w:val="28"/>
          <w:b/>
        </w:rPr>
        <w:t>汉中市疾病预防控制中心</w:t>
      </w:r>
    </w:p>
    <w:p>
      <w:pPr>
        <w:pStyle w:val="null3"/>
        <w:jc w:val="center"/>
        <w:outlineLvl w:val="2"/>
      </w:pPr>
      <w:r>
        <w:rPr>
          <w:rFonts w:ascii="仿宋_GB2312" w:hAnsi="仿宋_GB2312" w:cs="仿宋_GB2312" w:eastAsia="仿宋_GB2312"/>
          <w:sz w:val="28"/>
          <w:b/>
        </w:rPr>
        <w:t>陕西德信招标有限公司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陕西德信招标有限公司</w:t>
      </w:r>
      <w:r>
        <w:rPr>
          <w:rFonts w:ascii="仿宋_GB2312" w:hAnsi="仿宋_GB2312" w:cs="仿宋_GB2312" w:eastAsia="仿宋_GB2312"/>
        </w:rPr>
        <w:t>（以下简称“代理机构”）受</w:t>
      </w:r>
      <w:r>
        <w:rPr>
          <w:rFonts w:ascii="仿宋_GB2312" w:hAnsi="仿宋_GB2312" w:cs="仿宋_GB2312" w:eastAsia="仿宋_GB2312"/>
        </w:rPr>
        <w:t>汉中市疾病预防控制中心</w:t>
      </w:r>
      <w:r>
        <w:rPr>
          <w:rFonts w:ascii="仿宋_GB2312" w:hAnsi="仿宋_GB2312" w:cs="仿宋_GB2312" w:eastAsia="仿宋_GB2312"/>
        </w:rPr>
        <w:t>委托，拟对</w:t>
      </w:r>
      <w:r>
        <w:rPr>
          <w:rFonts w:ascii="仿宋_GB2312" w:hAnsi="仿宋_GB2312" w:cs="仿宋_GB2312" w:eastAsia="仿宋_GB2312"/>
        </w:rPr>
        <w:t>现制现售饮用水检测设备采购项目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DXZB-2026-0518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现制现售饮用水检测设备采购项目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现制现售饮⽤⽔检测设备，菌落计数仪1台、溶菌性总固体测定仪1台，细胞培养专⽤摇床1台。 按照《汉中市现制现售饮⽤⽔监督检测⼯作⽅案》⼯作要求，⾼质量完成现制现售饮⽤⽔监测⼯作，提⾼现制现售饮⽤⽔检测的质量，完成⼯作中涉及的参数。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采购包1（汉中市疾病预防控制中心现制现售饮用水检测设备采购项目）：属于专门面向小微企业采购。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1、营业执照：供应商需具备独立民事责任能力，提供有效营业执照（或事业法人证、自然人身份证明），证明主体合法存续。</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 “失信被执行人”、“重大税收违法案件当事人名单” 中，也未列入中国政府采购网 “政府采购严重违法失信行为记录名单” 中，须提供《汉中市政府采购供应商资格承诺函》；</w:t>
      </w:r>
    </w:p>
    <w:p>
      <w:pPr>
        <w:pStyle w:val="null3"/>
      </w:pPr>
      <w:r>
        <w:rPr>
          <w:rFonts w:ascii="仿宋_GB2312" w:hAnsi="仿宋_GB2312" w:cs="仿宋_GB2312" w:eastAsia="仿宋_GB2312"/>
        </w:rPr>
        <w:t>4、本项目专门面向中小企业采购：须符合财政部 工业和信息化部《关于印发〈政府采购促进中小企业发展管理办法〉的通知》（财库〔2020〕46号）规定的中小企业参加，并提供《中小企业声明函》</w:t>
      </w:r>
    </w:p>
    <w:p>
      <w:pPr>
        <w:pStyle w:val="null3"/>
      </w:pPr>
      <w:r>
        <w:rPr>
          <w:rFonts w:ascii="仿宋_GB2312" w:hAnsi="仿宋_GB2312" w:cs="仿宋_GB2312" w:eastAsia="仿宋_GB2312"/>
        </w:rPr>
        <w:t>5、本项目不接受联合体投标：本项目不接受联合体投标，需提供非联合体书面声明。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汉中市天汉大道953号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汉中市疾病预防控制中心经办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赵恬钰、王清玺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029-82694900转8014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开户名称：陕西德信招标有限公司</w:t>
            </w:r>
          </w:p>
          <w:p>
            <w:pPr>
              <w:pStyle w:val="null3"/>
            </w:pPr>
            <w:r>
              <w:rPr>
                <w:rFonts w:ascii="仿宋_GB2312" w:hAnsi="仿宋_GB2312" w:cs="仿宋_GB2312" w:eastAsia="仿宋_GB2312"/>
              </w:rPr>
              <w:t>开户银行：西安银行东二环南段支行</w:t>
            </w:r>
          </w:p>
          <w:p>
            <w:pPr>
              <w:pStyle w:val="null3"/>
            </w:pPr>
            <w:r>
              <w:rPr>
                <w:rFonts w:ascii="仿宋_GB2312" w:hAnsi="仿宋_GB2312" w:cs="仿宋_GB2312" w:eastAsia="仿宋_GB2312"/>
              </w:rPr>
              <w:t>银行账号：209011580000073440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展和改革委员会办公厅关于招标代理服务收费有关问题的通知》（发改办价格〔2003〕857号）规定标准下浮10%，向中标（成交）供应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汉中市疾病预防控制中心</w:t>
      </w:r>
      <w:r>
        <w:rPr>
          <w:rFonts w:ascii="仿宋_GB2312" w:hAnsi="仿宋_GB2312" w:cs="仿宋_GB2312" w:eastAsia="仿宋_GB2312"/>
        </w:rPr>
        <w:t>和</w:t>
      </w:r>
      <w:r>
        <w:rPr>
          <w:rFonts w:ascii="仿宋_GB2312" w:hAnsi="仿宋_GB2312" w:cs="仿宋_GB2312" w:eastAsia="仿宋_GB2312"/>
        </w:rPr>
        <w:t>陕西德信招标有限公司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陕西德信招标有限公司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陕西德信招标有限公司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1、商务条款全部符合合同约定，所有交付文件齐全、合法有效；2、设备安装调试合格，连续运行稳定，无影响正常使用的故障；3、验收资料完整，验收记录规范，参与验收人员签字齐全。</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联系人：赵恬钰、王清玺</w:t>
      </w:r>
    </w:p>
    <w:p>
      <w:pPr>
        <w:pStyle w:val="null3"/>
      </w:pPr>
      <w:r>
        <w:rPr>
          <w:rFonts w:ascii="仿宋_GB2312" w:hAnsi="仿宋_GB2312" w:cs="仿宋_GB2312" w:eastAsia="仿宋_GB2312"/>
        </w:rPr>
        <w:t>联系电话：029-82694900转8014</w:t>
      </w:r>
    </w:p>
    <w:p>
      <w:pPr>
        <w:pStyle w:val="null3"/>
      </w:pPr>
      <w:r>
        <w:rPr>
          <w:rFonts w:ascii="仿宋_GB2312" w:hAnsi="仿宋_GB2312" w:cs="仿宋_GB2312" w:eastAsia="仿宋_GB2312"/>
        </w:rPr>
        <w:t>地址：陕西省西安市雁塔区南二环东段凯森盛世B座四层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现制现售饮用水检测设备，菌落计数仪1台、溶菌性总固体测定仪1台，细胞培养专用摇床1台。 按照《汉中市现制现售饮用水监督检测工作方案》工作要求，高质量完成现制现售饮用水监测工作，提高现制现售饮用水检测的质量，完成工作中涉及的参数。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455,000.00</w:t>
      </w:r>
    </w:p>
    <w:p>
      <w:pPr>
        <w:pStyle w:val="null3"/>
      </w:pPr>
      <w:r>
        <w:rPr>
          <w:rFonts w:ascii="仿宋_GB2312" w:hAnsi="仿宋_GB2312" w:cs="仿宋_GB2312" w:eastAsia="仿宋_GB2312"/>
        </w:rPr>
        <w:t>采购包最高限价（元）: 455,000.00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菌落计数仪1台 溶菌性总固体测定仪1台 细胞培养专用摇床1台</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455,000.00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标的名称：菌落计数仪1台 溶菌性总固体测定仪1台 细胞培养专用摇床1台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58"/>
              <w:gridCol w:w="272"/>
              <w:gridCol w:w="260"/>
              <w:gridCol w:w="146"/>
              <w:gridCol w:w="117"/>
              <w:gridCol w:w="1589"/>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品目类别</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品目</w:t>
                  </w:r>
                </w:p>
                <w:p>
                  <w:pPr>
                    <w:pStyle w:val="null3"/>
                    <w:jc w:val="center"/>
                  </w:pPr>
                  <w:r>
                    <w:rPr>
                      <w:rFonts w:ascii="仿宋_GB2312" w:hAnsi="仿宋_GB2312" w:cs="仿宋_GB2312" w:eastAsia="仿宋_GB2312"/>
                      <w:sz w:val="24"/>
                      <w:color w:val="000000"/>
                    </w:rPr>
                    <w:t>名称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  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全自动菌落计数仪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检测设备</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相机：不低于</w:t>
                  </w:r>
                  <w:r>
                    <w:rPr>
                      <w:rFonts w:ascii="仿宋_GB2312" w:hAnsi="仿宋_GB2312" w:cs="仿宋_GB2312" w:eastAsia="仿宋_GB2312"/>
                      <w:sz w:val="21"/>
                    </w:rPr>
                    <w:t>2500</w:t>
                  </w:r>
                  <w:r>
                    <w:rPr>
                      <w:rFonts w:ascii="仿宋_GB2312" w:hAnsi="仿宋_GB2312" w:cs="仿宋_GB2312" w:eastAsia="仿宋_GB2312"/>
                      <w:sz w:val="21"/>
                    </w:rPr>
                    <w:t>万像素超清彩色</w:t>
                  </w:r>
                  <w:r>
                    <w:rPr>
                      <w:rFonts w:ascii="仿宋_GB2312" w:hAnsi="仿宋_GB2312" w:cs="仿宋_GB2312" w:eastAsia="仿宋_GB2312"/>
                      <w:sz w:val="21"/>
                    </w:rPr>
                    <w:t>CMOS</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镜头：不低于</w:t>
                  </w:r>
                  <w:r>
                    <w:rPr>
                      <w:rFonts w:ascii="仿宋_GB2312" w:hAnsi="仿宋_GB2312" w:cs="仿宋_GB2312" w:eastAsia="仿宋_GB2312"/>
                      <w:sz w:val="21"/>
                    </w:rPr>
                    <w:t>1200</w:t>
                  </w:r>
                  <w:r>
                    <w:rPr>
                      <w:rFonts w:ascii="仿宋_GB2312" w:hAnsi="仿宋_GB2312" w:cs="仿宋_GB2312" w:eastAsia="仿宋_GB2312"/>
                      <w:sz w:val="21"/>
                    </w:rPr>
                    <w:t>万像素</w:t>
                  </w:r>
                  <w:r>
                    <w:rPr>
                      <w:rFonts w:ascii="仿宋_GB2312" w:hAnsi="仿宋_GB2312" w:cs="仿宋_GB2312" w:eastAsia="仿宋_GB2312"/>
                      <w:sz w:val="21"/>
                    </w:rPr>
                    <w:t>12mm</w:t>
                  </w:r>
                  <w:r>
                    <w:rPr>
                      <w:rFonts w:ascii="仿宋_GB2312" w:hAnsi="仿宋_GB2312" w:cs="仿宋_GB2312" w:eastAsia="仿宋_GB2312"/>
                      <w:sz w:val="21"/>
                    </w:rPr>
                    <w:t>高清定焦镜头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最小菌落识别：</w:t>
                  </w:r>
                  <w:r>
                    <w:rPr>
                      <w:rFonts w:ascii="仿宋_GB2312" w:hAnsi="仿宋_GB2312" w:cs="仿宋_GB2312" w:eastAsia="仿宋_GB2312"/>
                      <w:sz w:val="21"/>
                    </w:rPr>
                    <w:t>0.05mm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计数速度：不低于</w:t>
                  </w:r>
                  <w:r>
                    <w:rPr>
                      <w:rFonts w:ascii="仿宋_GB2312" w:hAnsi="仿宋_GB2312" w:cs="仿宋_GB2312" w:eastAsia="仿宋_GB2312"/>
                      <w:sz w:val="21"/>
                    </w:rPr>
                    <w:t>1200 CFU/</w:t>
                  </w:r>
                  <w:r>
                    <w:rPr>
                      <w:rFonts w:ascii="仿宋_GB2312" w:hAnsi="仿宋_GB2312" w:cs="仿宋_GB2312" w:eastAsia="仿宋_GB2312"/>
                      <w:sz w:val="21"/>
                    </w:rPr>
                    <w:t>秒</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计数精度：≥</w:t>
                  </w:r>
                  <w:r>
                    <w:rPr>
                      <w:rFonts w:ascii="仿宋_GB2312" w:hAnsi="仿宋_GB2312" w:cs="仿宋_GB2312" w:eastAsia="仿宋_GB2312"/>
                      <w:sz w:val="21"/>
                    </w:rPr>
                    <w:t>98%</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光源系统</w:t>
                  </w:r>
                </w:p>
                <w:p>
                  <w:pPr>
                    <w:pStyle w:val="null3"/>
                    <w:jc w:val="left"/>
                  </w:pPr>
                  <w:r>
                    <w:rPr>
                      <w:rFonts w:ascii="仿宋_GB2312" w:hAnsi="仿宋_GB2312" w:cs="仿宋_GB2312" w:eastAsia="仿宋_GB2312"/>
                      <w:sz w:val="21"/>
                    </w:rPr>
                    <w:t xml:space="preserve"> 360</w:t>
                  </w:r>
                  <w:r>
                    <w:rPr>
                      <w:rFonts w:ascii="仿宋_GB2312" w:hAnsi="仿宋_GB2312" w:cs="仿宋_GB2312" w:eastAsia="仿宋_GB2312"/>
                      <w:sz w:val="21"/>
                    </w:rPr>
                    <w:t>°环形四色</w:t>
                  </w:r>
                  <w:r>
                    <w:rPr>
                      <w:rFonts w:ascii="仿宋_GB2312" w:hAnsi="仿宋_GB2312" w:cs="仿宋_GB2312" w:eastAsia="仿宋_GB2312"/>
                      <w:sz w:val="21"/>
                    </w:rPr>
                    <w:t>LED</w:t>
                  </w:r>
                  <w:r>
                    <w:rPr>
                      <w:rFonts w:ascii="仿宋_GB2312" w:hAnsi="仿宋_GB2312" w:cs="仿宋_GB2312" w:eastAsia="仿宋_GB2312"/>
                      <w:sz w:val="21"/>
                    </w:rPr>
                    <w:t>（白、蓝、绿、红）</w:t>
                  </w:r>
                </w:p>
                <w:p>
                  <w:pPr>
                    <w:pStyle w:val="null3"/>
                    <w:jc w:val="left"/>
                  </w:pPr>
                  <w:r>
                    <w:rPr>
                      <w:rFonts w:ascii="仿宋_GB2312" w:hAnsi="仿宋_GB2312" w:cs="仿宋_GB2312" w:eastAsia="仿宋_GB2312"/>
                      <w:sz w:val="21"/>
                    </w:rPr>
                    <w:t>内置双紫外：</w:t>
                  </w:r>
                  <w:r>
                    <w:rPr>
                      <w:rFonts w:ascii="仿宋_GB2312" w:hAnsi="仿宋_GB2312" w:cs="仿宋_GB2312" w:eastAsia="仿宋_GB2312"/>
                      <w:sz w:val="21"/>
                    </w:rPr>
                    <w:t>254nm</w:t>
                  </w:r>
                  <w:r>
                    <w:rPr>
                      <w:rFonts w:ascii="仿宋_GB2312" w:hAnsi="仿宋_GB2312" w:cs="仿宋_GB2312" w:eastAsia="仿宋_GB2312"/>
                      <w:sz w:val="21"/>
                    </w:rPr>
                    <w:t>（杀菌）、</w:t>
                  </w:r>
                  <w:r>
                    <w:rPr>
                      <w:rFonts w:ascii="仿宋_GB2312" w:hAnsi="仿宋_GB2312" w:cs="仿宋_GB2312" w:eastAsia="仿宋_GB2312"/>
                      <w:sz w:val="21"/>
                    </w:rPr>
                    <w:t>366nm</w:t>
                  </w:r>
                  <w:r>
                    <w:rPr>
                      <w:rFonts w:ascii="仿宋_GB2312" w:hAnsi="仿宋_GB2312" w:cs="仿宋_GB2312" w:eastAsia="仿宋_GB2312"/>
                      <w:sz w:val="21"/>
                    </w:rPr>
                    <w:t>（荧光激发）和</w:t>
                  </w:r>
                  <w:r>
                    <w:rPr>
                      <w:rFonts w:ascii="仿宋_GB2312" w:hAnsi="仿宋_GB2312" w:cs="仿宋_GB2312" w:eastAsia="仿宋_GB2312"/>
                      <w:sz w:val="21"/>
                    </w:rPr>
                    <w:t>302nm</w:t>
                  </w:r>
                  <w:r>
                    <w:rPr>
                      <w:rFonts w:ascii="仿宋_GB2312" w:hAnsi="仿宋_GB2312" w:cs="仿宋_GB2312" w:eastAsia="仿宋_GB2312"/>
                      <w:sz w:val="21"/>
                    </w:rPr>
                    <w:t>（荧光激发）</w:t>
                  </w:r>
                  <w:r>
                    <w:rPr>
                      <w:rFonts w:ascii="仿宋_GB2312" w:hAnsi="仿宋_GB2312" w:cs="仿宋_GB2312" w:eastAsia="仿宋_GB2312"/>
                      <w:sz w:val="21"/>
                    </w:rPr>
                    <w:t>1%</w:t>
                  </w:r>
                  <w:r>
                    <w:rPr>
                      <w:rFonts w:ascii="仿宋_GB2312" w:hAnsi="仿宋_GB2312" w:cs="仿宋_GB2312" w:eastAsia="仿宋_GB2312"/>
                      <w:sz w:val="21"/>
                    </w:rPr>
                    <w:t>精度调光，光源方案可保存</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暗箱：全封闭，防外界杂光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培养皿适配：</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110mm</w:t>
                  </w:r>
                  <w:r>
                    <w:rPr>
                      <w:rFonts w:ascii="仿宋_GB2312" w:hAnsi="仿宋_GB2312" w:cs="仿宋_GB2312" w:eastAsia="仿宋_GB2312"/>
                      <w:sz w:val="21"/>
                    </w:rPr>
                    <w:t>标准皿，兼容小号皿</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系统：</w:t>
                  </w:r>
                  <w:r>
                    <w:rPr>
                      <w:rFonts w:ascii="仿宋_GB2312" w:hAnsi="仿宋_GB2312" w:cs="仿宋_GB2312" w:eastAsia="仿宋_GB2312"/>
                      <w:sz w:val="21"/>
                    </w:rPr>
                    <w:t>Windows 10 64</w:t>
                  </w:r>
                  <w:r>
                    <w:rPr>
                      <w:rFonts w:ascii="仿宋_GB2312" w:hAnsi="仿宋_GB2312" w:cs="仿宋_GB2312" w:eastAsia="仿宋_GB2312"/>
                      <w:sz w:val="21"/>
                    </w:rPr>
                    <w:t>位</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配置：不低于</w:t>
                  </w:r>
                  <w:r>
                    <w:rPr>
                      <w:rFonts w:ascii="仿宋_GB2312" w:hAnsi="仿宋_GB2312" w:cs="仿宋_GB2312" w:eastAsia="仿宋_GB2312"/>
                      <w:sz w:val="21"/>
                    </w:rPr>
                    <w:t>i3</w:t>
                  </w:r>
                  <w:r>
                    <w:rPr>
                      <w:rFonts w:ascii="仿宋_GB2312" w:hAnsi="仿宋_GB2312" w:cs="仿宋_GB2312" w:eastAsia="仿宋_GB2312"/>
                      <w:sz w:val="21"/>
                    </w:rPr>
                    <w:t>及以上处理器，不低于</w:t>
                  </w:r>
                  <w:r>
                    <w:rPr>
                      <w:rFonts w:ascii="仿宋_GB2312" w:hAnsi="仿宋_GB2312" w:cs="仿宋_GB2312" w:eastAsia="仿宋_GB2312"/>
                      <w:sz w:val="21"/>
                    </w:rPr>
                    <w:t>16G</w:t>
                  </w:r>
                  <w:r>
                    <w:rPr>
                      <w:rFonts w:ascii="仿宋_GB2312" w:hAnsi="仿宋_GB2312" w:cs="仿宋_GB2312" w:eastAsia="仿宋_GB2312"/>
                      <w:sz w:val="21"/>
                    </w:rPr>
                    <w:t>内存，不低于</w:t>
                  </w:r>
                  <w:r>
                    <w:rPr>
                      <w:rFonts w:ascii="仿宋_GB2312" w:hAnsi="仿宋_GB2312" w:cs="仿宋_GB2312" w:eastAsia="仿宋_GB2312"/>
                      <w:sz w:val="21"/>
                    </w:rPr>
                    <w:t>1T</w:t>
                  </w:r>
                  <w:r>
                    <w:rPr>
                      <w:rFonts w:ascii="仿宋_GB2312" w:hAnsi="仿宋_GB2312" w:cs="仿宋_GB2312" w:eastAsia="仿宋_GB2312"/>
                      <w:sz w:val="21"/>
                    </w:rPr>
                    <w:t>硬盘。</w:t>
                  </w:r>
                </w:p>
                <w:p>
                  <w:pPr>
                    <w:pStyle w:val="null3"/>
                    <w:jc w:val="left"/>
                  </w:pPr>
                  <w:r>
                    <w:rPr>
                      <w:rFonts w:ascii="仿宋_GB2312" w:hAnsi="仿宋_GB2312" w:cs="仿宋_GB2312" w:eastAsia="仿宋_GB2312"/>
                      <w:sz w:val="21"/>
                    </w:rPr>
                    <w:t>二、计数功能</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不低于</w:t>
                  </w:r>
                  <w:r>
                    <w:rPr>
                      <w:rFonts w:ascii="仿宋_GB2312" w:hAnsi="仿宋_GB2312" w:cs="仿宋_GB2312" w:eastAsia="仿宋_GB2312"/>
                      <w:sz w:val="21"/>
                    </w:rPr>
                    <w:t>8</w:t>
                  </w:r>
                  <w:r>
                    <w:rPr>
                      <w:rFonts w:ascii="仿宋_GB2312" w:hAnsi="仿宋_GB2312" w:cs="仿宋_GB2312" w:eastAsia="仿宋_GB2312"/>
                      <w:sz w:val="21"/>
                    </w:rPr>
                    <w:t>种计数模式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分散菌、黏连菌、微小菌、大菌落</w:t>
                  </w:r>
                </w:p>
                <w:p>
                  <w:pPr>
                    <w:pStyle w:val="null3"/>
                    <w:jc w:val="left"/>
                  </w:pPr>
                  <w:r>
                    <w:rPr>
                      <w:rFonts w:ascii="仿宋_GB2312" w:hAnsi="仿宋_GB2312" w:cs="仿宋_GB2312" w:eastAsia="仿宋_GB2312"/>
                      <w:sz w:val="21"/>
                    </w:rPr>
                    <w:t xml:space="preserve">  3M</w:t>
                  </w:r>
                  <w:r>
                    <w:rPr>
                      <w:rFonts w:ascii="仿宋_GB2312" w:hAnsi="仿宋_GB2312" w:cs="仿宋_GB2312" w:eastAsia="仿宋_GB2312"/>
                      <w:sz w:val="21"/>
                    </w:rPr>
                    <w:t>测试片、黑色网格、网格滤膜</w:t>
                  </w:r>
                </w:p>
                <w:p>
                  <w:pPr>
                    <w:pStyle w:val="null3"/>
                    <w:jc w:val="left"/>
                  </w:pPr>
                  <w:r>
                    <w:rPr>
                      <w:rFonts w:ascii="仿宋_GB2312" w:hAnsi="仿宋_GB2312" w:cs="仿宋_GB2312" w:eastAsia="仿宋_GB2312"/>
                      <w:sz w:val="21"/>
                    </w:rPr>
                    <w:t xml:space="preserve">  背景相近菌、单色菌、多色菌</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智能修正：自动分割重叠菌落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人工修正：鼠标点选增删、框选批量编辑</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荧光计数：支持大肠埃希氏菌、</w:t>
                  </w:r>
                  <w:r>
                    <w:rPr>
                      <w:rFonts w:ascii="仿宋_GB2312" w:hAnsi="仿宋_GB2312" w:cs="仿宋_GB2312" w:eastAsia="仿宋_GB2312"/>
                      <w:sz w:val="21"/>
                    </w:rPr>
                    <w:t>GFP</w:t>
                  </w:r>
                  <w:r>
                    <w:rPr>
                      <w:rFonts w:ascii="仿宋_GB2312" w:hAnsi="仿宋_GB2312" w:cs="仿宋_GB2312" w:eastAsia="仿宋_GB2312"/>
                      <w:sz w:val="21"/>
                    </w:rPr>
                    <w:t>等荧光菌落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适用样本：倾注、涂布、膜滤、测试片</w:t>
                  </w:r>
                </w:p>
                <w:p>
                  <w:pPr>
                    <w:pStyle w:val="null3"/>
                    <w:jc w:val="left"/>
                  </w:pPr>
                  <w:r>
                    <w:rPr>
                      <w:rFonts w:ascii="仿宋_GB2312" w:hAnsi="仿宋_GB2312" w:cs="仿宋_GB2312" w:eastAsia="仿宋_GB2312"/>
                      <w:sz w:val="21"/>
                    </w:rPr>
                    <w:t>三、数据与合规</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审计追踪：操作全程记录、不可篡改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多用户权限：独立账户、数据隔离</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报告导出：</w:t>
                  </w:r>
                  <w:r>
                    <w:rPr>
                      <w:rFonts w:ascii="仿宋_GB2312" w:hAnsi="仿宋_GB2312" w:cs="仿宋_GB2312" w:eastAsia="仿宋_GB2312"/>
                      <w:sz w:val="21"/>
                    </w:rPr>
                    <w:t>PDF</w:t>
                  </w:r>
                  <w:r>
                    <w:rPr>
                      <w:rFonts w:ascii="仿宋_GB2312" w:hAnsi="仿宋_GB2312" w:cs="仿宋_GB2312" w:eastAsia="仿宋_GB2312"/>
                      <w:sz w:val="21"/>
                    </w:rPr>
                    <w:t>、</w:t>
                  </w:r>
                  <w:r>
                    <w:rPr>
                      <w:rFonts w:ascii="仿宋_GB2312" w:hAnsi="仿宋_GB2312" w:cs="仿宋_GB2312" w:eastAsia="仿宋_GB2312"/>
                      <w:sz w:val="21"/>
                    </w:rPr>
                    <w:t>Excel</w:t>
                  </w:r>
                  <w:r>
                    <w:rPr>
                      <w:rFonts w:ascii="仿宋_GB2312" w:hAnsi="仿宋_GB2312" w:cs="仿宋_GB2312" w:eastAsia="仿宋_GB2312"/>
                      <w:sz w:val="21"/>
                    </w:rPr>
                    <w:t>、</w:t>
                  </w:r>
                  <w:r>
                    <w:rPr>
                      <w:rFonts w:ascii="仿宋_GB2312" w:hAnsi="仿宋_GB2312" w:cs="仿宋_GB2312" w:eastAsia="仿宋_GB2312"/>
                      <w:sz w:val="21"/>
                    </w:rPr>
                    <w:t>JPG</w:t>
                  </w:r>
                  <w:r>
                    <w:rPr>
                      <w:rFonts w:ascii="仿宋_GB2312" w:hAnsi="仿宋_GB2312" w:cs="仿宋_GB2312" w:eastAsia="仿宋_GB2312"/>
                      <w:sz w:val="21"/>
                    </w:rPr>
                    <w:t>、</w:t>
                  </w:r>
                  <w:r>
                    <w:rPr>
                      <w:rFonts w:ascii="仿宋_GB2312" w:hAnsi="仿宋_GB2312" w:cs="仿宋_GB2312" w:eastAsia="仿宋_GB2312"/>
                      <w:sz w:val="21"/>
                    </w:rPr>
                    <w:t>LIMS</w:t>
                  </w:r>
                  <w:r>
                    <w:rPr>
                      <w:rFonts w:ascii="仿宋_GB2312" w:hAnsi="仿宋_GB2312" w:cs="仿宋_GB2312" w:eastAsia="仿宋_GB2312"/>
                      <w:sz w:val="21"/>
                    </w:rPr>
                    <w:t>对接</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效价测定：支持一</w:t>
                  </w: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三剂量法（药典）</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重复性：直径测量相对误差≤</w:t>
                  </w:r>
                  <w:r>
                    <w:rPr>
                      <w:rFonts w:ascii="仿宋_GB2312" w:hAnsi="仿宋_GB2312" w:cs="仿宋_GB2312" w:eastAsia="仿宋_GB2312"/>
                      <w:sz w:val="21"/>
                    </w:rPr>
                    <w:t>0.01%</w:t>
                  </w:r>
                </w:p>
                <w:p>
                  <w:pPr>
                    <w:pStyle w:val="null3"/>
                    <w:jc w:val="left"/>
                  </w:pPr>
                  <w:r>
                    <w:rPr>
                      <w:rFonts w:ascii="仿宋_GB2312" w:hAnsi="仿宋_GB2312" w:cs="仿宋_GB2312" w:eastAsia="仿宋_GB2312"/>
                      <w:sz w:val="21"/>
                      <w:color w:val="000000"/>
                    </w:rPr>
                    <w:t>四、售后要求</w:t>
                  </w:r>
                </w:p>
                <w:p>
                  <w:pPr>
                    <w:pStyle w:val="null3"/>
                    <w:jc w:val="left"/>
                  </w:pPr>
                  <w:r>
                    <w:rPr>
                      <w:rFonts w:ascii="仿宋_GB2312" w:hAnsi="仿宋_GB2312" w:cs="仿宋_GB2312" w:eastAsia="仿宋_GB2312"/>
                      <w:sz w:val="21"/>
                      <w:color w:val="000000"/>
                    </w:rPr>
                    <w:t>1.用户支持：提供5年的免费保修服务，在保修期内，所有售后服务及配件（消耗品除外）全部免费。</w:t>
                  </w:r>
                </w:p>
                <w:p>
                  <w:pPr>
                    <w:pStyle w:val="null3"/>
                    <w:jc w:val="left"/>
                  </w:pPr>
                  <w:r>
                    <w:rPr>
                      <w:rFonts w:ascii="仿宋_GB2312" w:hAnsi="仿宋_GB2312" w:cs="仿宋_GB2312" w:eastAsia="仿宋_GB2312"/>
                      <w:sz w:val="21"/>
                      <w:color w:val="000000"/>
                    </w:rPr>
                    <w:t>2.仪器终身免费维护升级。</w:t>
                  </w:r>
                </w:p>
                <w:p>
                  <w:pPr>
                    <w:pStyle w:val="null3"/>
                    <w:jc w:val="left"/>
                  </w:pPr>
                  <w:r>
                    <w:rPr>
                      <w:rFonts w:ascii="仿宋_GB2312" w:hAnsi="仿宋_GB2312" w:cs="仿宋_GB2312" w:eastAsia="仿宋_GB2312"/>
                      <w:sz w:val="21"/>
                      <w:color w:val="000000"/>
                    </w:rPr>
                    <w:t>3.仪器安装验收：只有在仪器完全正常运转和买方确认后，仪器的安装工作才能认为已全部完成。</w:t>
                  </w:r>
                </w:p>
                <w:p>
                  <w:pPr>
                    <w:pStyle w:val="null3"/>
                    <w:jc w:val="both"/>
                  </w:pPr>
                  <w:r>
                    <w:rPr>
                      <w:rFonts w:ascii="仿宋_GB2312" w:hAnsi="仿宋_GB2312" w:cs="仿宋_GB2312" w:eastAsia="仿宋_GB2312"/>
                      <w:sz w:val="21"/>
                      <w:color w:val="000000"/>
                    </w:rPr>
                    <w:t>4.现场培训：在用户单位现场进行操作培训。</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全自动溶解性总固体测定仪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检测设备</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一、技术要求</w:t>
                  </w:r>
                </w:p>
                <w:p>
                  <w:pPr>
                    <w:pStyle w:val="null3"/>
                    <w:jc w:val="left"/>
                  </w:pPr>
                  <w:r>
                    <w:rPr>
                      <w:rFonts w:ascii="仿宋_GB2312" w:hAnsi="仿宋_GB2312" w:cs="仿宋_GB2312" w:eastAsia="仿宋_GB2312"/>
                      <w:sz w:val="21"/>
                      <w:color w:val="000000"/>
                    </w:rPr>
                    <w:t>1.符合标准《GB/T 5750.4-2023生活饮用水标准检验方法 感官性状和物理指标》 溶解性总固体的技术要求。</w:t>
                  </w:r>
                </w:p>
                <w:p>
                  <w:pPr>
                    <w:pStyle w:val="null3"/>
                    <w:jc w:val="left"/>
                  </w:pPr>
                  <w:r>
                    <w:rPr>
                      <w:rFonts w:ascii="仿宋_GB2312" w:hAnsi="仿宋_GB2312" w:cs="仿宋_GB2312" w:eastAsia="仿宋_GB2312"/>
                      <w:sz w:val="21"/>
                      <w:color w:val="000000"/>
                    </w:rPr>
                    <w:t>二、参数要求</w:t>
                  </w:r>
                </w:p>
                <w:p>
                  <w:pPr>
                    <w:pStyle w:val="null3"/>
                    <w:jc w:val="left"/>
                  </w:pPr>
                  <w:r>
                    <w:rPr>
                      <w:rFonts w:ascii="仿宋_GB2312" w:hAnsi="仿宋_GB2312" w:cs="仿宋_GB2312" w:eastAsia="仿宋_GB2312"/>
                      <w:sz w:val="21"/>
                      <w:color w:val="000000"/>
                    </w:rPr>
                    <w:t>1.要求样品容量器具可放置不同直径滤膜、蒸发皿、烧杯、坩埚等容器。（提供加盖制造商公章复印件的载具实物图证明材料）</w:t>
                  </w:r>
                </w:p>
                <w:p>
                  <w:pPr>
                    <w:pStyle w:val="null3"/>
                    <w:jc w:val="left"/>
                  </w:pPr>
                  <w:r>
                    <w:rPr>
                      <w:rFonts w:ascii="仿宋_GB2312" w:hAnsi="仿宋_GB2312" w:cs="仿宋_GB2312" w:eastAsia="仿宋_GB2312"/>
                      <w:sz w:val="21"/>
                      <w:color w:val="000000"/>
                    </w:rPr>
                    <w:t>2.样品位数量≥55位，满足批量样品或容器的蒸发-恒重-称量自动运行。仪器自动完成样品烘干、蒸发、恒重、称量全流程，无需人员干预。</w:t>
                  </w:r>
                </w:p>
                <w:p>
                  <w:pPr>
                    <w:pStyle w:val="null3"/>
                    <w:jc w:val="left"/>
                  </w:pPr>
                  <w:r>
                    <w:rPr>
                      <w:rFonts w:ascii="仿宋_GB2312" w:hAnsi="仿宋_GB2312" w:cs="仿宋_GB2312" w:eastAsia="仿宋_GB2312"/>
                      <w:sz w:val="21"/>
                      <w:color w:val="000000"/>
                    </w:rPr>
                    <w:t>3.要求具备高温烘干模式，可自动控温控湿，温湿度满足方法要求。（提供第三方计量校准证书证明温度湿度波动率范围）。</w:t>
                  </w:r>
                </w:p>
                <w:p>
                  <w:pPr>
                    <w:pStyle w:val="null3"/>
                    <w:jc w:val="left"/>
                  </w:pPr>
                  <w:r>
                    <w:rPr>
                      <w:rFonts w:ascii="仿宋_GB2312" w:hAnsi="仿宋_GB2312" w:cs="仿宋_GB2312" w:eastAsia="仿宋_GB2312"/>
                      <w:sz w:val="21"/>
                      <w:color w:val="000000"/>
                    </w:rPr>
                    <w:t>4.要求天平为万分之一天平，量程≥220g，设备自动校准，自动去皮，自动称量。可除静电、防风。（提供加盖制造商公章复印件的装置实物图证明材料）。</w:t>
                  </w:r>
                </w:p>
                <w:p>
                  <w:pPr>
                    <w:pStyle w:val="null3"/>
                    <w:jc w:val="left"/>
                  </w:pPr>
                  <w:r>
                    <w:rPr>
                      <w:rFonts w:ascii="仿宋_GB2312" w:hAnsi="仿宋_GB2312" w:cs="仿宋_GB2312" w:eastAsia="仿宋_GB2312"/>
                      <w:sz w:val="21"/>
                      <w:color w:val="000000"/>
                    </w:rPr>
                    <w:t>5.配套稳定的机器人手臂，如遇故障自动保护，避免对机械</w:t>
                  </w:r>
                  <w:r>
                    <w:rPr>
                      <w:rFonts w:ascii="仿宋_GB2312" w:hAnsi="仿宋_GB2312" w:cs="仿宋_GB2312" w:eastAsia="仿宋_GB2312"/>
                      <w:sz w:val="21"/>
                      <w:color w:val="000000"/>
                    </w:rPr>
                    <w:t>手臂造成其他损坏。（提供加盖制造商公章复印件的实物图</w:t>
                  </w:r>
                  <w:r>
                    <w:rPr>
                      <w:rFonts w:ascii="仿宋_GB2312" w:hAnsi="仿宋_GB2312" w:cs="仿宋_GB2312" w:eastAsia="仿宋_GB2312"/>
                      <w:sz w:val="21"/>
                      <w:color w:val="000000"/>
                    </w:rPr>
                    <w:t>证明材料）。</w:t>
                  </w:r>
                </w:p>
                <w:p>
                  <w:pPr>
                    <w:pStyle w:val="null3"/>
                  </w:pPr>
                  <w:r>
                    <w:rPr>
                      <w:rFonts w:ascii="仿宋_GB2312" w:hAnsi="仿宋_GB2312" w:cs="仿宋_GB2312" w:eastAsia="仿宋_GB2312"/>
                      <w:sz w:val="21"/>
                      <w:color w:val="000000"/>
                    </w:rPr>
                    <w:t>6.数据处理电脑：i3以上处理器，不低于16G内存，不低于1T硬盘。</w:t>
                  </w:r>
                </w:p>
                <w:p>
                  <w:pPr>
                    <w:pStyle w:val="null3"/>
                    <w:jc w:val="left"/>
                  </w:pPr>
                  <w:r>
                    <w:rPr>
                      <w:rFonts w:ascii="仿宋_GB2312" w:hAnsi="仿宋_GB2312" w:cs="仿宋_GB2312" w:eastAsia="仿宋_GB2312"/>
                      <w:sz w:val="21"/>
                      <w:color w:val="000000"/>
                    </w:rPr>
                    <w:t>三、售后要求</w:t>
                  </w:r>
                </w:p>
                <w:p>
                  <w:pPr>
                    <w:pStyle w:val="null3"/>
                    <w:jc w:val="left"/>
                  </w:pPr>
                  <w:r>
                    <w:rPr>
                      <w:rFonts w:ascii="仿宋_GB2312" w:hAnsi="仿宋_GB2312" w:cs="仿宋_GB2312" w:eastAsia="仿宋_GB2312"/>
                      <w:sz w:val="21"/>
                      <w:color w:val="000000"/>
                    </w:rPr>
                    <w:t>1.用户支持：提供5年的免费保修服务，在保修期内，所有售后服务及配件（消耗品除外）全部免费。</w:t>
                  </w:r>
                </w:p>
                <w:p>
                  <w:pPr>
                    <w:pStyle w:val="null3"/>
                    <w:jc w:val="left"/>
                  </w:pPr>
                  <w:r>
                    <w:rPr>
                      <w:rFonts w:ascii="仿宋_GB2312" w:hAnsi="仿宋_GB2312" w:cs="仿宋_GB2312" w:eastAsia="仿宋_GB2312"/>
                      <w:sz w:val="21"/>
                      <w:color w:val="000000"/>
                    </w:rPr>
                    <w:t>2.仪器终身免费维护升级。</w:t>
                  </w:r>
                </w:p>
                <w:p>
                  <w:pPr>
                    <w:pStyle w:val="null3"/>
                    <w:jc w:val="left"/>
                  </w:pPr>
                  <w:r>
                    <w:rPr>
                      <w:rFonts w:ascii="仿宋_GB2312" w:hAnsi="仿宋_GB2312" w:cs="仿宋_GB2312" w:eastAsia="仿宋_GB2312"/>
                      <w:sz w:val="21"/>
                      <w:color w:val="000000"/>
                    </w:rPr>
                    <w:t>3.仪器安装验收：只有在仪器完全正常运转和买方确认后，仪器的安装工作才能认为已全部完成。</w:t>
                  </w:r>
                </w:p>
                <w:p>
                  <w:pPr>
                    <w:pStyle w:val="null3"/>
                    <w:jc w:val="left"/>
                  </w:pPr>
                  <w:r>
                    <w:rPr>
                      <w:rFonts w:ascii="仿宋_GB2312" w:hAnsi="仿宋_GB2312" w:cs="仿宋_GB2312" w:eastAsia="仿宋_GB2312"/>
                      <w:sz w:val="21"/>
                      <w:color w:val="000000"/>
                    </w:rPr>
                    <w:t>4.现场培训：在用户单位现场进行操作培训。内容包括，仪器的基本原理、操作、日常维护及基础分析仪器理论课程，安装现场对使用人员进行培训直至掌握为止。</w:t>
                  </w:r>
                </w:p>
                <w:p>
                  <w:pPr>
                    <w:pStyle w:val="null3"/>
                    <w:jc w:val="left"/>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细胞专用培养摇床</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检测设备</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w:t>
                  </w:r>
                </w:p>
                <w:p>
                  <w:pPr>
                    <w:pStyle w:val="null3"/>
                    <w:jc w:val="left"/>
                  </w:pPr>
                  <w:r>
                    <w:rPr>
                      <w:rFonts w:ascii="仿宋_GB2312" w:hAnsi="仿宋_GB2312" w:cs="仿宋_GB2312" w:eastAsia="仿宋_GB2312"/>
                      <w:sz w:val="21"/>
                      <w:color w:val="000000"/>
                    </w:rPr>
                    <w:t>1.细胞培养专用，分体式设计，易放入各类温控箱体，并可箱外控制，允许环境湿度80%。</w:t>
                  </w:r>
                </w:p>
                <w:p>
                  <w:pPr>
                    <w:pStyle w:val="null3"/>
                    <w:jc w:val="left"/>
                  </w:pPr>
                  <w:r>
                    <w:rPr>
                      <w:rFonts w:ascii="仿宋_GB2312" w:hAnsi="仿宋_GB2312" w:cs="仿宋_GB2312" w:eastAsia="仿宋_GB2312"/>
                      <w:sz w:val="21"/>
                      <w:color w:val="000000"/>
                    </w:rPr>
                    <w:t>2.振荡方式：圆周;振荡直径：18mm;转速 30-240RPM。</w:t>
                  </w:r>
                </w:p>
                <w:p>
                  <w:pPr>
                    <w:pStyle w:val="null3"/>
                    <w:jc w:val="left"/>
                  </w:pPr>
                  <w:r>
                    <w:rPr>
                      <w:rFonts w:ascii="仿宋_GB2312" w:hAnsi="仿宋_GB2312" w:cs="仿宋_GB2312" w:eastAsia="仿宋_GB2312"/>
                      <w:sz w:val="21"/>
                      <w:color w:val="000000"/>
                    </w:rPr>
                    <w:t>3.工作方式：连续运转和定时模式可选。</w:t>
                  </w:r>
                </w:p>
                <w:p>
                  <w:pPr>
                    <w:pStyle w:val="null3"/>
                    <w:jc w:val="left"/>
                  </w:pPr>
                  <w:r>
                    <w:rPr>
                      <w:rFonts w:ascii="仿宋_GB2312" w:hAnsi="仿宋_GB2312" w:cs="仿宋_GB2312" w:eastAsia="仿宋_GB2312"/>
                      <w:sz w:val="21"/>
                      <w:color w:val="000000"/>
                    </w:rPr>
                    <w:t>4.外形尺寸：适配于温控箱体且主机和托盘尺寸不得超过适配的温控箱体（500*400*460mm）。</w:t>
                  </w:r>
                </w:p>
                <w:p>
                  <w:pPr>
                    <w:pStyle w:val="null3"/>
                    <w:jc w:val="left"/>
                  </w:pPr>
                  <w:r>
                    <w:rPr>
                      <w:rFonts w:ascii="仿宋_GB2312" w:hAnsi="仿宋_GB2312" w:cs="仿宋_GB2312" w:eastAsia="仿宋_GB2312"/>
                      <w:sz w:val="21"/>
                      <w:color w:val="000000"/>
                    </w:rPr>
                    <w:t>5.适配双层弹簧网夹具或可选择不同的固定夹具，适用各种器皿。</w:t>
                  </w:r>
                </w:p>
                <w:p>
                  <w:pPr>
                    <w:pStyle w:val="null3"/>
                    <w:jc w:val="left"/>
                  </w:pPr>
                  <w:r>
                    <w:rPr>
                      <w:rFonts w:ascii="仿宋_GB2312" w:hAnsi="仿宋_GB2312" w:cs="仿宋_GB2312" w:eastAsia="仿宋_GB2312"/>
                      <w:sz w:val="21"/>
                      <w:color w:val="000000"/>
                    </w:rPr>
                    <w:t>6.全不锈钢机身。</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供货期：合同签订后30日历天内完成。质保期：自安装验收合格双方确认签字起8年。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进度款，验收合格后双方签订验收合格单，供应商开具合规发票后，达到付款条件起30个工作日内，支付合同总金额的100.0%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乙方提出书面验收申请之日起7日内，组织验收工作。验收由甲方指定单位及人员进行验收，验收合格后出具书面验收合格证明，作为对产品的最终认可。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合同不允许分包，不允许转包。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供应商需具备独立民事责任能力，提供有效营业执照（或事业法人证、自然人身份证明），证明主体合法存续。</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 “失信被执行人”、“重大税收违法案件当事人名单” 中，也未列入中国政府采购网 “政府采购严重违法失信行为记录名单” 中，须提供《汉中市政府采购供应商资格承诺函》；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须符合财政部 工业和信息化部《关于印发〈政府采购促进中小企业发展管理办法〉的通知》（财库〔2020〕46号）规定的中小企业参加，并提供《中小企业声明函》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谈判响应⽂件签署、盖章</w:t>
            </w:r>
          </w:p>
        </w:tc>
        <w:tc>
          <w:tcPr>
            <w:tcW w:type="dxa" w:w="3322"/>
          </w:tcPr>
          <w:p>
            <w:pPr>
              <w:pStyle w:val="null3"/>
            </w:pPr>
            <w:r>
              <w:rPr>
                <w:rFonts w:ascii="仿宋_GB2312" w:hAnsi="仿宋_GB2312" w:cs="仿宋_GB2312" w:eastAsia="仿宋_GB2312"/>
              </w:rPr>
              <w:t>谈判响应⽂件按谈判⽂件要求签署、盖章</w:t>
            </w:r>
          </w:p>
        </w:tc>
        <w:tc>
          <w:tcPr>
            <w:tcW w:type="dxa" w:w="1661"/>
          </w:tcPr>
          <w:p>
            <w:pPr>
              <w:pStyle w:val="null3"/>
            </w:pPr>
            <w:r>
              <w:rPr>
                <w:rFonts w:ascii="仿宋_GB2312" w:hAnsi="仿宋_GB2312" w:cs="仿宋_GB2312" w:eastAsia="仿宋_GB2312"/>
              </w:rPr>
              <w:t>中小企业声明函 项目业绩表 商务应答表 承诺书 技术方案 报价表 响应文件封面 技术规格偏离表 资格证明文件 报价明细表 标的清单 关于符合本国产品标准的声明函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谈判响应有效期满⾜谈判⽂件要求的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供应商投标报价没有超出采购预算或最⾼限价或单项最⾼限价</w:t>
            </w:r>
          </w:p>
        </w:tc>
        <w:tc>
          <w:tcPr>
            <w:tcW w:type="dxa" w:w="1661"/>
          </w:tcPr>
          <w:p>
            <w:pPr>
              <w:pStyle w:val="null3"/>
            </w:pPr>
            <w:r>
              <w:rPr>
                <w:rFonts w:ascii="仿宋_GB2312" w:hAnsi="仿宋_GB2312" w:cs="仿宋_GB2312" w:eastAsia="仿宋_GB2312"/>
              </w:rPr>
              <w:t>报价明细表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谈判响应内容</w:t>
            </w:r>
          </w:p>
        </w:tc>
        <w:tc>
          <w:tcPr>
            <w:tcW w:type="dxa" w:w="3322"/>
          </w:tcPr>
          <w:p>
            <w:pPr>
              <w:pStyle w:val="null3"/>
            </w:pPr>
            <w:r>
              <w:rPr>
                <w:rFonts w:ascii="仿宋_GB2312" w:hAnsi="仿宋_GB2312" w:cs="仿宋_GB2312" w:eastAsia="仿宋_GB2312"/>
              </w:rPr>
              <w:t>谈判响应内容不存在漏项或数量与要求不符合谈判⽂件规定情形，谈判响应内容满⾜谈判文件的商务要求，技术实质性要求，不存在采购档次降低或影响采购性能、功能的情形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技术规格偏离表 报价明细表 商务应答表 技术方案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遵循公平竞争的原则，没有弄虚作假、恶意串通或妨碍其他供应商的竞争⾏为，损害采购⼈或者其他供应商的合法权益。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不存在其它不符合法律法规或谈判⽂件规定的投标⽆效条款的情形</w:t>
            </w:r>
          </w:p>
        </w:tc>
        <w:tc>
          <w:tcPr>
            <w:tcW w:type="dxa" w:w="1661"/>
          </w:tcPr>
          <w:p>
            <w:pPr>
              <w:pStyle w:val="null3"/>
            </w:pPr>
            <w:r>
              <w:rPr>
                <w:rFonts w:ascii="仿宋_GB2312" w:hAnsi="仿宋_GB2312" w:cs="仿宋_GB2312" w:eastAsia="仿宋_GB2312"/>
              </w:rPr>
              <w:t>本国产品说明 中小企业声明函 项目业绩表 商务应答表 承诺书 技术方案 “节能产品”“环境标志产品”证明材料 报价表 中国境内生产的组件成本核算基本规则 响应文件封面 技术规格偏离表 资格证明文件 残疾人福利性单位声明函 报价明细表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报价明细表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详见附件：项目业绩表</w:t>
      </w:r>
    </w:p>
    <w:p>
      <w:pPr>
        <w:pStyle w:val="null3"/>
        <w:ind w:firstLine="960"/>
      </w:pPr>
      <w:r>
        <w:rPr>
          <w:rFonts w:ascii="仿宋_GB2312" w:hAnsi="仿宋_GB2312" w:cs="仿宋_GB2312" w:eastAsia="仿宋_GB2312"/>
        </w:rPr>
        <w:t>详见附件：“节能产品”“环境标志产品”证明材料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详见附件：设备买卖合同.docx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