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版本号：SSJY-CG(G)-202601920260702002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淳化县车坞镇中心幼儿园园舍提升改造项目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SSJY-CG(G)-2026019</w:t>
      </w:r>
      <w:r>
        <w:br/>
      </w:r>
      <w:r>
        <w:br/>
      </w:r>
      <w:r>
        <w:br/>
      </w:r>
    </w:p>
    <w:p>
      <w:pPr>
        <w:pStyle w:val="null3"/>
        <w:jc w:val="center"/>
        <w:outlineLvl w:val="2"/>
      </w:pPr>
      <w:r>
        <w:rPr>
          <w:rFonts w:ascii="仿宋_GB2312" w:hAnsi="仿宋_GB2312" w:cs="仿宋_GB2312" w:eastAsia="仿宋_GB2312"/>
          <w:sz w:val="28"/>
          <w:b/>
        </w:rPr>
        <w:t>淳化县车坞中心幼儿园</w:t>
      </w:r>
    </w:p>
    <w:p>
      <w:pPr>
        <w:pStyle w:val="null3"/>
        <w:jc w:val="center"/>
        <w:outlineLvl w:val="2"/>
      </w:pPr>
      <w:r>
        <w:rPr>
          <w:rFonts w:ascii="仿宋_GB2312" w:hAnsi="仿宋_GB2312" w:cs="仿宋_GB2312" w:eastAsia="仿宋_GB2312"/>
          <w:sz w:val="28"/>
          <w:b/>
        </w:rPr>
        <w:t>陕西盛仕骄阳项目管理有限公司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陕西盛仕骄阳项目管理有限公司</w:t>
      </w:r>
      <w:r>
        <w:rPr>
          <w:rFonts w:ascii="仿宋_GB2312" w:hAnsi="仿宋_GB2312" w:cs="仿宋_GB2312" w:eastAsia="仿宋_GB2312"/>
        </w:rPr>
        <w:t>（以下简称“代理机构”）受</w:t>
      </w:r>
      <w:r>
        <w:rPr>
          <w:rFonts w:ascii="仿宋_GB2312" w:hAnsi="仿宋_GB2312" w:cs="仿宋_GB2312" w:eastAsia="仿宋_GB2312"/>
        </w:rPr>
        <w:t>淳化县车坞中心幼儿园</w:t>
      </w:r>
      <w:r>
        <w:rPr>
          <w:rFonts w:ascii="仿宋_GB2312" w:hAnsi="仿宋_GB2312" w:cs="仿宋_GB2312" w:eastAsia="仿宋_GB2312"/>
        </w:rPr>
        <w:t>委托，拟对</w:t>
      </w:r>
      <w:r>
        <w:rPr>
          <w:rFonts w:ascii="仿宋_GB2312" w:hAnsi="仿宋_GB2312" w:cs="仿宋_GB2312" w:eastAsia="仿宋_GB2312"/>
        </w:rPr>
        <w:t>淳化县车坞镇中心幼儿园园舍提升改造项目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SSJY-CG(G)-2026019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淳化县车坞镇中心幼儿园园舍提升改造项目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项目位于陕西省咸阳市淳化县。本工程对原小学改造为幼儿园，包括综合楼、教师宿舍楼、厕所及室外改造等。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采购包1（淳化县车坞镇中心幼儿园园舍提升改造项目）：属于专门面向中小企业采购。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代表参加磋商：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p>
      <w:pPr>
        <w:pStyle w:val="null3"/>
      </w:pPr>
      <w:r>
        <w:rPr>
          <w:rFonts w:ascii="仿宋_GB2312" w:hAnsi="仿宋_GB2312" w:cs="仿宋_GB2312" w:eastAsia="仿宋_GB2312"/>
        </w:rPr>
        <w:t>3、资质要求：供应商须具备建设部门颁发有效的建筑工程施工总承包叁级（含叁级）以上资质，同时具备建设行政主管部门颁发有效的安全生产许可证；</w:t>
      </w:r>
    </w:p>
    <w:p>
      <w:pPr>
        <w:pStyle w:val="null3"/>
      </w:pPr>
      <w:r>
        <w:rPr>
          <w:rFonts w:ascii="仿宋_GB2312" w:hAnsi="仿宋_GB2312" w:cs="仿宋_GB2312" w:eastAsia="仿宋_GB2312"/>
        </w:rPr>
        <w:t>4、拟派项目经理资质要求：供应商拟派项目经理具备合法有效的建筑工程专业贰级（含贰级）以上注册建造师执业资格和安全生产考核合格证书（安全B证），在本单位注册且无在建工程（提供承诺书）；</w:t>
      </w:r>
    </w:p>
    <w:p>
      <w:pPr>
        <w:pStyle w:val="null3"/>
      </w:pPr>
      <w:r>
        <w:rPr>
          <w:rFonts w:ascii="仿宋_GB2312" w:hAnsi="仿宋_GB2312" w:cs="仿宋_GB2312" w:eastAsia="仿宋_GB2312"/>
        </w:rPr>
        <w:t>5、信用记录：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pPr>
        <w:pStyle w:val="null3"/>
      </w:pPr>
      <w:r>
        <w:rPr>
          <w:rFonts w:ascii="仿宋_GB2312" w:hAnsi="仿宋_GB2312" w:cs="仿宋_GB2312" w:eastAsia="仿宋_GB2312"/>
        </w:rPr>
        <w:t>6、关联关系承诺书：与采购人存在利害关系可能影响采购公正性的单位，不得参加磋商、单位负责人为同一人或存在控股、管理关系的不同单位，不得参加同一标段磋商，否则，相关投标均无效；</w:t>
      </w:r>
    </w:p>
    <w:p>
      <w:pPr>
        <w:pStyle w:val="null3"/>
      </w:pPr>
      <w:r>
        <w:rPr>
          <w:rFonts w:ascii="仿宋_GB2312" w:hAnsi="仿宋_GB2312" w:cs="仿宋_GB2312" w:eastAsia="仿宋_GB2312"/>
        </w:rPr>
        <w:t>7、联合体磋商：本项目不接受联合体磋商。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淳化县车坞中心幼儿园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陕西省咸阳市淳化县车坞镇车坞村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13109638546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陕西盛仕骄阳项目管理有限公司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西安市未央区凤城八路与渭滨路十字西北角水晶新天地6楼11603室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张双艳 王茹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029-89871668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采购包1：668,946.67元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代理服务费收费标准：本项目招标代理服务费依据国家计委《招标代理服务收费管理暂行办法》（计价格〔2002〕1980 号）及国家发展和改革委办公厅《关于招标代理服务收费有关问题的通知》（发改办价格〔2003〕857 号）规定标准计取，收费采用差额定率累进法计算。若依据文件标准计算得出的招标代理服务费金额低于6000 元，则按 6000元收取。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淳化县车坞中心幼儿园</w:t>
      </w:r>
      <w:r>
        <w:rPr>
          <w:rFonts w:ascii="仿宋_GB2312" w:hAnsi="仿宋_GB2312" w:cs="仿宋_GB2312" w:eastAsia="仿宋_GB2312"/>
        </w:rPr>
        <w:t>和</w:t>
      </w:r>
      <w:r>
        <w:rPr>
          <w:rFonts w:ascii="仿宋_GB2312" w:hAnsi="仿宋_GB2312" w:cs="仿宋_GB2312" w:eastAsia="仿宋_GB2312"/>
        </w:rPr>
        <w:t>陕西盛仕骄阳项目管理有限公司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淳化县车坞中心幼儿园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陕西盛仕骄阳项目管理有限公司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淳化县车坞中心幼儿园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陕西盛仕骄阳项目管理有限公司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以采购⼈要求为准。具体详⻅建设⼯程合同。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按照行业管理部门规定的标准、方法和内容进行验收。具体详见建设工程合同。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联系人：张双艳</w:t>
      </w:r>
    </w:p>
    <w:p>
      <w:pPr>
        <w:pStyle w:val="null3"/>
      </w:pPr>
      <w:r>
        <w:rPr>
          <w:rFonts w:ascii="仿宋_GB2312" w:hAnsi="仿宋_GB2312" w:cs="仿宋_GB2312" w:eastAsia="仿宋_GB2312"/>
        </w:rPr>
        <w:t>联系电话：029-89871668</w:t>
      </w:r>
    </w:p>
    <w:p>
      <w:pPr>
        <w:pStyle w:val="null3"/>
      </w:pPr>
      <w:r>
        <w:rPr>
          <w:rFonts w:ascii="仿宋_GB2312" w:hAnsi="仿宋_GB2312" w:cs="仿宋_GB2312" w:eastAsia="仿宋_GB2312"/>
        </w:rPr>
        <w:t>地址：西安市未央区凤城八路与渭滨路十字西北角水晶新天地6楼11603室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668,946.67</w:t>
      </w:r>
    </w:p>
    <w:p>
      <w:pPr>
        <w:pStyle w:val="null3"/>
      </w:pPr>
      <w:r>
        <w:rPr>
          <w:rFonts w:ascii="仿宋_GB2312" w:hAnsi="仿宋_GB2312" w:cs="仿宋_GB2312" w:eastAsia="仿宋_GB2312"/>
        </w:rPr>
        <w:t>采购包最高限价（元）: 668,946.67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淳化县车坞镇中心幼儿园园舍提升改造项目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668,946.67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标的名称：淳化县车坞镇中心幼儿园园舍提升改造项目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工程名称</w:t>
            </w:r>
            <w:r>
              <w:rPr>
                <w:rFonts w:ascii="仿宋_GB2312" w:hAnsi="仿宋_GB2312" w:cs="仿宋_GB2312" w:eastAsia="仿宋_GB2312"/>
              </w:rPr>
              <w:t>:</w:t>
            </w:r>
            <w:r>
              <w:rPr>
                <w:rFonts w:ascii="仿宋_GB2312" w:hAnsi="仿宋_GB2312" w:cs="仿宋_GB2312" w:eastAsia="仿宋_GB2312"/>
              </w:rPr>
              <w:t>淳化县车坞镇中心幼儿园园舍提升改造项目</w:t>
            </w:r>
          </w:p>
          <w:p>
            <w:pPr>
              <w:pStyle w:val="null3"/>
            </w:pPr>
            <w:r>
              <w:rPr>
                <w:rFonts w:ascii="仿宋_GB2312" w:hAnsi="仿宋_GB2312" w:cs="仿宋_GB2312" w:eastAsia="仿宋_GB2312"/>
              </w:rPr>
              <w:t>工程地址</w:t>
            </w:r>
            <w:r>
              <w:rPr>
                <w:rFonts w:ascii="仿宋_GB2312" w:hAnsi="仿宋_GB2312" w:cs="仿宋_GB2312" w:eastAsia="仿宋_GB2312"/>
              </w:rPr>
              <w:t>:</w:t>
            </w:r>
            <w:r>
              <w:rPr>
                <w:rFonts w:ascii="仿宋_GB2312" w:hAnsi="仿宋_GB2312" w:cs="仿宋_GB2312" w:eastAsia="仿宋_GB2312"/>
              </w:rPr>
              <w:t>陕西省咸阳市淳化县</w:t>
            </w:r>
            <w:r>
              <w:rPr>
                <w:rFonts w:ascii="仿宋_GB2312" w:hAnsi="仿宋_GB2312" w:cs="仿宋_GB2312" w:eastAsia="仿宋_GB2312"/>
              </w:rPr>
              <w:t>车坞</w:t>
            </w:r>
            <w:r>
              <w:rPr>
                <w:rFonts w:ascii="仿宋_GB2312" w:hAnsi="仿宋_GB2312" w:cs="仿宋_GB2312" w:eastAsia="仿宋_GB2312"/>
              </w:rPr>
              <w:t>中</w:t>
            </w:r>
            <w:r>
              <w:rPr>
                <w:rFonts w:ascii="仿宋_GB2312" w:hAnsi="仿宋_GB2312" w:cs="仿宋_GB2312" w:eastAsia="仿宋_GB2312"/>
              </w:rPr>
              <w:t>心小学院内</w:t>
            </w:r>
          </w:p>
          <w:p>
            <w:pPr>
              <w:pStyle w:val="null3"/>
            </w:pPr>
            <w:r>
              <w:rPr>
                <w:rFonts w:ascii="仿宋_GB2312" w:hAnsi="仿宋_GB2312" w:cs="仿宋_GB2312" w:eastAsia="仿宋_GB2312"/>
              </w:rPr>
              <w:t>主要内容</w:t>
            </w:r>
            <w:r>
              <w:rPr>
                <w:rFonts w:ascii="仿宋_GB2312" w:hAnsi="仿宋_GB2312" w:cs="仿宋_GB2312" w:eastAsia="仿宋_GB2312"/>
              </w:rPr>
              <w:t>:</w:t>
            </w:r>
            <w:r>
              <w:rPr>
                <w:rFonts w:ascii="仿宋_GB2312" w:hAnsi="仿宋_GB2312" w:cs="仿宋_GB2312" w:eastAsia="仿宋_GB2312"/>
              </w:rPr>
              <w:t>项目位于陕西省咸阳市淳化县。本工程对原小学改造为幼儿园，包括综合楼、教师宿舍楼、厕所及室外改造等</w:t>
            </w:r>
            <w:r>
              <w:rPr>
                <w:rFonts w:ascii="仿宋_GB2312" w:hAnsi="仿宋_GB2312" w:cs="仿宋_GB2312" w:eastAsia="仿宋_GB2312"/>
              </w:rPr>
              <w:t>。</w:t>
            </w:r>
          </w:p>
          <w:p>
            <w:pPr>
              <w:pStyle w:val="null3"/>
            </w:pPr>
            <w:r>
              <w:rPr>
                <w:rFonts w:ascii="仿宋_GB2312" w:hAnsi="仿宋_GB2312" w:cs="仿宋_GB2312" w:eastAsia="仿宋_GB2312"/>
              </w:rPr>
              <w:t>二、工期：</w:t>
            </w:r>
            <w:r>
              <w:rPr>
                <w:rFonts w:ascii="仿宋_GB2312" w:hAnsi="仿宋_GB2312" w:cs="仿宋_GB2312" w:eastAsia="仿宋_GB2312"/>
              </w:rPr>
              <w:t>自合同签订之日起</w:t>
            </w:r>
            <w:r>
              <w:rPr>
                <w:rFonts w:ascii="仿宋_GB2312" w:hAnsi="仿宋_GB2312" w:cs="仿宋_GB2312" w:eastAsia="仿宋_GB2312"/>
              </w:rPr>
              <w:t>30日历日</w:t>
            </w:r>
            <w:r>
              <w:rPr>
                <w:rFonts w:ascii="仿宋_GB2312" w:hAnsi="仿宋_GB2312" w:cs="仿宋_GB2312" w:eastAsia="仿宋_GB2312"/>
              </w:rPr>
              <w:t>。</w:t>
            </w:r>
          </w:p>
          <w:p>
            <w:pPr>
              <w:pStyle w:val="null3"/>
            </w:pPr>
            <w:r>
              <w:rPr>
                <w:rFonts w:ascii="仿宋_GB2312" w:hAnsi="仿宋_GB2312" w:cs="仿宋_GB2312" w:eastAsia="仿宋_GB2312"/>
              </w:rPr>
              <w:t>三、质量标准：工程质量必须达到国家建设工程验收标准的合格。</w:t>
            </w:r>
          </w:p>
          <w:p>
            <w:pPr>
              <w:pStyle w:val="null3"/>
            </w:pPr>
            <w:r>
              <w:rPr>
                <w:rFonts w:ascii="仿宋_GB2312" w:hAnsi="仿宋_GB2312" w:cs="仿宋_GB2312" w:eastAsia="仿宋_GB2312"/>
              </w:rPr>
              <w:t>四、</w:t>
            </w:r>
            <w:r>
              <w:rPr>
                <w:rFonts w:ascii="仿宋_GB2312" w:hAnsi="仿宋_GB2312" w:cs="仿宋_GB2312" w:eastAsia="仿宋_GB2312"/>
              </w:rPr>
              <w:t>质量保修期</w:t>
            </w:r>
            <w:r>
              <w:rPr>
                <w:rFonts w:ascii="仿宋_GB2312" w:hAnsi="仿宋_GB2312" w:cs="仿宋_GB2312" w:eastAsia="仿宋_GB2312"/>
              </w:rPr>
              <w:t>/缺项责任期：</w:t>
            </w:r>
          </w:p>
          <w:p>
            <w:pPr>
              <w:pStyle w:val="null3"/>
            </w:pPr>
            <w:r>
              <w:rPr>
                <w:rFonts w:ascii="仿宋_GB2312" w:hAnsi="仿宋_GB2312" w:cs="仿宋_GB2312" w:eastAsia="仿宋_GB2312"/>
              </w:rPr>
              <w:t>质量保修期：自项目验收合格之日起</w:t>
            </w:r>
            <w:r>
              <w:rPr>
                <w:rFonts w:ascii="仿宋_GB2312" w:hAnsi="仿宋_GB2312" w:cs="仿宋_GB2312" w:eastAsia="仿宋_GB2312"/>
              </w:rPr>
              <w:t>2年；缺陷责任期：2年。</w:t>
            </w:r>
          </w:p>
          <w:p>
            <w:pPr>
              <w:pStyle w:val="null3"/>
            </w:pPr>
            <w:r>
              <w:rPr>
                <w:rFonts w:ascii="仿宋_GB2312" w:hAnsi="仿宋_GB2312" w:cs="仿宋_GB2312" w:eastAsia="仿宋_GB2312"/>
              </w:rPr>
              <w:t>五</w:t>
            </w:r>
            <w:r>
              <w:rPr>
                <w:rFonts w:ascii="仿宋_GB2312" w:hAnsi="仿宋_GB2312" w:cs="仿宋_GB2312" w:eastAsia="仿宋_GB2312"/>
              </w:rPr>
              <w:t>、编制依据</w:t>
            </w:r>
          </w:p>
          <w:p>
            <w:pPr>
              <w:pStyle w:val="null3"/>
            </w:pPr>
            <w:r>
              <w:rPr>
                <w:rFonts w:ascii="仿宋_GB2312" w:hAnsi="仿宋_GB2312" w:cs="仿宋_GB2312" w:eastAsia="仿宋_GB2312"/>
              </w:rPr>
              <w:t>1．工程量</w:t>
            </w:r>
            <w:r>
              <w:rPr>
                <w:rFonts w:ascii="仿宋_GB2312" w:hAnsi="仿宋_GB2312" w:cs="仿宋_GB2312" w:eastAsia="仿宋_GB2312"/>
              </w:rPr>
              <w:t>依据《淳化县车坞镇中心幼儿园园舍提升改造项目》施</w:t>
            </w:r>
            <w:r>
              <w:rPr>
                <w:rFonts w:ascii="仿宋_GB2312" w:hAnsi="仿宋_GB2312" w:cs="仿宋_GB2312" w:eastAsia="仿宋_GB2312"/>
              </w:rPr>
              <w:t>工图纸核算；</w:t>
            </w:r>
          </w:p>
          <w:p>
            <w:pPr>
              <w:pStyle w:val="null3"/>
            </w:pPr>
            <w:r>
              <w:rPr>
                <w:rFonts w:ascii="仿宋_GB2312" w:hAnsi="仿宋_GB2312" w:cs="仿宋_GB2312" w:eastAsia="仿宋_GB2312"/>
              </w:rPr>
              <w:t>2．计价规则依据《陕西省建设工程工程量清单计价计量标准2025》《陕西省房屋建筑与装饰工程价目表》（2025）《陕西省通用安装工程价目表》（2025）《陕西省市政工程基价表》（2025）及其他相关的计价依据和办法 ；</w:t>
            </w:r>
          </w:p>
          <w:p>
            <w:pPr>
              <w:pStyle w:val="null3"/>
            </w:pPr>
            <w:r>
              <w:rPr>
                <w:rFonts w:ascii="仿宋_GB2312" w:hAnsi="仿宋_GB2312" w:cs="仿宋_GB2312" w:eastAsia="仿宋_GB2312"/>
              </w:rPr>
              <w:t>3．《关于印发2025陕西省建设工程费用规则等计量依据的通知》陕建管发（2025）10号文件；</w:t>
            </w:r>
          </w:p>
          <w:p>
            <w:pPr>
              <w:pStyle w:val="null3"/>
            </w:pPr>
            <w:r>
              <w:rPr>
                <w:rFonts w:ascii="仿宋_GB2312" w:hAnsi="仿宋_GB2312" w:cs="仿宋_GB2312" w:eastAsia="仿宋_GB2312"/>
              </w:rPr>
              <w:t>4．材料价格执行《陕西咸阳工程造价管理信息（材料信息价）》2026年第三期材料价，信息价没有的材料价格采用市场价格计入；</w:t>
            </w:r>
          </w:p>
          <w:p>
            <w:pPr>
              <w:pStyle w:val="null3"/>
            </w:pPr>
            <w:r>
              <w:rPr>
                <w:rFonts w:ascii="仿宋_GB2312" w:hAnsi="仿宋_GB2312" w:cs="仿宋_GB2312" w:eastAsia="仿宋_GB2312"/>
              </w:rPr>
              <w:t>5．与建设工程项目有关的标准、规范、技术资料等。</w:t>
            </w:r>
          </w:p>
          <w:p>
            <w:pPr>
              <w:pStyle w:val="null3"/>
            </w:pPr>
            <w:r>
              <w:rPr>
                <w:rFonts w:ascii="仿宋_GB2312" w:hAnsi="仿宋_GB2312" w:cs="仿宋_GB2312" w:eastAsia="仿宋_GB2312"/>
              </w:rPr>
              <w:t>六、付款方式（因系统格式问题，付款方式以此内容为准）</w:t>
            </w:r>
          </w:p>
          <w:p>
            <w:pPr>
              <w:pStyle w:val="null3"/>
            </w:pPr>
            <w:r>
              <w:rPr>
                <w:rFonts w:ascii="仿宋_GB2312" w:hAnsi="仿宋_GB2312" w:cs="仿宋_GB2312" w:eastAsia="仿宋_GB2312"/>
              </w:rPr>
              <w:t>1、合同签定后，人员材料进场，达到付款条件起10个工作日内，支付合同总价的40%作为预付款；</w:t>
            </w:r>
          </w:p>
          <w:p>
            <w:pPr>
              <w:pStyle w:val="null3"/>
            </w:pPr>
            <w:r>
              <w:rPr>
                <w:rFonts w:ascii="仿宋_GB2312" w:hAnsi="仿宋_GB2312" w:cs="仿宋_GB2312" w:eastAsia="仿宋_GB2312"/>
              </w:rPr>
              <w:t>2、工程完工后，达到付款条件起10个工作日内，支付合同总金额的40.0%；</w:t>
            </w:r>
          </w:p>
          <w:p>
            <w:pPr>
              <w:pStyle w:val="null3"/>
            </w:pPr>
            <w:r>
              <w:rPr>
                <w:rFonts w:ascii="仿宋_GB2312" w:hAnsi="仿宋_GB2312" w:cs="仿宋_GB2312" w:eastAsia="仿宋_GB2312"/>
              </w:rPr>
              <w:t>3、待决算审计后，达到付款条件起10个工作日内，支付至结算价款的97%；</w:t>
            </w:r>
          </w:p>
          <w:p>
            <w:pPr>
              <w:pStyle w:val="null3"/>
            </w:pPr>
            <w:r>
              <w:rPr>
                <w:rFonts w:ascii="仿宋_GB2312" w:hAnsi="仿宋_GB2312" w:cs="仿宋_GB2312" w:eastAsia="仿宋_GB2312"/>
              </w:rPr>
              <w:t>4、留评审结算价款3%的尾款作为质保金，自工程验收合格之日起算，满一年后采购人进行复检无质量问题，达到付款条件起10个工作日内，一次性无息付清剩余质保金。</w:t>
            </w:r>
          </w:p>
          <w:p>
            <w:pPr>
              <w:pStyle w:val="null3"/>
            </w:pPr>
            <w:r>
              <w:rPr>
                <w:rFonts w:ascii="仿宋_GB2312" w:hAnsi="仿宋_GB2312" w:cs="仿宋_GB2312" w:eastAsia="仿宋_GB2312"/>
              </w:rPr>
              <w:t>七</w:t>
            </w:r>
            <w:r>
              <w:rPr>
                <w:rFonts w:ascii="仿宋_GB2312" w:hAnsi="仿宋_GB2312" w:cs="仿宋_GB2312" w:eastAsia="仿宋_GB2312"/>
              </w:rPr>
              <w:t>、报价说明</w:t>
            </w:r>
          </w:p>
          <w:p>
            <w:pPr>
              <w:pStyle w:val="null3"/>
            </w:pPr>
            <w:r>
              <w:rPr>
                <w:rFonts w:ascii="仿宋_GB2312" w:hAnsi="仿宋_GB2312" w:cs="仿宋_GB2312" w:eastAsia="仿宋_GB2312"/>
              </w:rPr>
              <w:t>1、工程量清单为竞争性磋商文件的组成部分，一经成交且签订合同，即成为合同的组成部分。</w:t>
            </w:r>
          </w:p>
          <w:p>
            <w:pPr>
              <w:pStyle w:val="null3"/>
            </w:pPr>
            <w:r>
              <w:rPr>
                <w:rFonts w:ascii="仿宋_GB2312" w:hAnsi="仿宋_GB2312" w:cs="仿宋_GB2312" w:eastAsia="仿宋_GB2312"/>
              </w:rPr>
              <w:t>2、工程量清单中各项金额均以人民币（元）结算。</w:t>
            </w:r>
          </w:p>
          <w:p>
            <w:pPr>
              <w:pStyle w:val="null3"/>
            </w:pPr>
            <w:r>
              <w:rPr>
                <w:rFonts w:ascii="仿宋_GB2312" w:hAnsi="仿宋_GB2312" w:cs="仿宋_GB2312" w:eastAsia="仿宋_GB2312"/>
              </w:rPr>
              <w:t>3、供应商不得随意改动工程量清单内容，评标时均按采购人所发的工程量清单进行检查和评审。</w:t>
            </w:r>
          </w:p>
          <w:p>
            <w:pPr>
              <w:pStyle w:val="null3"/>
            </w:pPr>
            <w:r>
              <w:rPr>
                <w:rFonts w:ascii="仿宋_GB2312" w:hAnsi="仿宋_GB2312" w:cs="仿宋_GB2312" w:eastAsia="仿宋_GB2312"/>
              </w:rPr>
              <w:t>4、磋商报价为完成本项目所发生的一切费用,包括施工及质量保修期间所有含税费用，如有遗漏，视为已包含在内。</w:t>
            </w:r>
          </w:p>
          <w:p>
            <w:pPr>
              <w:pStyle w:val="null3"/>
            </w:pPr>
            <w:r>
              <w:rPr>
                <w:rFonts w:ascii="仿宋_GB2312" w:hAnsi="仿宋_GB2312" w:cs="仿宋_GB2312" w:eastAsia="仿宋_GB2312"/>
              </w:rPr>
              <w:t>5、本项目为固定总价，一次包死，交钥匙工程。</w:t>
            </w:r>
          </w:p>
          <w:p>
            <w:pPr>
              <w:pStyle w:val="null3"/>
            </w:pPr>
            <w:r>
              <w:rPr>
                <w:rFonts w:ascii="仿宋_GB2312" w:hAnsi="仿宋_GB2312" w:cs="仿宋_GB2312" w:eastAsia="仿宋_GB2312"/>
              </w:rPr>
              <w:t>八</w:t>
            </w:r>
            <w:r>
              <w:rPr>
                <w:rFonts w:ascii="仿宋_GB2312" w:hAnsi="仿宋_GB2312" w:cs="仿宋_GB2312" w:eastAsia="仿宋_GB2312"/>
              </w:rPr>
              <w:t>、安全要求</w:t>
            </w:r>
          </w:p>
          <w:p>
            <w:pPr>
              <w:pStyle w:val="null3"/>
            </w:pPr>
            <w:r>
              <w:rPr>
                <w:rFonts w:ascii="仿宋_GB2312" w:hAnsi="仿宋_GB2312" w:cs="仿宋_GB2312" w:eastAsia="仿宋_GB2312"/>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rPr>
              <w:t>九</w:t>
            </w:r>
            <w:r>
              <w:rPr>
                <w:rFonts w:ascii="仿宋_GB2312" w:hAnsi="仿宋_GB2312" w:cs="仿宋_GB2312" w:eastAsia="仿宋_GB2312"/>
              </w:rPr>
              <w:t>、工程施工基本要求</w:t>
            </w:r>
          </w:p>
          <w:p>
            <w:pPr>
              <w:pStyle w:val="null3"/>
            </w:pPr>
            <w:r>
              <w:rPr>
                <w:rFonts w:ascii="仿宋_GB2312" w:hAnsi="仿宋_GB2312" w:cs="仿宋_GB2312" w:eastAsia="仿宋_GB2312"/>
              </w:rPr>
              <w:t>严格遵循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p>
            <w:pPr>
              <w:pStyle w:val="null3"/>
            </w:pPr>
            <w:r>
              <w:rPr>
                <w:rFonts w:ascii="仿宋_GB2312" w:hAnsi="仿宋_GB2312" w:cs="仿宋_GB2312" w:eastAsia="仿宋_GB2312"/>
              </w:rPr>
              <w:t>十</w:t>
            </w:r>
            <w:r>
              <w:rPr>
                <w:rFonts w:ascii="仿宋_GB2312" w:hAnsi="仿宋_GB2312" w:cs="仿宋_GB2312" w:eastAsia="仿宋_GB2312"/>
              </w:rPr>
              <w:t>、其他要求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本工程采用广联达云计价平台</w:t>
            </w:r>
            <w:r>
              <w:rPr>
                <w:rFonts w:ascii="仿宋_GB2312" w:hAnsi="仿宋_GB2312" w:cs="仿宋_GB2312" w:eastAsia="仿宋_GB2312"/>
                <w:sz w:val="21"/>
              </w:rPr>
              <w:t>GCCP7.0（版本号：陕西地区7.5000.23.</w:t>
            </w:r>
            <w:r>
              <w:rPr>
                <w:rFonts w:ascii="仿宋_GB2312" w:hAnsi="仿宋_GB2312" w:cs="仿宋_GB2312" w:eastAsia="仿宋_GB2312"/>
                <w:sz w:val="21"/>
              </w:rPr>
              <w:t>3</w:t>
            </w:r>
            <w:r>
              <w:rPr>
                <w:rFonts w:ascii="仿宋_GB2312" w:hAnsi="仿宋_GB2312" w:cs="仿宋_GB2312" w:eastAsia="仿宋_GB2312"/>
                <w:sz w:val="21"/>
              </w:rPr>
              <w:t>）编制。</w:t>
            </w:r>
          </w:p>
          <w:p>
            <w:pPr>
              <w:pStyle w:val="null3"/>
            </w:pPr>
            <w:r>
              <w:rPr>
                <w:rFonts w:ascii="仿宋_GB2312" w:hAnsi="仿宋_GB2312" w:cs="仿宋_GB2312" w:eastAsia="仿宋_GB2312"/>
                <w:sz w:val="21"/>
              </w:rPr>
              <w:t>2、</w:t>
            </w:r>
            <w:r>
              <w:rPr>
                <w:rFonts w:ascii="仿宋_GB2312" w:hAnsi="仿宋_GB2312" w:cs="仿宋_GB2312" w:eastAsia="仿宋_GB2312"/>
                <w:sz w:val="21"/>
              </w:rPr>
              <w:t>本项目暂列金：</w:t>
            </w:r>
            <w:r>
              <w:rPr>
                <w:rFonts w:ascii="仿宋_GB2312" w:hAnsi="仿宋_GB2312" w:cs="仿宋_GB2312" w:eastAsia="仿宋_GB2312"/>
                <w:sz w:val="21"/>
              </w:rPr>
              <w:t>78000元。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根据采购人、采购文件要求及合同约定执行，达到现行施工质量验收规范“合格”标准。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1、供应商根据工程量清单在编制磋商响应文件时须提供已标价工程量清单，已标价工程量清单封面必须由造价人员签字并加盖执业专用章。 2、供应商无需提交纸质响应文件，待项目成交结果公布后，由成交供应商补交一正两副纸质竞争性磋商响应文件和贰份电子版文件（U盘）。成交供应商应确保响应文件纸质版内容与陕西省政府采购综合管理平台项目电子化交易系统（以下简称“项目电子化交易系统”）的电子版内容完全一致，否则将承担一切法律责任。 3、落实的其他政府采购政策要求：（1）《政府采购促进中小企业发展管理办法》（财库〔2020〕46号）；（2）《财政部司法部关于政府采购支持监狱企业发展有关问题的通知》（财库〔2014〕68号）；（3）《国务院办公厅关于建立政府强制采购节能产品制度的通知》（国办发〔2007〕51号）；（4）《环境标志产品政府采购实施的意见》（财库〔2006〕90号）；（5）《关于促进残疾人就业政府采购政策的通知》（财库〔2017〕141号）；（6）财政部国家发展改革委关于印发〈节能产品政府采购实施意见〉的通知》（财库〔2004〕185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关于运用政府采购政策支持乡村产业振兴的通知》（财库〔2021〕19号）；（11）《陕西省中小企业政府采购信用融资办法》（陕财办采〔2018〕23号）；(12)《陕西省财政厅关于加快推进我省中小企业政府采购信用融资工作的通知》（陕财办采〔2020〕15号）；（13）《财政部关于在政府采购活动中查询及使用信用记录有关问题的通知》（财库〔2016〕125号）；（14）《财政部关于进一步加大政府采购支持中小企业力度的通知》（财库〔2022〕19号）；（15）其他落实的政府采购政策。若享受以上政策优惠的企业，需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供应商需在项目电子化交易系统中按要求填写《响应函》完成承诺并进行电子签章。同时提供以下资料并进行电子签章： a.具有独立承担民事责任能力的法人、其他组织或自然人，并出具合法有效的营业执照或事业单位法人证书等国家规定的相关证明，自然人参与的提供其身份证明；b.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c.供应商须提供2025年6月至今任意一个月已缴纳完税凭证或税务机关开具的完税证明，依法免税或无须缴纳税收的供应商应提供相关文件证明； d.供应商须提供2025年6月至今任意一个月已缴纳的社会保障资金缴存单据或社保机构开具的社会保险参保缴费情况证明，依法不需要缴纳社会保障资金的供应商应提供相关证明；e.具备履行合同所必需的设备和专业技术能力的证明材料(由供应商根据项目需求提供说明材料或者承诺)；f.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法定代表人身份证明或法定代表人授权代表参加磋商</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供应商须具备建设部门颁发有效的建筑工程施工总承包叁级（含叁级）以上资质，同时具备建设行政主管部门颁发有效的安全生产许可证；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供应商拟派项目经理具备合法有效的建筑工程专业贰级（含贰级）以上注册建造师执业资格和安全生产考核合格证书（安全B证），在本单位注册且无在建工程（提供承诺书）；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与采购人存在利害关系可能影响采购公正性的单位，不得参加磋商、单位负责人为同一人或存在控股、管理关系的不同单位，不得参加同一标段磋商，否则，相关投标均无效；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磋商报价未超过最高限价(合格)； 磋商报价超过最高限价(不合格 ) 。</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响应文件的签署、盖章满足磋商文件要求(合格)； 响应文件的签署、盖章不满足磋商文件要求(不合格)。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工期未超过磋商文件要求（合格）； 工期超过磋商文件要求(不合格) 。</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磋商有效期满足磋商文件要求(合格)； 响应文件无磋商有效期或有效期不满足磋商文件要求(不合格)。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完全响应商务条款和技术内容要求（合格）； 未响应完全响应商务条款和技术内容要求（不合格）。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有采购人不能接受的附加条件(不合格)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 存在法律、法规和磋商文件规定的其他无效情形(不合格)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供应商应提交的相关资格证明材料.docx 项目管理机构组成表 残疾人福利性单位声明函 施工方案.docx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2分，方案缺漏项或只有标题没有实质性内容的扣8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评审内容：确保安全生产的技术组织措施 评审标准：技术组织措施切合本项目实际情况，内容详细有针对性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评审标准：以上内容与要点相符、每个要点均有展开详细的阐述且能够适用于本项目的得6分；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供应商具有2023年（附合同协议书等相关证明材料；以合同签订日期为准）至今类似项目业绩，每提供1个得2分，满分6分。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详见附件：拟采购的合同文本.docx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