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C1A546">
      <w:pPr>
        <w:widowControl w:val="0"/>
        <w:topLinePunct/>
        <w:jc w:val="center"/>
        <w:rPr>
          <w:rFonts w:eastAsia="宋体" w:cs="Tahoma"/>
          <w:sz w:val="44"/>
          <w:szCs w:val="44"/>
        </w:rPr>
      </w:pPr>
      <w:bookmarkStart w:id="17" w:name="_GoBack"/>
      <w:bookmarkEnd w:id="17"/>
    </w:p>
    <w:p w14:paraId="67EE627E">
      <w:pPr>
        <w:widowControl w:val="0"/>
        <w:topLinePunct/>
        <w:jc w:val="center"/>
        <w:rPr>
          <w:rFonts w:eastAsia="宋体" w:cs="Tahoma"/>
          <w:sz w:val="44"/>
          <w:szCs w:val="44"/>
        </w:rPr>
      </w:pPr>
    </w:p>
    <w:p w14:paraId="3F456379">
      <w:pPr>
        <w:widowControl w:val="0"/>
        <w:topLinePunct/>
        <w:jc w:val="center"/>
        <w:rPr>
          <w:rFonts w:eastAsia="宋体" w:cs="Tahoma"/>
          <w:sz w:val="44"/>
          <w:szCs w:val="44"/>
        </w:rPr>
      </w:pPr>
    </w:p>
    <w:p w14:paraId="640601C8">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557F33EA">
      <w:pPr>
        <w:pStyle w:val="33"/>
        <w:widowControl w:val="0"/>
        <w:topLinePunct/>
        <w:rPr>
          <w:rFonts w:cstheme="minorHAnsi"/>
        </w:rPr>
      </w:pPr>
      <w:r>
        <w:rPr>
          <w:rFonts w:hint="eastAsia" w:cstheme="minorHAnsi"/>
        </w:rPr>
        <w:t>竞争性谈判文件</w:t>
      </w:r>
    </w:p>
    <w:p w14:paraId="0BF7852F">
      <w:pPr>
        <w:widowControl w:val="0"/>
        <w:topLinePunct/>
        <w:spacing w:line="360" w:lineRule="auto"/>
        <w:jc w:val="center"/>
        <w:rPr>
          <w:rFonts w:eastAsia="宋体" w:cs="Tahoma"/>
          <w:sz w:val="36"/>
          <w:szCs w:val="36"/>
        </w:rPr>
      </w:pPr>
    </w:p>
    <w:p w14:paraId="31BD0224">
      <w:pPr>
        <w:pStyle w:val="36"/>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cs="Tahoma" w:asciiTheme="minorHAnsi" w:hAnsiTheme="minorHAnsi"/>
          <w:color w:val="C00000"/>
        </w:rPr>
        <w:t>西安市第八十三中学学校教学及辅助用房维修改造（办公设备）</w:t>
      </w:r>
    </w:p>
    <w:p w14:paraId="3B07DD0B">
      <w:pPr>
        <w:pStyle w:val="36"/>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XCZX2026-0086</w:t>
      </w:r>
    </w:p>
    <w:p w14:paraId="37B7D127">
      <w:pPr>
        <w:widowControl w:val="0"/>
        <w:topLinePunct/>
        <w:spacing w:line="360" w:lineRule="auto"/>
        <w:jc w:val="center"/>
        <w:rPr>
          <w:rFonts w:eastAsia="宋体" w:cs="Tahoma"/>
          <w:sz w:val="36"/>
          <w:szCs w:val="36"/>
        </w:rPr>
      </w:pPr>
    </w:p>
    <w:p w14:paraId="21DF9D10">
      <w:pPr>
        <w:widowControl w:val="0"/>
        <w:topLinePunct/>
        <w:spacing w:line="360" w:lineRule="auto"/>
        <w:jc w:val="center"/>
        <w:rPr>
          <w:rFonts w:eastAsia="宋体" w:cs="Tahoma"/>
          <w:sz w:val="36"/>
          <w:szCs w:val="36"/>
        </w:rPr>
      </w:pPr>
    </w:p>
    <w:p w14:paraId="1A9924C3">
      <w:pPr>
        <w:widowControl w:val="0"/>
        <w:topLinePunct/>
        <w:spacing w:line="360" w:lineRule="auto"/>
        <w:jc w:val="center"/>
        <w:rPr>
          <w:rFonts w:eastAsia="宋体" w:cs="Tahoma"/>
          <w:sz w:val="36"/>
          <w:szCs w:val="36"/>
        </w:rPr>
      </w:pPr>
    </w:p>
    <w:p w14:paraId="00241E4B">
      <w:pPr>
        <w:widowControl w:val="0"/>
        <w:topLinePunct/>
        <w:spacing w:line="360" w:lineRule="auto"/>
        <w:jc w:val="center"/>
        <w:rPr>
          <w:rFonts w:eastAsia="宋体" w:cs="Tahoma"/>
          <w:sz w:val="36"/>
          <w:szCs w:val="36"/>
        </w:rPr>
      </w:pPr>
    </w:p>
    <w:p w14:paraId="04AAC15F">
      <w:pPr>
        <w:widowControl w:val="0"/>
        <w:topLinePunct/>
        <w:spacing w:line="360" w:lineRule="auto"/>
        <w:jc w:val="center"/>
        <w:rPr>
          <w:rFonts w:eastAsia="宋体" w:cs="Tahoma"/>
          <w:sz w:val="36"/>
          <w:szCs w:val="36"/>
        </w:rPr>
      </w:pPr>
    </w:p>
    <w:p w14:paraId="25C90DBD">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2026年8月</w:t>
      </w:r>
      <w:r>
        <w:rPr>
          <w:rFonts w:eastAsia="宋体" w:cs="Tahoma" w:asciiTheme="minorHAnsi" w:hAnsiTheme="minorHAnsi"/>
        </w:rPr>
        <w:fldChar w:fldCharType="end"/>
      </w:r>
    </w:p>
    <w:p w14:paraId="2D20E4AA">
      <w:pPr>
        <w:widowControl w:val="0"/>
        <w:topLinePunct/>
        <w:jc w:val="center"/>
        <w:rPr>
          <w:rFonts w:eastAsia="宋体" w:cstheme="minorHAnsi"/>
          <w:sz w:val="36"/>
          <w:szCs w:val="36"/>
        </w:rPr>
      </w:pPr>
      <w:r>
        <w:rPr>
          <w:rFonts w:eastAsia="宋体" w:cstheme="minorHAnsi"/>
          <w:sz w:val="36"/>
          <w:szCs w:val="36"/>
        </w:rPr>
        <w:br w:type="page"/>
      </w:r>
    </w:p>
    <w:p w14:paraId="61F1089D">
      <w:pPr>
        <w:widowControl w:val="0"/>
        <w:topLinePunct/>
        <w:jc w:val="center"/>
        <w:rPr>
          <w:sz w:val="44"/>
          <w:szCs w:val="44"/>
        </w:rPr>
      </w:pPr>
    </w:p>
    <w:p w14:paraId="76E44FBA">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2FD38F41">
      <w:pPr>
        <w:widowControl w:val="0"/>
        <w:topLinePunct/>
        <w:jc w:val="center"/>
        <w:rPr>
          <w:rFonts w:ascii="黑体" w:hAnsi="黑体" w:eastAsia="黑体" w:cstheme="minorHAnsi"/>
          <w:sz w:val="44"/>
          <w:szCs w:val="44"/>
        </w:rPr>
      </w:pPr>
    </w:p>
    <w:p w14:paraId="1E319821">
      <w:pPr>
        <w:pStyle w:val="19"/>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"_Toc234572934" </w:instrText>
      </w:r>
      <w:r>
        <w:fldChar w:fldCharType="separate"/>
      </w:r>
      <w:r>
        <w:rPr>
          <w:rStyle w:val="31"/>
          <w:rFonts w:hint="eastAsia"/>
        </w:rPr>
        <w:t>第一章　谈判邀请函</w:t>
      </w:r>
      <w:r>
        <w:tab/>
      </w:r>
      <w:r>
        <w:fldChar w:fldCharType="begin"/>
      </w:r>
      <w:r>
        <w:instrText xml:space="preserve"> PAGEREF _Toc234572934 \h </w:instrText>
      </w:r>
      <w:r>
        <w:fldChar w:fldCharType="separate"/>
      </w:r>
      <w:r>
        <w:t>1</w:t>
      </w:r>
      <w:r>
        <w:fldChar w:fldCharType="end"/>
      </w:r>
      <w:r>
        <w:fldChar w:fldCharType="end"/>
      </w:r>
    </w:p>
    <w:p w14:paraId="6FA5EF85">
      <w:pPr>
        <w:pStyle w:val="19"/>
        <w:rPr>
          <w:rFonts w:asciiTheme="minorHAnsi" w:hAnsiTheme="minorHAnsi" w:eastAsiaTheme="minorEastAsia" w:cstheme="minorBidi"/>
          <w:kern w:val="2"/>
          <w:sz w:val="21"/>
          <w:szCs w:val="22"/>
        </w:rPr>
      </w:pPr>
      <w:r>
        <w:fldChar w:fldCharType="begin"/>
      </w:r>
      <w:r>
        <w:instrText xml:space="preserve"> HYPERLINK \l "_Toc234572935" </w:instrText>
      </w:r>
      <w:r>
        <w:fldChar w:fldCharType="separate"/>
      </w:r>
      <w:r>
        <w:rPr>
          <w:rStyle w:val="31"/>
          <w:rFonts w:hint="eastAsia"/>
        </w:rPr>
        <w:t>第二章　供应商须知</w:t>
      </w:r>
      <w:r>
        <w:tab/>
      </w:r>
      <w:r>
        <w:fldChar w:fldCharType="begin"/>
      </w:r>
      <w:r>
        <w:instrText xml:space="preserve"> PAGEREF _Toc234572935 \h </w:instrText>
      </w:r>
      <w:r>
        <w:fldChar w:fldCharType="separate"/>
      </w:r>
      <w:r>
        <w:t>4</w:t>
      </w:r>
      <w:r>
        <w:fldChar w:fldCharType="end"/>
      </w:r>
      <w:r>
        <w:fldChar w:fldCharType="end"/>
      </w:r>
    </w:p>
    <w:p w14:paraId="4BE2B0BC">
      <w:pPr>
        <w:pStyle w:val="19"/>
        <w:rPr>
          <w:rFonts w:asciiTheme="minorHAnsi" w:hAnsiTheme="minorHAnsi" w:eastAsiaTheme="minorEastAsia" w:cstheme="minorBidi"/>
          <w:kern w:val="2"/>
          <w:sz w:val="21"/>
          <w:szCs w:val="22"/>
        </w:rPr>
      </w:pPr>
      <w:r>
        <w:fldChar w:fldCharType="begin"/>
      </w:r>
      <w:r>
        <w:instrText xml:space="preserve"> HYPERLINK \l "_Toc234572936" </w:instrText>
      </w:r>
      <w:r>
        <w:fldChar w:fldCharType="separate"/>
      </w:r>
      <w:r>
        <w:rPr>
          <w:rStyle w:val="31"/>
          <w:rFonts w:hint="eastAsia"/>
        </w:rPr>
        <w:t>第三章　谈判内容及要求</w:t>
      </w:r>
      <w:r>
        <w:tab/>
      </w:r>
      <w:r>
        <w:fldChar w:fldCharType="begin"/>
      </w:r>
      <w:r>
        <w:instrText xml:space="preserve"> PAGEREF _Toc234572936 \h </w:instrText>
      </w:r>
      <w:r>
        <w:fldChar w:fldCharType="separate"/>
      </w:r>
      <w:r>
        <w:t>31</w:t>
      </w:r>
      <w:r>
        <w:fldChar w:fldCharType="end"/>
      </w:r>
      <w:r>
        <w:fldChar w:fldCharType="end"/>
      </w:r>
    </w:p>
    <w:p w14:paraId="52A2FA08">
      <w:pPr>
        <w:pStyle w:val="19"/>
        <w:rPr>
          <w:rFonts w:cstheme="minorBidi"/>
          <w:kern w:val="2"/>
          <w:sz w:val="21"/>
          <w:szCs w:val="22"/>
        </w:rPr>
      </w:pPr>
      <w:r>
        <w:fldChar w:fldCharType="begin"/>
      </w:r>
      <w:r>
        <w:instrText xml:space="preserve"> HYPERLINK \l "_Toc234572937" </w:instrText>
      </w:r>
      <w:r>
        <w:fldChar w:fldCharType="separate"/>
      </w:r>
      <w:r>
        <w:rPr>
          <w:rStyle w:val="31"/>
          <w:rFonts w:hint="eastAsia"/>
        </w:rPr>
        <w:t>第四章　合同草案条款</w:t>
      </w:r>
      <w:r>
        <w:tab/>
      </w:r>
      <w:r>
        <w:fldChar w:fldCharType="begin"/>
      </w:r>
      <w:r>
        <w:instrText xml:space="preserve"> PAGEREF _Toc234572937 \h </w:instrText>
      </w:r>
      <w:r>
        <w:fldChar w:fldCharType="separate"/>
      </w:r>
      <w:r>
        <w:t>35</w:t>
      </w:r>
      <w:r>
        <w:fldChar w:fldCharType="end"/>
      </w:r>
      <w:r>
        <w:fldChar w:fldCharType="end"/>
      </w:r>
    </w:p>
    <w:p w14:paraId="515EE7A9">
      <w:pPr>
        <w:pStyle w:val="19"/>
        <w:rPr>
          <w:rFonts w:asciiTheme="minorHAnsi" w:hAnsiTheme="minorHAnsi" w:eastAsiaTheme="minorEastAsia" w:cstheme="minorBidi"/>
          <w:kern w:val="2"/>
          <w:sz w:val="21"/>
          <w:szCs w:val="22"/>
        </w:rPr>
      </w:pPr>
      <w:r>
        <w:fldChar w:fldCharType="begin"/>
      </w:r>
      <w:r>
        <w:instrText xml:space="preserve"> HYPERLINK \l "_Toc234572938" </w:instrText>
      </w:r>
      <w:r>
        <w:fldChar w:fldCharType="separate"/>
      </w:r>
      <w:r>
        <w:rPr>
          <w:rStyle w:val="31"/>
          <w:rFonts w:hint="eastAsia"/>
        </w:rPr>
        <w:t>第五章　响应文件构成及格式</w:t>
      </w:r>
      <w:r>
        <w:tab/>
      </w:r>
      <w:r>
        <w:fldChar w:fldCharType="begin"/>
      </w:r>
      <w:r>
        <w:instrText xml:space="preserve"> PAGEREF _Toc234572938 \h </w:instrText>
      </w:r>
      <w:r>
        <w:fldChar w:fldCharType="separate"/>
      </w:r>
      <w:r>
        <w:t>40</w:t>
      </w:r>
      <w:r>
        <w:fldChar w:fldCharType="end"/>
      </w:r>
      <w:r>
        <w:fldChar w:fldCharType="end"/>
      </w:r>
    </w:p>
    <w:p w14:paraId="41D1F5B5">
      <w:pPr>
        <w:pStyle w:val="19"/>
        <w:rPr>
          <w:sz w:val="36"/>
          <w:szCs w:val="36"/>
        </w:rPr>
      </w:pPr>
      <w:r>
        <w:fldChar w:fldCharType="end"/>
      </w:r>
    </w:p>
    <w:p w14:paraId="2ECBF653">
      <w:pPr>
        <w:widowControl w:val="0"/>
        <w:topLinePunct/>
        <w:jc w:val="both"/>
        <w:rPr>
          <w:rFonts w:eastAsia="宋体" w:cstheme="minorHAnsi"/>
          <w:sz w:val="36"/>
          <w:szCs w:val="36"/>
        </w:rPr>
      </w:pPr>
    </w:p>
    <w:p w14:paraId="61B59243">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14:paraId="0DB8F274">
      <w:pPr>
        <w:pStyle w:val="2"/>
        <w:spacing w:beforeLines="0" w:afterLines="0"/>
      </w:pPr>
      <w:bookmarkStart w:id="0" w:name="_Toc234572934"/>
      <w:r>
        <w:rPr>
          <w:rFonts w:hint="eastAsia"/>
        </w:rPr>
        <w:t>第一章　谈判邀请函</w:t>
      </w:r>
      <w:bookmarkEnd w:id="0"/>
    </w:p>
    <w:p w14:paraId="4A277CBD">
      <w:pPr>
        <w:widowControl w:val="0"/>
        <w:topLinePunct/>
        <w:ind w:firstLine="480" w:firstLineChars="200"/>
        <w:jc w:val="both"/>
      </w:pPr>
      <w:r>
        <w:rPr>
          <w:rFonts w:hint="eastAsia"/>
        </w:rPr>
        <w:t>西安市市级单位政府采购中心受</w:t>
      </w:r>
      <w:r>
        <w:rPr>
          <w:rFonts w:hint="eastAsia"/>
          <w:color w:val="C00000"/>
        </w:rPr>
        <w:t>西安市第八十三中学</w:t>
      </w:r>
      <w:r>
        <w:rPr>
          <w:rFonts w:hint="eastAsia"/>
        </w:rPr>
        <w:t>的委托，经政府采购监管部门批准，按照政府采购程序，对</w:t>
      </w:r>
      <w:r>
        <w:rPr>
          <w:rFonts w:hint="eastAsia"/>
          <w:color w:val="C00000"/>
        </w:rPr>
        <w:t>西安市第八十三中学学校教学及辅助用房维修改造（办公设备）</w:t>
      </w:r>
      <w:r>
        <w:rPr>
          <w:rFonts w:hint="eastAsia"/>
        </w:rPr>
        <w:t>进行竞争性谈判，欢迎符合资格条件的、有能力提供本项目所需货物的供应商参加竞争性谈判。</w:t>
      </w:r>
    </w:p>
    <w:p w14:paraId="4BDF18C2">
      <w:pPr>
        <w:widowControl w:val="0"/>
        <w:topLinePunct/>
        <w:ind w:firstLine="480" w:firstLineChars="200"/>
        <w:jc w:val="both"/>
        <w:rPr>
          <w:b/>
        </w:rPr>
      </w:pPr>
      <w:r>
        <w:rPr>
          <w:rFonts w:hint="eastAsia"/>
          <w:b/>
        </w:rPr>
        <w:t>一、项目基本信息：</w:t>
      </w:r>
    </w:p>
    <w:p w14:paraId="48C5AE0E">
      <w:pPr>
        <w:widowControl w:val="0"/>
        <w:topLinePunct/>
        <w:ind w:firstLine="480" w:firstLineChars="200"/>
        <w:jc w:val="both"/>
      </w:pPr>
      <w:r>
        <w:t>项目</w:t>
      </w:r>
      <w:r>
        <w:rPr>
          <w:rFonts w:hint="eastAsia"/>
        </w:rPr>
        <w:t>名称：</w:t>
      </w:r>
      <w:r>
        <w:rPr>
          <w:rFonts w:hint="eastAsia"/>
          <w:color w:val="C00000"/>
        </w:rPr>
        <w:t>西安市第八十三中学学校教学及辅助用房维修改造（办公设备）</w:t>
      </w:r>
    </w:p>
    <w:p w14:paraId="62B33849">
      <w:pPr>
        <w:widowControl w:val="0"/>
        <w:topLinePunct/>
        <w:ind w:firstLine="480" w:firstLineChars="200"/>
        <w:jc w:val="both"/>
      </w:pPr>
      <w:r>
        <w:rPr>
          <w:rFonts w:hint="eastAsia"/>
        </w:rPr>
        <w:t>项目编号：</w:t>
      </w:r>
      <w:r>
        <w:rPr>
          <w:rFonts w:hint="eastAsia"/>
          <w:color w:val="C00000"/>
        </w:rPr>
        <w:t>XCZX2026-0086</w:t>
      </w:r>
    </w:p>
    <w:p w14:paraId="0EE64E77">
      <w:pPr>
        <w:widowControl w:val="0"/>
        <w:topLinePunct/>
        <w:ind w:firstLine="480" w:firstLineChars="200"/>
        <w:jc w:val="both"/>
        <w:rPr>
          <w:color w:val="C00000"/>
        </w:rPr>
      </w:pPr>
      <w:r>
        <w:t>备案编号：</w:t>
      </w:r>
      <w:r>
        <w:rPr>
          <w:rFonts w:hint="eastAsia"/>
          <w:color w:val="C00000"/>
        </w:rPr>
        <w:t>ZCBN-西安市-2026-03574</w:t>
      </w:r>
    </w:p>
    <w:p w14:paraId="11EC738C">
      <w:pPr>
        <w:widowControl w:val="0"/>
        <w:topLinePunct/>
        <w:ind w:firstLine="480" w:firstLineChars="200"/>
        <w:jc w:val="both"/>
      </w:pPr>
      <w:r>
        <w:rPr>
          <w:rFonts w:hint="eastAsia"/>
          <w:b/>
        </w:rPr>
        <w:t>二、项目性质：</w:t>
      </w:r>
      <w:r>
        <w:rPr>
          <w:rFonts w:hint="eastAsia"/>
          <w:color w:val="C00000"/>
        </w:rPr>
        <w:t>专门面向中小企业的采购项目</w:t>
      </w:r>
    </w:p>
    <w:p w14:paraId="143219DA">
      <w:pPr>
        <w:widowControl w:val="0"/>
        <w:topLinePunct/>
        <w:ind w:firstLine="480" w:firstLineChars="200"/>
        <w:jc w:val="both"/>
        <w:rPr>
          <w:color w:val="C00000"/>
        </w:rPr>
      </w:pPr>
      <w:r>
        <w:rPr>
          <w:rFonts w:hint="eastAsia"/>
          <w:b/>
        </w:rPr>
        <w:t>三、采购预算：</w:t>
      </w:r>
      <w:r>
        <w:rPr>
          <w:rFonts w:hint="eastAsia"/>
          <w:color w:val="C00000"/>
        </w:rPr>
        <w:t>〈370000.00元〉（最高限价〈</w:t>
      </w:r>
      <w:r>
        <w:rPr>
          <w:color w:val="C00000"/>
        </w:rPr>
        <w:t>370000.00元</w:t>
      </w:r>
      <w:r>
        <w:rPr>
          <w:rFonts w:hint="eastAsia"/>
          <w:color w:val="C00000"/>
        </w:rPr>
        <w:t>〉）</w:t>
      </w:r>
    </w:p>
    <w:p w14:paraId="64FC89D4">
      <w:pPr>
        <w:widowControl w:val="0"/>
        <w:topLinePunct/>
        <w:ind w:firstLine="480" w:firstLineChars="200"/>
        <w:jc w:val="both"/>
      </w:pPr>
      <w:r>
        <w:rPr>
          <w:b/>
        </w:rPr>
        <w:t>四、采购</w:t>
      </w:r>
      <w:r>
        <w:rPr>
          <w:rFonts w:hint="eastAsia"/>
          <w:b/>
        </w:rPr>
        <w:t>内容和要求：</w:t>
      </w:r>
      <w:r>
        <w:rPr>
          <w:rFonts w:hint="eastAsia"/>
        </w:rPr>
        <w:t>详见第三章「谈判内容及要求」。</w:t>
      </w:r>
    </w:p>
    <w:p w14:paraId="0F51770F">
      <w:pPr>
        <w:widowControl w:val="0"/>
        <w:topLinePunct/>
        <w:ind w:firstLine="480" w:firstLineChars="200"/>
        <w:jc w:val="both"/>
        <w:rPr>
          <w:b/>
        </w:rPr>
      </w:pPr>
      <w:r>
        <w:rPr>
          <w:rFonts w:hint="eastAsia"/>
          <w:b/>
        </w:rPr>
        <w:t>五、供应商的资格条件：</w:t>
      </w:r>
    </w:p>
    <w:p w14:paraId="40FB660A">
      <w:pPr>
        <w:widowControl w:val="0"/>
        <w:topLinePunct/>
        <w:ind w:firstLine="480" w:firstLineChars="200"/>
        <w:jc w:val="both"/>
      </w:pPr>
      <w:r>
        <w:rPr>
          <w:rFonts w:hint="eastAsia"/>
        </w:rPr>
        <w:t>详</w:t>
      </w:r>
      <w:r>
        <w:t>见第二章「资格性审查表」。</w:t>
      </w:r>
    </w:p>
    <w:p w14:paraId="1D11E2A6">
      <w:pPr>
        <w:widowControl w:val="0"/>
        <w:topLinePunct/>
        <w:ind w:firstLine="480" w:firstLineChars="200"/>
        <w:jc w:val="both"/>
        <w:rPr>
          <w:b/>
        </w:rPr>
      </w:pPr>
      <w:r>
        <w:rPr>
          <w:rFonts w:hint="eastAsia"/>
          <w:b/>
        </w:rPr>
        <w:t>六、执行的政府采购政策：</w:t>
      </w:r>
    </w:p>
    <w:p w14:paraId="08524FBB">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14:paraId="58C97F71">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14:paraId="452AE8F8">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14:paraId="1A38408C">
      <w:pPr>
        <w:widowControl w:val="0"/>
        <w:topLinePunct/>
        <w:ind w:firstLine="480" w:firstLineChars="200"/>
        <w:jc w:val="both"/>
      </w:pPr>
      <w:r>
        <w:rPr>
          <w:rFonts w:hint="eastAsia"/>
        </w:rPr>
        <w:t>4．《国务院办公厅关于在政府采购中实施本国产品标准及相关政策的通知》（国办发〔2025〕34号）。</w:t>
      </w:r>
    </w:p>
    <w:p w14:paraId="7B10F526">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14:paraId="5499BF25">
      <w:pPr>
        <w:widowControl w:val="0"/>
        <w:topLinePunct/>
        <w:ind w:firstLine="480" w:firstLineChars="200"/>
        <w:jc w:val="both"/>
      </w:pPr>
      <w:r>
        <w:t>6</w:t>
      </w:r>
      <w:r>
        <w:rPr>
          <w:rFonts w:hint="eastAsia"/>
        </w:rPr>
        <w:t>．详见第二章「关于政府采购政策」。</w:t>
      </w:r>
    </w:p>
    <w:p w14:paraId="25941152">
      <w:pPr>
        <w:widowControl w:val="0"/>
        <w:topLinePunct/>
        <w:ind w:firstLine="480" w:firstLineChars="200"/>
        <w:jc w:val="both"/>
        <w:rPr>
          <w:b/>
        </w:rPr>
      </w:pPr>
      <w:r>
        <w:rPr>
          <w:rFonts w:hint="eastAsia"/>
          <w:b/>
        </w:rPr>
        <w:t>七、获取谈判文件的时间及方式：</w:t>
      </w:r>
    </w:p>
    <w:p w14:paraId="00291F81">
      <w:pPr>
        <w:widowControl w:val="0"/>
        <w:topLinePunct/>
        <w:ind w:firstLine="480" w:firstLineChars="200"/>
        <w:jc w:val="both"/>
      </w:pPr>
      <w:r>
        <w:rPr>
          <w:rFonts w:hint="eastAsia"/>
        </w:rPr>
        <w:t>1．获取时间：自谈判公告发布之日起</w:t>
      </w:r>
      <w:r>
        <w:t>3</w:t>
      </w:r>
      <w:r>
        <w:rPr>
          <w:rFonts w:hint="eastAsia"/>
        </w:rPr>
        <w:t>个工作日。</w:t>
      </w:r>
    </w:p>
    <w:p w14:paraId="3C69422B">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1"/>
          <w:rFonts w:hint="eastAsia"/>
        </w:rPr>
        <w:t>http://sxggzyjy.xa.gov.cn/</w:t>
      </w:r>
      <w:r>
        <w:rPr>
          <w:rStyle w:val="31"/>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标公告/出让公告〗模块中预览全部可供参与的项目，然后选择有意向的项目点击〖我要投标〗，成功后切换到〖我的项目〗模块，依次点选〖项目流程</w:t>
      </w:r>
      <w:r>
        <w:t>·</w:t>
      </w:r>
      <w:r>
        <w:rPr>
          <w:rFonts w:hint="eastAsia"/>
        </w:rPr>
        <w:t>〉项目管理</w:t>
      </w:r>
      <w:r>
        <w:t>·</w:t>
      </w:r>
      <w:r>
        <w:rPr>
          <w:rFonts w:hint="eastAsia"/>
        </w:rPr>
        <w:t>〉交易文件下载〗免费获取本项目电子谈判文件（*.SXSZF）。</w:t>
      </w:r>
    </w:p>
    <w:p w14:paraId="2F14E363">
      <w:pPr>
        <w:widowControl w:val="0"/>
        <w:topLinePunct/>
        <w:ind w:firstLine="480" w:firstLineChars="200"/>
        <w:jc w:val="both"/>
      </w:pPr>
      <w:r>
        <w:rPr>
          <w:rFonts w:hint="eastAsia"/>
        </w:rPr>
        <w:t>3．友情提示：</w:t>
      </w:r>
    </w:p>
    <w:p w14:paraId="4F641F9C">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〉下载专区〗中的《西安市市级单位电子化政府采购项目投标指南》。</w:t>
      </w:r>
    </w:p>
    <w:p w14:paraId="4F1D8AEC">
      <w:pPr>
        <w:widowControl w:val="0"/>
        <w:topLinePunct/>
        <w:ind w:firstLine="480" w:firstLineChars="200"/>
        <w:jc w:val="both"/>
      </w:pPr>
      <w:r>
        <w:rPr>
          <w:rFonts w:hint="eastAsia"/>
        </w:rPr>
        <w:t>（2）制作电子响应文件（*.SXSTF）需要使用专用制作工具。软件下载及操作说明详见西安市公共资源交易平台〖首页</w:t>
      </w:r>
      <w:r>
        <w:t>·</w:t>
      </w:r>
      <w:r>
        <w:rPr>
          <w:rFonts w:hint="eastAsia"/>
        </w:rPr>
        <w:t>〉服务指南</w:t>
      </w:r>
      <w:r>
        <w:t>·</w:t>
      </w:r>
      <w:r>
        <w:rPr>
          <w:rFonts w:hint="eastAsia"/>
        </w:rPr>
        <w:t>〉下载专区〗中的《政府采购项目投标文件制作软件及操作手册》。</w:t>
      </w:r>
    </w:p>
    <w:p w14:paraId="3B67651D">
      <w:pPr>
        <w:widowControl w:val="0"/>
        <w:topLinePunct/>
        <w:ind w:firstLine="480" w:firstLineChars="200"/>
        <w:jc w:val="both"/>
      </w:pPr>
      <w:r>
        <w:rPr>
          <w:rFonts w:hint="eastAsia"/>
        </w:rPr>
        <w:t>（3）提交首次响应文件截止时间前，供应商应随时留意【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】上可能发布的变更公告。若变更公告中明确注明本项目提供有答疑文件的，供应商应登录企业端后，从〖项目流程</w:t>
      </w:r>
      <w:r>
        <w:t>·</w:t>
      </w:r>
      <w:r>
        <w:rPr>
          <w:rFonts w:hint="eastAsia"/>
        </w:rPr>
        <w:t>〉项目管理</w:t>
      </w:r>
      <w:r>
        <w:t>·</w:t>
      </w:r>
      <w:r>
        <w:rPr>
          <w:rFonts w:hint="eastAsia"/>
        </w:rPr>
        <w:t>〉答疑文件下载〗获取更新后的电子谈判文件（*.SXSCF），使用旧版电子谈判文件制作的电子响应文件（*.SXSTF），系统将拒绝接收。</w:t>
      </w:r>
    </w:p>
    <w:p w14:paraId="089EDA29">
      <w:pPr>
        <w:widowControl w:val="0"/>
        <w:topLinePunct/>
        <w:ind w:firstLine="480" w:firstLineChars="200"/>
        <w:jc w:val="both"/>
        <w:rPr>
          <w:b/>
        </w:rPr>
      </w:pPr>
      <w:r>
        <w:rPr>
          <w:rFonts w:hint="eastAsia"/>
          <w:b/>
        </w:rPr>
        <w:t>八、提交首次响应文件截止时间及方式：</w:t>
      </w:r>
    </w:p>
    <w:p w14:paraId="51241B74">
      <w:pPr>
        <w:widowControl w:val="0"/>
        <w:topLinePunct/>
        <w:ind w:firstLine="480" w:firstLineChars="200"/>
        <w:jc w:val="both"/>
      </w:pPr>
      <w:r>
        <w:rPr>
          <w:rFonts w:hint="eastAsia"/>
        </w:rPr>
        <w:t>1．提交首次响应文件截止时间：2026年</w:t>
      </w:r>
      <w:r>
        <w:t>8</w:t>
      </w:r>
      <w:r>
        <w:rPr>
          <w:rFonts w:hint="eastAsia"/>
        </w:rPr>
        <w:t>月</w:t>
      </w:r>
      <w:r>
        <w:t>18</w:t>
      </w:r>
      <w:r>
        <w:rPr>
          <w:rFonts w:hint="eastAsia"/>
        </w:rPr>
        <w:t>日10:30，逾期提交的，系统将拒绝接收。</w:t>
      </w:r>
    </w:p>
    <w:p w14:paraId="713E12B2">
      <w:pPr>
        <w:widowControl w:val="0"/>
        <w:topLinePunct/>
        <w:ind w:firstLine="480" w:firstLineChars="200"/>
        <w:jc w:val="both"/>
      </w:pPr>
      <w:r>
        <w:rPr>
          <w:rFonts w:hint="eastAsia"/>
        </w:rPr>
        <w:t>2．提交首次响应文件的方式：从西安市公共资源交易平台〖首页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应文件〗上传加密后的电子响应文件（*.SXSTF）。</w:t>
      </w:r>
    </w:p>
    <w:p w14:paraId="002298FE">
      <w:pPr>
        <w:widowControl w:val="0"/>
        <w:topLinePunct/>
        <w:ind w:firstLine="480" w:firstLineChars="200"/>
        <w:jc w:val="both"/>
      </w:pPr>
      <w:r>
        <w:rPr>
          <w:rFonts w:hint="eastAsia"/>
          <w:b/>
        </w:rPr>
        <w:t>九、谈判时间、地点及开标形式：</w:t>
      </w:r>
    </w:p>
    <w:p w14:paraId="1CB81DA3">
      <w:pPr>
        <w:widowControl w:val="0"/>
        <w:topLinePunct/>
        <w:ind w:firstLine="480" w:firstLineChars="200"/>
        <w:jc w:val="both"/>
      </w:pPr>
      <w:r>
        <w:t>1</w:t>
      </w:r>
      <w:r>
        <w:rPr>
          <w:rFonts w:hint="eastAsia"/>
        </w:rPr>
        <w:t>．谈判时间：2026年</w:t>
      </w:r>
      <w:r>
        <w:t>8</w:t>
      </w:r>
      <w:r>
        <w:rPr>
          <w:rFonts w:hint="eastAsia"/>
        </w:rPr>
        <w:t>月</w:t>
      </w:r>
      <w:r>
        <w:t>18</w:t>
      </w:r>
      <w:r>
        <w:rPr>
          <w:rFonts w:hint="eastAsia"/>
        </w:rPr>
        <w:t>日10:30</w:t>
      </w:r>
    </w:p>
    <w:p w14:paraId="75602388">
      <w:pPr>
        <w:widowControl w:val="0"/>
        <w:topLinePunct/>
        <w:ind w:firstLine="480" w:firstLineChars="200"/>
        <w:jc w:val="both"/>
      </w:pPr>
      <w:r>
        <w:rPr>
          <w:rFonts w:hint="eastAsia"/>
        </w:rPr>
        <w:t>2．谈判地点：</w:t>
      </w:r>
      <w:r>
        <w:t>本集采机构</w:t>
      </w:r>
      <w:r>
        <w:rPr>
          <w:rFonts w:hint="eastAsia"/>
        </w:rPr>
        <w:t>虚拟开标室</w:t>
      </w:r>
      <w:r>
        <w:t>4</w:t>
      </w:r>
      <w:r>
        <w:rPr>
          <w:rFonts w:hint="eastAsia"/>
        </w:rPr>
        <w:t>。</w:t>
      </w:r>
    </w:p>
    <w:p w14:paraId="044015C4">
      <w:pPr>
        <w:widowControl w:val="0"/>
        <w:topLinePunct/>
        <w:ind w:firstLine="480" w:firstLineChars="200"/>
        <w:jc w:val="both"/>
      </w:pPr>
      <w:r>
        <w:t>3</w:t>
      </w:r>
      <w:r>
        <w:rPr>
          <w:rFonts w:hint="eastAsia"/>
        </w:rPr>
        <w:t>．</w:t>
      </w:r>
      <w:r>
        <w:rPr>
          <w:rFonts w:asciiTheme="minorEastAsia" w:hAnsiTheme="minorEastAsia"/>
        </w:rPr>
        <w:t>“开标”</w:t>
      </w:r>
      <w:r>
        <w:rPr>
          <w:rFonts w:hint="eastAsia"/>
        </w:rPr>
        <w:t>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298FAF56">
      <w:pPr>
        <w:widowControl w:val="0"/>
        <w:topLinePunct/>
        <w:ind w:firstLine="480" w:firstLineChars="200"/>
        <w:jc w:val="both"/>
        <w:rPr>
          <w:b/>
        </w:rPr>
      </w:pPr>
      <w:r>
        <w:rPr>
          <w:rFonts w:hint="eastAsia"/>
          <w:b/>
        </w:rPr>
        <w:t>十、联系方式：</w:t>
      </w:r>
    </w:p>
    <w:p w14:paraId="08463363">
      <w:pPr>
        <w:widowControl w:val="0"/>
        <w:topLinePunct/>
        <w:ind w:firstLine="480" w:firstLineChars="200"/>
        <w:jc w:val="both"/>
      </w:pPr>
      <w:r>
        <w:rPr>
          <w:rFonts w:hint="eastAsia"/>
        </w:rPr>
        <w:t>1．采购人：西安市第八十三中学</w:t>
      </w:r>
    </w:p>
    <w:p w14:paraId="07A194B0">
      <w:pPr>
        <w:widowControl w:val="0"/>
        <w:topLinePunct/>
        <w:ind w:firstLine="480" w:firstLineChars="200"/>
        <w:jc w:val="both"/>
      </w:pPr>
      <w:r>
        <w:rPr>
          <w:rFonts w:hint="eastAsia"/>
        </w:rPr>
        <w:t>地址：西安市新城区咸宁中路151号</w:t>
      </w:r>
    </w:p>
    <w:p w14:paraId="5CD1CE1F">
      <w:pPr>
        <w:widowControl w:val="0"/>
        <w:topLinePunct/>
        <w:ind w:firstLine="480" w:firstLineChars="200"/>
        <w:jc w:val="both"/>
      </w:pPr>
      <w:r>
        <w:rPr>
          <w:rFonts w:hint="eastAsia"/>
        </w:rPr>
        <w:t>联系人：王老师</w:t>
      </w:r>
    </w:p>
    <w:p w14:paraId="7C403659">
      <w:pPr>
        <w:widowControl w:val="0"/>
        <w:topLinePunct/>
        <w:ind w:firstLine="480" w:firstLineChars="200"/>
        <w:jc w:val="both"/>
      </w:pPr>
      <w:r>
        <w:rPr>
          <w:rFonts w:hint="eastAsia"/>
        </w:rPr>
        <w:t>联系电话：</w:t>
      </w:r>
      <w:r>
        <w:t>18066514353</w:t>
      </w:r>
    </w:p>
    <w:p w14:paraId="4671EC98">
      <w:pPr>
        <w:widowControl w:val="0"/>
        <w:topLinePunct/>
        <w:ind w:firstLine="480" w:firstLineChars="200"/>
        <w:jc w:val="both"/>
      </w:pPr>
      <w:r>
        <w:rPr>
          <w:rFonts w:hint="eastAsia"/>
        </w:rPr>
        <w:t>2．采购代理机构：西安市市级单位政府采购中心</w:t>
      </w:r>
    </w:p>
    <w:p w14:paraId="1B8E4B3A">
      <w:pPr>
        <w:widowControl w:val="0"/>
        <w:topLinePunct/>
        <w:ind w:firstLine="480" w:firstLineChars="200"/>
        <w:jc w:val="both"/>
      </w:pPr>
      <w:r>
        <w:rPr>
          <w:rFonts w:hint="eastAsia"/>
        </w:rPr>
        <w:t>地址：西安市未央区文景北路16号白桦林国际B座</w:t>
      </w:r>
    </w:p>
    <w:p w14:paraId="3CE8B8E7">
      <w:pPr>
        <w:widowControl w:val="0"/>
        <w:topLinePunct/>
        <w:ind w:firstLine="480" w:firstLineChars="200"/>
        <w:jc w:val="both"/>
      </w:pPr>
      <w:r>
        <w:rPr>
          <w:rFonts w:hint="eastAsia"/>
        </w:rPr>
        <w:t>总机：029-86510091/86510092/86510093</w:t>
      </w:r>
    </w:p>
    <w:p w14:paraId="470A3EAC">
      <w:pPr>
        <w:widowControl w:val="0"/>
        <w:topLinePunct/>
        <w:ind w:firstLine="480" w:firstLineChars="200"/>
        <w:jc w:val="both"/>
      </w:pPr>
      <w:r>
        <w:rPr>
          <w:rFonts w:hint="eastAsia"/>
        </w:rPr>
        <w:t>标书联系人及分机号：韩老师（80</w:t>
      </w:r>
      <w:r>
        <w:t>851</w:t>
      </w:r>
      <w:r>
        <w:rPr>
          <w:rFonts w:hint="eastAsia"/>
        </w:rPr>
        <w:t>）</w:t>
      </w:r>
    </w:p>
    <w:p w14:paraId="6F1334A2">
      <w:pPr>
        <w:widowControl w:val="0"/>
        <w:topLinePunct/>
        <w:ind w:firstLine="480" w:firstLineChars="200"/>
        <w:jc w:val="both"/>
      </w:pPr>
      <w:r>
        <w:rPr>
          <w:rFonts w:hint="eastAsia"/>
        </w:rPr>
        <w:t>开标联系人及分机号：吴老师（80</w:t>
      </w:r>
      <w:r>
        <w:t>870</w:t>
      </w:r>
      <w:r>
        <w:rPr>
          <w:rFonts w:hint="eastAsia"/>
        </w:rPr>
        <w:t>）</w:t>
      </w:r>
    </w:p>
    <w:p w14:paraId="4ED7171F">
      <w:pPr>
        <w:widowControl w:val="0"/>
        <w:topLinePunct/>
        <w:jc w:val="both"/>
      </w:pPr>
    </w:p>
    <w:p w14:paraId="2C9EEC3C">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14:paraId="67D989D1">
      <w:pPr>
        <w:pStyle w:val="2"/>
        <w:spacing w:before="230" w:after="230"/>
      </w:pPr>
      <w:bookmarkStart w:id="1" w:name="_Toc445407251"/>
      <w:bookmarkStart w:id="2" w:name="_Toc533363235"/>
      <w:bookmarkStart w:id="3" w:name="_Toc533363262"/>
      <w:bookmarkStart w:id="4" w:name="_Toc234572935"/>
      <w:bookmarkStart w:id="5" w:name="_Toc534656409"/>
      <w:bookmarkStart w:id="6" w:name="_Toc498349068"/>
      <w:bookmarkStart w:id="7" w:name="_Toc97563329"/>
      <w:bookmarkStart w:id="8" w:name="_Toc534656414"/>
      <w:r>
        <w:t>第二章</w:t>
      </w:r>
      <w:r>
        <w:rPr>
          <w:rFonts w:hint="eastAsia"/>
        </w:rPr>
        <w:t>　</w:t>
      </w:r>
      <w:r>
        <w:t>供应商须知</w:t>
      </w:r>
      <w:bookmarkEnd w:id="1"/>
      <w:bookmarkEnd w:id="2"/>
      <w:bookmarkEnd w:id="3"/>
      <w:bookmarkEnd w:id="4"/>
      <w:bookmarkEnd w:id="5"/>
      <w:bookmarkEnd w:id="6"/>
      <w:bookmarkEnd w:id="7"/>
      <w:bookmarkEnd w:id="8"/>
    </w:p>
    <w:p w14:paraId="1F8916D5">
      <w:pPr>
        <w:jc w:val="center"/>
        <w:outlineLvl w:val="2"/>
        <w:rPr>
          <w:rFonts w:cstheme="minorHAnsi"/>
        </w:rPr>
      </w:pPr>
      <w:r>
        <w:rPr>
          <w:rFonts w:hint="eastAsia" w:ascii="黑体" w:hAnsi="黑体" w:eastAsia="黑体" w:cstheme="minorHAnsi"/>
          <w:color w:val="0070C0"/>
          <w:sz w:val="32"/>
          <w:szCs w:val="32"/>
        </w:rPr>
        <w:t>『前附表』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79AB1A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tcBorders>
              <w:top w:val="single" w:color="auto" w:sz="12" w:space="0"/>
              <w:bottom w:val="single" w:color="auto" w:sz="2" w:space="0"/>
            </w:tcBorders>
            <w:shd w:val="clear" w:color="auto" w:fill="F1F1F1" w:themeFill="background1" w:themeFillShade="F2"/>
            <w:vAlign w:val="center"/>
          </w:tcPr>
          <w:p w14:paraId="693D9F2D">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7C106B38">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1CEE3670">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735864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tcBorders>
              <w:top w:val="single" w:color="auto" w:sz="2" w:space="0"/>
            </w:tcBorders>
            <w:shd w:val="clear" w:color="auto" w:fill="auto"/>
            <w:vAlign w:val="center"/>
          </w:tcPr>
          <w:p w14:paraId="34178EEE">
            <w:pPr>
              <w:pStyle w:val="68"/>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14:paraId="06D31A01">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14:paraId="6B994E29">
            <w:pPr>
              <w:spacing w:line="320" w:lineRule="exact"/>
              <w:jc w:val="both"/>
              <w:rPr>
                <w:rFonts w:ascii="Calibri" w:hAnsi="宋体" w:eastAsia="宋体" w:cstheme="minorHAnsi"/>
                <w:sz w:val="21"/>
              </w:rPr>
            </w:pPr>
            <w:r>
              <w:rPr>
                <w:rFonts w:hint="eastAsia" w:ascii="Calibri" w:hAnsi="宋体" w:eastAsia="宋体" w:cstheme="minorHAnsi"/>
                <w:sz w:val="21"/>
              </w:rPr>
              <w:t>西安市第八十三中学学校教学及辅助用房维修改造（办公设备）</w:t>
            </w:r>
          </w:p>
        </w:tc>
      </w:tr>
      <w:tr w14:paraId="670FE3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211EA65F">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FE14508">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14:paraId="7022186C">
            <w:pPr>
              <w:spacing w:line="320" w:lineRule="exact"/>
              <w:jc w:val="both"/>
              <w:rPr>
                <w:rFonts w:ascii="Calibri" w:hAnsi="宋体" w:eastAsia="宋体" w:cstheme="minorHAnsi"/>
                <w:sz w:val="21"/>
              </w:rPr>
            </w:pPr>
            <w:r>
              <w:rPr>
                <w:rFonts w:ascii="Calibri" w:hAnsi="宋体" w:eastAsia="宋体" w:cstheme="minorHAnsi"/>
                <w:sz w:val="21"/>
              </w:rPr>
              <w:t>XCZX2026-0086</w:t>
            </w:r>
          </w:p>
        </w:tc>
      </w:tr>
      <w:tr w14:paraId="47B387F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636DAC4C">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177DC72">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14:paraId="6E50A60D">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14:paraId="26FF3A1C">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14:paraId="28650D14">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14:paraId="43C5E0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4D74D8F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6B35BD6">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14:paraId="79D6E2C0">
            <w:pPr>
              <w:spacing w:line="320" w:lineRule="exact"/>
              <w:jc w:val="both"/>
              <w:rPr>
                <w:rFonts w:ascii="Calibri" w:hAnsi="宋体" w:eastAsia="宋体" w:cstheme="minorHAnsi"/>
                <w:sz w:val="21"/>
                <w:szCs w:val="21"/>
              </w:rPr>
            </w:pPr>
            <w:r>
              <w:rPr>
                <w:rFonts w:hint="eastAsia" w:ascii="Calibri" w:hAnsi="宋体" w:eastAsia="宋体" w:cstheme="minorHAnsi"/>
                <w:sz w:val="21"/>
              </w:rPr>
              <w:t>〈370000.00元〉（最高限价</w:t>
            </w:r>
            <w:r>
              <w:rPr>
                <w:rFonts w:ascii="Calibri" w:hAnsi="宋体" w:eastAsia="宋体" w:cstheme="minorHAnsi"/>
                <w:sz w:val="21"/>
              </w:rPr>
              <w:t>370000.00元</w:t>
            </w:r>
            <w:r>
              <w:rPr>
                <w:rFonts w:hint="eastAsia" w:ascii="Calibri" w:hAnsi="宋体" w:eastAsia="宋体" w:cstheme="minorHAnsi"/>
                <w:sz w:val="21"/>
              </w:rPr>
              <w:t>）</w:t>
            </w:r>
          </w:p>
        </w:tc>
      </w:tr>
      <w:tr w14:paraId="670DF0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66852EC4">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E6001A0">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14:paraId="642B2A98">
            <w:pPr>
              <w:spacing w:line="320" w:lineRule="exact"/>
              <w:jc w:val="both"/>
              <w:rPr>
                <w:rFonts w:ascii="Calibri" w:hAnsi="宋体" w:eastAsia="宋体" w:cstheme="minorHAnsi"/>
                <w:sz w:val="21"/>
              </w:rPr>
            </w:pPr>
            <w:sdt>
              <w:sdtPr>
                <w:rPr>
                  <w:rFonts w:hint="eastAsia" w:ascii="Calibri" w:hAnsi="宋体" w:eastAsia="宋体" w:cstheme="minorHAnsi"/>
                  <w:sz w:val="21"/>
                </w:rPr>
                <w:id w:val="-385884076"/>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44974322"/>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14:paraId="26FE28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450CDFAE">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9EDE916">
            <w:pPr>
              <w:spacing w:line="320" w:lineRule="exact"/>
              <w:rPr>
                <w:rFonts w:ascii="Calibri" w:hAnsi="宋体" w:eastAsia="宋体" w:cstheme="minorHAnsi"/>
                <w:sz w:val="21"/>
              </w:rPr>
            </w:pPr>
            <w:r>
              <w:rPr>
                <w:rFonts w:hint="eastAsia" w:ascii="Calibri" w:hAnsi="宋体" w:eastAsia="宋体" w:cstheme="minorHAnsi"/>
                <w:sz w:val="21"/>
              </w:rPr>
              <w:t>关于</w:t>
            </w:r>
            <w:r>
              <w:rPr>
                <w:rFonts w:ascii="Calibri" w:hAnsi="宋体" w:eastAsia="宋体" w:cstheme="minorHAnsi"/>
                <w:sz w:val="21"/>
              </w:rPr>
              <w:t>分包</w:t>
            </w:r>
          </w:p>
        </w:tc>
        <w:tc>
          <w:tcPr>
            <w:tcW w:w="5766" w:type="dxa"/>
            <w:shd w:val="clear" w:color="auto" w:fill="auto"/>
            <w:vAlign w:val="center"/>
          </w:tcPr>
          <w:p w14:paraId="74F03222">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14:paraId="3DC03E82">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14:paraId="132ADA52">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14:paraId="5713A06C">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3B162C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46A9027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CD085D7">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14:paraId="46AB778D">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7F90C9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3AFC5B5C">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E49BE66">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14:paraId="6E1A3C86">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14:paraId="7FF447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1AE3E36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97D9CF">
            <w:pPr>
              <w:spacing w:line="320" w:lineRule="exact"/>
              <w:rPr>
                <w:rFonts w:ascii="Calibri" w:hAnsi="宋体" w:eastAsia="宋体" w:cstheme="minorHAnsi"/>
                <w:sz w:val="21"/>
              </w:rPr>
            </w:pPr>
            <w:r>
              <w:rPr>
                <w:rFonts w:hint="eastAsia" w:ascii="Calibri" w:hAnsi="宋体" w:eastAsia="宋体" w:cstheme="minorHAnsi"/>
                <w:sz w:val="21"/>
              </w:rPr>
              <w:t>谈判保证金</w:t>
            </w:r>
          </w:p>
        </w:tc>
        <w:tc>
          <w:tcPr>
            <w:tcW w:w="5766" w:type="dxa"/>
            <w:shd w:val="clear" w:color="auto" w:fill="auto"/>
            <w:vAlign w:val="center"/>
          </w:tcPr>
          <w:p w14:paraId="638BA98C">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1BE4F7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5964620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B11B37B">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14:paraId="21D28A47">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250F8170">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14:paraId="5D0ECD40">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5129B9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150CA64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153FC7D">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14:paraId="2E0A0334">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4853A7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3A062E3B">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A286FD1">
            <w:pPr>
              <w:spacing w:line="320" w:lineRule="exact"/>
              <w:rPr>
                <w:rFonts w:ascii="Calibri" w:hAnsi="宋体" w:eastAsia="宋体" w:cstheme="minorHAnsi"/>
                <w:sz w:val="21"/>
              </w:rPr>
            </w:pPr>
            <w:r>
              <w:rPr>
                <w:rFonts w:hint="eastAsia" w:ascii="Calibri" w:hAnsi="宋体" w:eastAsia="宋体" w:cstheme="minorHAnsi"/>
                <w:sz w:val="21"/>
              </w:rPr>
              <w:t>纸质响应文件份数</w:t>
            </w:r>
          </w:p>
        </w:tc>
        <w:tc>
          <w:tcPr>
            <w:tcW w:w="5766" w:type="dxa"/>
            <w:shd w:val="clear" w:color="auto" w:fill="auto"/>
            <w:vAlign w:val="center"/>
          </w:tcPr>
          <w:p w14:paraId="1C566B5C">
            <w:pPr>
              <w:spacing w:line="320" w:lineRule="exact"/>
              <w:jc w:val="both"/>
              <w:rPr>
                <w:rFonts w:ascii="Calibri" w:hAnsi="宋体" w:eastAsia="宋体" w:cstheme="minorHAnsi"/>
                <w:sz w:val="21"/>
              </w:rPr>
            </w:pPr>
            <w:r>
              <w:rPr>
                <w:rFonts w:ascii="Calibri" w:hAnsi="宋体" w:eastAsia="宋体" w:cstheme="minorHAnsi"/>
                <w:sz w:val="21"/>
              </w:rPr>
              <w:t>谈判时，供应商无需提供纸质响应文件；</w:t>
            </w:r>
          </w:p>
          <w:p w14:paraId="3A61785F">
            <w:pPr>
              <w:spacing w:line="320" w:lineRule="exact"/>
              <w:jc w:val="both"/>
              <w:rPr>
                <w:rFonts w:ascii="Calibri" w:hAnsi="宋体" w:eastAsia="宋体" w:cstheme="minorHAnsi"/>
                <w:sz w:val="21"/>
              </w:rPr>
            </w:pPr>
            <w:r>
              <w:rPr>
                <w:rFonts w:ascii="Calibri" w:hAnsi="宋体" w:eastAsia="宋体" w:cstheme="minorHAnsi"/>
                <w:sz w:val="21"/>
              </w:rPr>
              <w:t>成交后，成交供应商在领取成交通知书时提供一正两副。</w:t>
            </w:r>
          </w:p>
        </w:tc>
      </w:tr>
      <w:tr w14:paraId="547F20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4C3DB0E9">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5B8C424">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14:paraId="4C498FB0">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14:paraId="3D1A4175">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14:paraId="334DFC46">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14:paraId="51D3C9F1">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14:paraId="44F70B73">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14:paraId="5F9F95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2BFBAF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185424E">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14:paraId="204DB182">
            <w:pPr>
              <w:spacing w:line="320" w:lineRule="exact"/>
              <w:jc w:val="both"/>
              <w:rPr>
                <w:rFonts w:ascii="Calibri" w:hAnsi="宋体" w:eastAsia="宋体" w:cstheme="minorHAnsi"/>
                <w:sz w:val="21"/>
              </w:rPr>
            </w:pPr>
            <w:r>
              <w:rPr>
                <w:rFonts w:hint="eastAsia" w:ascii="Calibri" w:hAnsi="宋体" w:eastAsia="宋体" w:cstheme="minorHAnsi"/>
                <w:sz w:val="21"/>
              </w:rPr>
              <w:t>见第一章「谈判邀请函」中的联系方式</w:t>
            </w:r>
          </w:p>
        </w:tc>
      </w:tr>
      <w:tr w14:paraId="0707D9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75E1B7A7">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F4F865D">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14:paraId="76ED7554">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14:paraId="39BDA8B3">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见第一章「谈判邀请函」中的联系方式</w:t>
            </w:r>
          </w:p>
          <w:p w14:paraId="43234994">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．集采机构受理方式</w:t>
            </w:r>
          </w:p>
          <w:p w14:paraId="7FD2B4CD">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受理部门：本集采机构综合业务组</w:t>
            </w:r>
          </w:p>
          <w:p w14:paraId="58E291FF">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14:paraId="1BA192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0841CD10">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F648327">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14:paraId="2E084CAE">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14:paraId="0F727D11">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14:paraId="36349E16">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14:paraId="6025E1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2080F06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D93D246">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14:paraId="7AF69102">
            <w:pPr>
              <w:spacing w:line="320" w:lineRule="exact"/>
              <w:jc w:val="both"/>
              <w:rPr>
                <w:rFonts w:ascii="Calibri" w:hAnsi="宋体" w:eastAsia="宋体" w:cstheme="minorHAnsi"/>
                <w:sz w:val="21"/>
              </w:rPr>
            </w:pPr>
            <w:r>
              <w:rPr>
                <w:rFonts w:ascii="Calibri" w:hAnsi="宋体" w:eastAsia="宋体" w:cstheme="minorHAnsi"/>
                <w:sz w:val="21"/>
              </w:rPr>
              <w:t>同提交首次响应文件截止时间</w:t>
            </w:r>
          </w:p>
        </w:tc>
      </w:tr>
      <w:tr w14:paraId="07D3CD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28545ADA">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72E2DD1">
            <w:pPr>
              <w:spacing w:line="320" w:lineRule="exact"/>
              <w:rPr>
                <w:rFonts w:eastAsia="宋体" w:cstheme="minorHAnsi"/>
                <w:sz w:val="21"/>
              </w:rPr>
            </w:pPr>
            <w:r>
              <w:rPr>
                <w:rFonts w:eastAsia="宋体" w:cstheme="minorHAnsi"/>
                <w:sz w:val="21"/>
              </w:rPr>
              <w:t>“开标”形式</w:t>
            </w:r>
          </w:p>
        </w:tc>
        <w:tc>
          <w:tcPr>
            <w:tcW w:w="5766" w:type="dxa"/>
            <w:shd w:val="clear" w:color="auto" w:fill="auto"/>
            <w:vAlign w:val="center"/>
          </w:tcPr>
          <w:p w14:paraId="33FA7ED8">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不见面开标：</w:t>
            </w:r>
          </w:p>
          <w:p w14:paraId="2BE0FACA">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w:t>
            </w:r>
            <w:r>
              <w:rPr>
                <w:rFonts w:hint="eastAsia" w:cstheme="minorHAnsi"/>
                <w:color w:val="595959" w:themeColor="text1" w:themeTint="A6"/>
                <w:sz w:val="21"/>
                <w:szCs w:val="21"/>
                <w14:textFill>
                  <w14:solidFill>
                    <w14:schemeClr w14:val="tx1">
                      <w14:lumMod w14:val="65000"/>
                      <w14:lumOff w14:val="35000"/>
                    </w14:schemeClr>
                  </w14:solidFill>
                </w14:textFill>
              </w:rPr>
              <w:t xml:space="preserve"> </w:t>
            </w:r>
            <w:r>
              <w:rPr>
                <w:rFonts w:cstheme="minorHAnsi"/>
                <w:color w:val="595959" w:themeColor="text1" w:themeTint="A6"/>
                <w:sz w:val="21"/>
                <w:szCs w:val="21"/>
                <w14:textFill>
                  <w14:solidFill>
                    <w14:schemeClr w14:val="tx1">
                      <w14:lumMod w14:val="65000"/>
                      <w14:lumOff w14:val="35000"/>
                    </w14:schemeClr>
                  </w14:solidFill>
                </w14:textFill>
              </w:rPr>
              <w:t>供应商的法定代表人或其授权代表无需到达”开标”现场，即可远程在线</w:t>
            </w:r>
            <w:r>
              <w:rPr>
                <w:rFonts w:hint="eastAsia" w:cstheme="minorHAnsi"/>
                <w:color w:val="595959" w:themeColor="text1" w:themeTint="A6"/>
                <w:sz w:val="21"/>
                <w:szCs w:val="21"/>
                <w14:textFill>
                  <w14:solidFill>
                    <w14:schemeClr w14:val="tx1">
                      <w14:lumMod w14:val="65000"/>
                      <w14:lumOff w14:val="35000"/>
                    </w14:schemeClr>
                  </w14:solidFill>
                </w14:textFill>
              </w:rPr>
              <w:t>实现</w:t>
            </w:r>
            <w:r>
              <w:rPr>
                <w:rFonts w:cstheme="minorHAnsi"/>
                <w:color w:val="595959" w:themeColor="text1" w:themeTint="A6"/>
                <w:sz w:val="21"/>
                <w:szCs w:val="21"/>
                <w14:textFill>
                  <w14:solidFill>
                    <w14:schemeClr w14:val="tx1">
                      <w14:lumMod w14:val="65000"/>
                      <w14:lumOff w14:val="35000"/>
                    </w14:schemeClr>
                  </w14:solidFill>
                </w14:textFill>
              </w:rPr>
              <w:t>“开标”</w:t>
            </w:r>
            <w:r>
              <w:rPr>
                <w:rFonts w:hint="eastAsia" w:cstheme="minorHAnsi"/>
                <w:color w:val="595959" w:themeColor="text1" w:themeTint="A6"/>
                <w:sz w:val="21"/>
                <w:szCs w:val="21"/>
                <w14:textFill>
                  <w14:solidFill>
                    <w14:schemeClr w14:val="tx1">
                      <w14:lumMod w14:val="65000"/>
                      <w14:lumOff w14:val="35000"/>
                    </w14:schemeClr>
                  </w14:solidFill>
                </w14:textFill>
              </w:rPr>
              <w:t>、解密、澄清等操作</w:t>
            </w:r>
            <w:r>
              <w:rPr>
                <w:rFonts w:cstheme="minorHAnsi"/>
                <w:color w:val="595959" w:themeColor="text1" w:themeTint="A6"/>
                <w:sz w:val="21"/>
                <w:szCs w:val="21"/>
                <w14:textFill>
                  <w14:solidFill>
                    <w14:schemeClr w14:val="tx1">
                      <w14:lumMod w14:val="65000"/>
                      <w14:lumOff w14:val="35000"/>
                    </w14:schemeClr>
                  </w14:solidFill>
                </w14:textFill>
              </w:rPr>
              <w:t>。</w:t>
            </w:r>
          </w:p>
          <w:p w14:paraId="7101D472">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见面开标：</w:t>
            </w:r>
          </w:p>
          <w:p w14:paraId="18A18764">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供应商的法定代表人或其授权代表应当持有效身份证件在协商时间前抵达“开标”现场，并在现场专用机上完成解密、澄清等操作。</w:t>
            </w:r>
          </w:p>
        </w:tc>
      </w:tr>
      <w:tr w14:paraId="4AD9BC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4AE44D98">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381A4C6">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14:paraId="0F9B10A1">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工业（包括采矿业，制造业，电力、热力、燃气及水生产和供应业）</w:t>
            </w:r>
          </w:p>
        </w:tc>
      </w:tr>
      <w:tr w14:paraId="6E5E09A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1E0EC2E4">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7576BB6">
            <w:pPr>
              <w:spacing w:line="320" w:lineRule="exact"/>
              <w:rPr>
                <w:rFonts w:ascii="Calibri" w:hAnsi="宋体" w:eastAsia="宋体" w:cstheme="minorHAnsi"/>
                <w:sz w:val="21"/>
              </w:rPr>
            </w:pPr>
            <w:r>
              <w:rPr>
                <w:rFonts w:hint="eastAsia" w:ascii="Calibri" w:hAnsi="宋体" w:eastAsia="宋体" w:cstheme="minorHAnsi"/>
                <w:sz w:val="21"/>
              </w:rPr>
              <w:t>成交通知书</w:t>
            </w:r>
          </w:p>
        </w:tc>
        <w:tc>
          <w:tcPr>
            <w:tcW w:w="5766" w:type="dxa"/>
            <w:shd w:val="clear" w:color="auto" w:fill="auto"/>
            <w:vAlign w:val="center"/>
          </w:tcPr>
          <w:p w14:paraId="3F0999CC">
            <w:pPr>
              <w:spacing w:line="320" w:lineRule="exact"/>
              <w:jc w:val="both"/>
              <w:rPr>
                <w:rFonts w:ascii="Calibri" w:hAnsi="Calibri" w:eastAsia="宋体" w:cstheme="minorHAnsi"/>
                <w:sz w:val="21"/>
              </w:rPr>
            </w:pPr>
            <w:r>
              <w:rPr>
                <w:rFonts w:ascii="Calibri" w:hAnsi="Calibri" w:eastAsia="宋体" w:cstheme="minorHAnsi"/>
                <w:sz w:val="21"/>
              </w:rPr>
              <w:t>领取时间及方式见成交公告。</w:t>
            </w:r>
          </w:p>
        </w:tc>
      </w:tr>
      <w:tr w14:paraId="48AE50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28A4ACF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08BAE22">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14:paraId="4AC344AB">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14:paraId="7FD056E4">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14:paraId="402E3B86">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r w14:paraId="296D748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1E23AA2B">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943F7E1">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样品</w:t>
            </w:r>
          </w:p>
        </w:tc>
        <w:tc>
          <w:tcPr>
            <w:tcW w:w="5766" w:type="dxa"/>
            <w:shd w:val="clear" w:color="auto" w:fill="auto"/>
            <w:vAlign w:val="center"/>
          </w:tcPr>
          <w:p w14:paraId="74061C02">
            <w:pPr>
              <w:spacing w:line="320" w:lineRule="exact"/>
              <w:jc w:val="both"/>
              <w:rPr>
                <w:rFonts w:ascii="Calibri" w:hAnsi="宋体" w:eastAsia="宋体" w:cstheme="minorHAnsi"/>
                <w:sz w:val="21"/>
              </w:rPr>
            </w:pPr>
            <w:r>
              <w:rPr>
                <w:rFonts w:hint="eastAsia" w:ascii="Calibri" w:hAnsi="宋体" w:eastAsia="宋体" w:cstheme="minorHAnsi"/>
                <w:sz w:val="21"/>
              </w:rPr>
              <w:t>无</w:t>
            </w:r>
          </w:p>
        </w:tc>
      </w:tr>
      <w:tr w14:paraId="209049C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0D44A77D">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DDA0BBA">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现场演示</w:t>
            </w:r>
          </w:p>
        </w:tc>
        <w:tc>
          <w:tcPr>
            <w:tcW w:w="5766" w:type="dxa"/>
            <w:shd w:val="clear" w:color="auto" w:fill="auto"/>
            <w:vAlign w:val="center"/>
          </w:tcPr>
          <w:p w14:paraId="5100A394">
            <w:pPr>
              <w:spacing w:line="320" w:lineRule="exact"/>
              <w:jc w:val="both"/>
              <w:rPr>
                <w:rFonts w:ascii="Calibri" w:hAnsi="宋体" w:eastAsia="宋体" w:cstheme="minorHAnsi"/>
                <w:color w:val="C00000"/>
                <w:sz w:val="21"/>
              </w:rPr>
            </w:pPr>
            <w:r>
              <w:rPr>
                <w:rFonts w:hint="eastAsia" w:ascii="Calibri" w:hAnsi="宋体" w:eastAsia="宋体" w:cstheme="minorHAnsi"/>
                <w:sz w:val="21"/>
              </w:rPr>
              <w:t>无</w:t>
            </w:r>
          </w:p>
        </w:tc>
      </w:tr>
      <w:tr w14:paraId="077190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694" w:type="dxa"/>
            <w:shd w:val="clear" w:color="auto" w:fill="auto"/>
            <w:vAlign w:val="center"/>
          </w:tcPr>
          <w:p w14:paraId="671B7BC3">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467CE32">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现场踏勘和集中答疑</w:t>
            </w:r>
          </w:p>
        </w:tc>
        <w:tc>
          <w:tcPr>
            <w:tcW w:w="5766" w:type="dxa"/>
            <w:shd w:val="clear" w:color="auto" w:fill="auto"/>
            <w:vAlign w:val="center"/>
          </w:tcPr>
          <w:p w14:paraId="3D5E0C49">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098448959"/>
                <w14:checkbox>
                  <w14:checked w14:val="1"/>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不组织</w:t>
            </w:r>
          </w:p>
          <w:p w14:paraId="5C0A283B">
            <w:pPr>
              <w:spacing w:line="320" w:lineRule="exact"/>
              <w:jc w:val="both"/>
              <w:rPr>
                <w:rFonts w:ascii="Calibri" w:hAnsi="宋体" w:eastAsia="宋体" w:cstheme="minorHAnsi"/>
                <w:color w:val="C00000"/>
                <w:sz w:val="21"/>
              </w:rPr>
            </w:pPr>
            <w:sdt>
              <w:sdtPr>
                <w:rPr>
                  <w:rFonts w:hint="eastAsia" w:ascii="Calibri" w:hAnsi="宋体" w:eastAsia="宋体" w:cstheme="minorHAnsi"/>
                  <w:color w:val="C00000"/>
                  <w:sz w:val="21"/>
                </w:rPr>
                <w:id w:val="-1347629988"/>
                <w14:checkbox>
                  <w14:checked w14:val="0"/>
                  <w14:checkedState w14:val="2611" w14:font="MS Gothic"/>
                  <w14:uncheckedState w14:val="2610" w14:font="MS Gothic"/>
                </w14:checkbox>
              </w:sdtPr>
              <w:sdtEndPr>
                <w:rPr>
                  <w:rFonts w:hint="eastAsia" w:ascii="Calibri" w:hAnsi="宋体" w:eastAsia="宋体" w:cstheme="minorHAnsi"/>
                  <w:color w:val="C00000"/>
                  <w:sz w:val="21"/>
                </w:rPr>
              </w:sdtEndPr>
              <w:sdtContent>
                <w:r>
                  <w:rPr>
                    <w:rFonts w:hint="eastAsia" w:ascii="MS Gothic" w:hAnsi="MS Gothic" w:eastAsia="MS Gothic" w:cstheme="minorHAnsi"/>
                    <w:color w:val="C00000"/>
                    <w:sz w:val="21"/>
                  </w:rPr>
                  <w:t>☐</w:t>
                </w:r>
              </w:sdtContent>
            </w:sdt>
            <w:r>
              <w:rPr>
                <w:rFonts w:hint="eastAsia" w:ascii="Calibri" w:hAnsi="宋体" w:eastAsia="宋体" w:cstheme="minorHAnsi"/>
                <w:color w:val="C00000"/>
                <w:sz w:val="21"/>
              </w:rPr>
              <w:t>组织</w:t>
            </w:r>
          </w:p>
          <w:p w14:paraId="0CB645DD">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集合时间：</w:t>
            </w:r>
          </w:p>
          <w:p w14:paraId="47A2EE60">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集合地点：</w:t>
            </w:r>
          </w:p>
          <w:p w14:paraId="509FB077">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联系人：</w:t>
            </w:r>
          </w:p>
          <w:p w14:paraId="1941AC09">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xml:space="preserve">　 </w:t>
            </w:r>
            <w:r>
              <w:rPr>
                <w:rFonts w:ascii="Calibri" w:hAnsi="宋体" w:eastAsia="宋体" w:cstheme="minorHAnsi"/>
                <w:color w:val="595959" w:themeColor="text1" w:themeTint="A6"/>
                <w:sz w:val="21"/>
                <w14:textFill>
                  <w14:solidFill>
                    <w14:schemeClr w14:val="tx1">
                      <w14:lumMod w14:val="65000"/>
                      <w14:lumOff w14:val="35000"/>
                    </w14:schemeClr>
                  </w14:solidFill>
                </w14:textFill>
              </w:rPr>
              <w:t>联系电话：</w:t>
            </w:r>
          </w:p>
        </w:tc>
      </w:tr>
    </w:tbl>
    <w:p w14:paraId="7BF76C09">
      <w:pPr>
        <w:rPr>
          <w:rFonts w:ascii="Calibri" w:hAnsi="Calibri" w:eastAsia="黑体" w:cstheme="majorBidi"/>
          <w:bCs/>
          <w:iCs/>
          <w:kern w:val="32"/>
          <w:sz w:val="28"/>
          <w:szCs w:val="28"/>
        </w:rPr>
      </w:pPr>
      <w:r>
        <w:br w:type="page"/>
      </w:r>
    </w:p>
    <w:p w14:paraId="3669E3A3">
      <w:pPr>
        <w:pStyle w:val="3"/>
        <w:jc w:val="both"/>
      </w:pPr>
      <w:r>
        <w:t>一、有关定义</w:t>
      </w:r>
    </w:p>
    <w:p w14:paraId="0DFFD49C">
      <w:pPr>
        <w:ind w:firstLine="480" w:firstLineChars="200"/>
        <w:jc w:val="both"/>
        <w:rPr>
          <w:rFonts w:cstheme="minorHAnsi"/>
        </w:rPr>
      </w:pPr>
      <w:r>
        <w:rPr>
          <w:rFonts w:hint="eastAsia" w:cstheme="minorHAnsi"/>
        </w:rPr>
        <w:t>1．采购人：依法进行政府采购的西安市市级机关、事业单位或团体组织。</w:t>
      </w:r>
    </w:p>
    <w:p w14:paraId="2A8C0C63">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14:paraId="59C3EFC8">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14:paraId="4CD29FE0">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474C3482">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1"/>
          <w:rFonts w:hint="eastAsia" w:cstheme="minorHAnsi"/>
        </w:rPr>
        <w:t>http</w:t>
      </w:r>
      <w:r>
        <w:rPr>
          <w:rStyle w:val="31"/>
          <w:rFonts w:cstheme="minorHAnsi"/>
        </w:rPr>
        <w:t>://sxggzyjy.xa.gov.cn</w:t>
      </w:r>
      <w:r>
        <w:rPr>
          <w:rStyle w:val="31"/>
          <w:rFonts w:hint="eastAsia" w:cstheme="minorHAnsi"/>
        </w:rPr>
        <w:t>/</w:t>
      </w:r>
      <w:r>
        <w:rPr>
          <w:rStyle w:val="31"/>
          <w:rFonts w:hint="eastAsia" w:cstheme="minorHAnsi"/>
        </w:rPr>
        <w:fldChar w:fldCharType="end"/>
      </w:r>
      <w:r>
        <w:rPr>
          <w:rFonts w:cstheme="minorHAnsi"/>
        </w:rPr>
        <w:t>。</w:t>
      </w:r>
    </w:p>
    <w:p w14:paraId="159B3D1E">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1"/>
          <w:rFonts w:cstheme="minorHAnsi"/>
        </w:rPr>
        <w:t>http://www.sxggzyjy.cn:9002/TPBidder/memberLogin</w:t>
      </w:r>
      <w:r>
        <w:rPr>
          <w:rStyle w:val="31"/>
          <w:rFonts w:cstheme="minorHAnsi"/>
        </w:rPr>
        <w:fldChar w:fldCharType="end"/>
      </w:r>
      <w:r>
        <w:rPr>
          <w:rFonts w:hint="eastAsia" w:cstheme="minorHAnsi"/>
        </w:rPr>
        <w:t>。</w:t>
      </w:r>
    </w:p>
    <w:p w14:paraId="72180DC9">
      <w:pPr>
        <w:pStyle w:val="3"/>
        <w:jc w:val="both"/>
      </w:pPr>
      <w:r>
        <w:t>二、供应商注意事项</w:t>
      </w:r>
    </w:p>
    <w:p w14:paraId="1FD5CCFC">
      <w:pPr>
        <w:pStyle w:val="4"/>
        <w:ind w:firstLine="482"/>
        <w:jc w:val="both"/>
      </w:pPr>
      <w:r>
        <w:rPr>
          <w:rFonts w:hint="eastAsia"/>
        </w:rPr>
        <w:t>（一）供应商投标流程</w:t>
      </w:r>
    </w:p>
    <w:p w14:paraId="2BE1908F">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07738968">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下载电子谈判</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免费获取本项目电子谈判文件（*.SXSZF），</w:t>
      </w:r>
      <w:r>
        <w:rPr>
          <w:rFonts w:hint="eastAsia"/>
        </w:rPr>
        <w:t>详见第一章「获取谈判文件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谈判</w:t>
      </w:r>
      <w:r>
        <w:rPr>
          <w:rFonts w:cstheme="minorHAnsi"/>
          <w:color w:val="C00000"/>
        </w:rPr>
        <w:t>文件并做好备份，逾期无法再下载！</w:t>
      </w:r>
    </w:p>
    <w:p w14:paraId="766B0AE2">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14:paraId="038D7179">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14:paraId="6446DBB0">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谈判程序</w:t>
      </w:r>
      <w:r>
        <w:rPr>
          <w:rFonts w:cstheme="minorHAnsi"/>
        </w:rPr>
        <w:t>」一节相关内容。</w:t>
      </w:r>
    </w:p>
    <w:p w14:paraId="0D66D9A4">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谈判程序</w:t>
      </w:r>
      <w:r>
        <w:rPr>
          <w:rFonts w:cstheme="minorHAnsi"/>
        </w:rPr>
        <w:t>」一节相关内容。</w:t>
      </w:r>
    </w:p>
    <w:p w14:paraId="3DB80EDE">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14:paraId="5CF17BDB">
      <w:pPr>
        <w:pStyle w:val="4"/>
        <w:ind w:firstLine="482"/>
        <w:jc w:val="both"/>
      </w:pPr>
      <w:r>
        <w:t>（</w:t>
      </w:r>
      <w:r>
        <w:rPr>
          <w:rFonts w:hint="eastAsia"/>
        </w:rPr>
        <w:t>二</w:t>
      </w:r>
      <w:r>
        <w:t>）</w:t>
      </w:r>
      <w:r>
        <w:rPr>
          <w:rFonts w:hint="eastAsia"/>
        </w:rPr>
        <w:t>关于</w:t>
      </w:r>
      <w:r>
        <w:t>询问</w:t>
      </w:r>
      <w:r>
        <w:rPr>
          <w:rFonts w:hint="eastAsia"/>
        </w:rPr>
        <w:t>、质疑和投诉</w:t>
      </w:r>
    </w:p>
    <w:p w14:paraId="37297359">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14:paraId="4C3B01A9">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14:paraId="0EBB928E">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的询问请向采购人提出。</w:t>
      </w:r>
    </w:p>
    <w:p w14:paraId="4CF2031D">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14:paraId="7B6E4BD8">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14:paraId="51609547">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014BAFB8">
      <w:pPr>
        <w:ind w:firstLine="480" w:firstLineChars="200"/>
        <w:jc w:val="both"/>
      </w:pPr>
      <w:r>
        <w:t>（2）质疑方式：</w:t>
      </w:r>
    </w:p>
    <w:p w14:paraId="4FA0E109">
      <w:pPr>
        <w:ind w:firstLine="480" w:firstLineChars="200"/>
        <w:jc w:val="both"/>
        <w:rPr>
          <w:rFonts w:asciiTheme="minorEastAsia" w:hAnsiTheme="minorEastAsia"/>
        </w:rPr>
      </w:pPr>
      <w:r>
        <w:rPr>
          <w:rFonts w:asciiTheme="minorEastAsia" w:hAnsiTheme="minorEastAsia"/>
        </w:rPr>
        <w:t>① 在线质疑：</w:t>
      </w:r>
    </w:p>
    <w:p w14:paraId="69E60324">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38135E76">
      <w:pPr>
        <w:ind w:firstLine="480" w:firstLineChars="200"/>
        <w:jc w:val="both"/>
        <w:rPr>
          <w:rFonts w:asciiTheme="minorEastAsia" w:hAnsiTheme="minorEastAsia"/>
        </w:rPr>
      </w:pPr>
      <w:r>
        <w:rPr>
          <w:rFonts w:asciiTheme="minorEastAsia" w:hAnsiTheme="minorEastAsia"/>
        </w:rPr>
        <w:t>② 书面质疑：</w:t>
      </w:r>
    </w:p>
    <w:p w14:paraId="5A1B9B4C">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7021A8EB">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1"/>
        </w:rPr>
        <w:t>http://download.ccgp.gov.cn/2018/zhiyihanfanben.zip</w:t>
      </w:r>
      <w:r>
        <w:rPr>
          <w:rStyle w:val="31"/>
        </w:rPr>
        <w:fldChar w:fldCharType="end"/>
      </w:r>
    </w:p>
    <w:p w14:paraId="565A384E">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E2EE8C4">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14:paraId="48A49EA3">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14:paraId="6E66C195">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14:paraId="771D6052">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14:paraId="3D0518E9">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14:paraId="07996483">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质疑函没有合法有效的签字、盖章或委托授权书的（委托授权代表提出质疑和投诉，应当提交供应商签署的委托授权书）；</w:t>
      </w:r>
    </w:p>
    <w:p w14:paraId="22B19C1B">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14:paraId="12BE7939">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14:paraId="303D4923">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14:paraId="3A2B9DDB">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rPr>
        <w:t>政府采购</w:t>
      </w:r>
      <w:r>
        <w:rPr>
          <w:rFonts w:cstheme="minorHAnsi"/>
        </w:rPr>
        <w:t>监管</w:t>
      </w:r>
      <w:r>
        <w:rPr>
          <w:rFonts w:hint="eastAsia" w:cstheme="minorHAnsi"/>
        </w:rPr>
        <w:t>部门</w:t>
      </w:r>
      <w:r>
        <w:rPr>
          <w:rFonts w:cstheme="minorHAnsi"/>
        </w:rPr>
        <w:t>提出投诉。</w:t>
      </w:r>
    </w:p>
    <w:p w14:paraId="3653A1BE">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14:paraId="4170BEEE">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1"/>
          <w:rFonts w:cstheme="minorHAnsi"/>
          <w:color w:val="0070C0"/>
        </w:rPr>
        <w:t>http://download.ccgp.gov.cn/2018/tousushufanben.zip</w:t>
      </w:r>
      <w:r>
        <w:rPr>
          <w:rStyle w:val="31"/>
          <w:rFonts w:cstheme="minorHAnsi"/>
          <w:color w:val="0070C0"/>
        </w:rPr>
        <w:fldChar w:fldCharType="end"/>
      </w:r>
    </w:p>
    <w:p w14:paraId="1D598030">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14:paraId="0D976F1B">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14:paraId="058E2518">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pPr>
        <w:ind w:firstLine="480" w:firstLineChars="200"/>
        <w:jc w:val="both"/>
        <w:rPr>
          <w:rFonts w:cstheme="minorHAnsi"/>
        </w:rPr>
      </w:pPr>
      <w:r>
        <w:rPr>
          <w:rFonts w:hint="eastAsia" w:cstheme="minorHAnsi"/>
        </w:rPr>
        <w:t>（2）</w:t>
      </w:r>
      <w:r>
        <w:rPr>
          <w:rFonts w:cstheme="minorHAnsi"/>
        </w:rPr>
        <w:t>对捏造事实诬告陷害他人、诽谤他人的法律适用：</w:t>
      </w:r>
    </w:p>
    <w:p w14:paraId="46619FBF">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14:paraId="2A3A41EC">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14:paraId="17FFC4EB">
      <w:pPr>
        <w:pStyle w:val="4"/>
        <w:ind w:firstLine="482"/>
      </w:pPr>
      <w:r>
        <w:t>（</w:t>
      </w:r>
      <w:r>
        <w:rPr>
          <w:rFonts w:hint="eastAsia"/>
        </w:rPr>
        <w:t>三</w:t>
      </w:r>
      <w:r>
        <w:t>）</w:t>
      </w:r>
      <w:r>
        <w:rPr>
          <w:rFonts w:hint="eastAsia"/>
        </w:rPr>
        <w:t>关于</w:t>
      </w:r>
      <w:r>
        <w:t>保证金</w:t>
      </w:r>
    </w:p>
    <w:p w14:paraId="51544F36">
      <w:pPr>
        <w:ind w:firstLine="480" w:firstLineChars="200"/>
        <w:jc w:val="both"/>
        <w:rPr>
          <w:b/>
        </w:rPr>
      </w:pPr>
      <w:r>
        <w:rPr>
          <w:rFonts w:cstheme="minorHAnsi"/>
          <w:b/>
        </w:rPr>
        <w:t>1</w:t>
      </w:r>
      <w:r>
        <w:rPr>
          <w:rFonts w:hint="eastAsia" w:cstheme="minorHAnsi"/>
        </w:rPr>
        <w:t>．</w:t>
      </w:r>
      <w:r>
        <w:rPr>
          <w:rFonts w:hint="eastAsia"/>
          <w:b/>
        </w:rPr>
        <w:t>谈判</w:t>
      </w:r>
      <w:r>
        <w:rPr>
          <w:b/>
        </w:rPr>
        <w:t>保证金</w:t>
      </w:r>
    </w:p>
    <w:p w14:paraId="2A6FA2F6">
      <w:pPr>
        <w:ind w:firstLine="480" w:firstLineChars="200"/>
        <w:jc w:val="both"/>
      </w:pPr>
      <w:r>
        <w:rPr>
          <w:rFonts w:hint="eastAsia"/>
        </w:rPr>
        <w:t>按照西安市财政局《关于促进政府采购公平竞争优化营商环境的通知》第三条规定，供应商参与西安市政府采购活动时，免交谈判保证金。</w:t>
      </w:r>
    </w:p>
    <w:p w14:paraId="17CB70C4">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14:paraId="72B1C7EC">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14:paraId="6CEDE836">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14:paraId="241B81E0">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14:paraId="294F95D5">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14:paraId="6D33D1D6">
      <w:pPr>
        <w:wordWrap w:val="0"/>
        <w:ind w:firstLine="480" w:firstLineChars="200"/>
        <w:jc w:val="both"/>
      </w:pPr>
      <w:r>
        <w:rPr>
          <w:rFonts w:hint="eastAsia"/>
        </w:rPr>
        <w:t>户　名：西安市公共资源交易中心保证金户</w:t>
      </w:r>
    </w:p>
    <w:p w14:paraId="7805E730">
      <w:pPr>
        <w:wordWrap w:val="0"/>
        <w:ind w:firstLine="480" w:firstLineChars="200"/>
        <w:jc w:val="both"/>
      </w:pPr>
      <w:r>
        <w:rPr>
          <w:rFonts w:hint="eastAsia"/>
        </w:rPr>
        <w:t>账　号：9558853700001663476</w:t>
      </w:r>
    </w:p>
    <w:p w14:paraId="158324BC">
      <w:pPr>
        <w:wordWrap w:val="0"/>
        <w:ind w:firstLine="480" w:firstLineChars="200"/>
        <w:jc w:val="both"/>
      </w:pPr>
      <w:r>
        <w:rPr>
          <w:rFonts w:hint="eastAsia"/>
        </w:rPr>
        <w:t>开户行：中国工商银行股份有限公司西安曲江支行</w:t>
      </w:r>
    </w:p>
    <w:p w14:paraId="6325035B">
      <w:pPr>
        <w:wordWrap w:val="0"/>
        <w:ind w:firstLine="480" w:firstLineChars="200"/>
        <w:jc w:val="both"/>
      </w:pPr>
      <w:r>
        <w:rPr>
          <w:rFonts w:hint="eastAsia"/>
        </w:rPr>
        <w:t>② 采用纸质保函形式时，应将履约保函原件递交至西安市公共资源交易中心保证金业务室：</w:t>
      </w:r>
    </w:p>
    <w:p w14:paraId="1DFEA9B4">
      <w:pPr>
        <w:wordWrap w:val="0"/>
        <w:ind w:firstLine="480" w:firstLineChars="200"/>
        <w:jc w:val="both"/>
      </w:pPr>
      <w:r>
        <w:rPr>
          <w:rFonts w:hint="eastAsia"/>
        </w:rPr>
        <w:t>业务咨询电话：029-86510166/86510167转80206</w:t>
      </w:r>
    </w:p>
    <w:p w14:paraId="4DC12A98">
      <w:pPr>
        <w:wordWrap w:val="0"/>
        <w:ind w:firstLine="480" w:firstLineChars="200"/>
        <w:jc w:val="both"/>
      </w:pPr>
      <w:r>
        <w:rPr>
          <w:rFonts w:hint="eastAsia"/>
        </w:rPr>
        <w:t>业务受理时间：（法定节假日除外）上午9:00-12:00、下午13:30-17:30</w:t>
      </w:r>
    </w:p>
    <w:p w14:paraId="068BD8A6">
      <w:pPr>
        <w:wordWrap w:val="0"/>
        <w:ind w:firstLine="480" w:firstLineChars="200"/>
        <w:jc w:val="both"/>
      </w:pPr>
      <w:r>
        <w:rPr>
          <w:rFonts w:hint="eastAsia"/>
        </w:rPr>
        <w:t>业务受理地点：西安市未央区文景北路16号白桦林国际B座二层206室</w:t>
      </w:r>
    </w:p>
    <w:p w14:paraId="3E02FA19">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134167DA">
      <w:pPr>
        <w:wordWrap w:val="0"/>
        <w:ind w:firstLine="480" w:firstLineChars="200"/>
        <w:jc w:val="both"/>
      </w:pPr>
      <w:r>
        <w:rPr>
          <w:rFonts w:hint="eastAsia"/>
        </w:rPr>
        <w:t>（</w:t>
      </w:r>
      <w:r>
        <w:t>3</w:t>
      </w:r>
      <w:r>
        <w:rPr>
          <w:rFonts w:hint="eastAsia"/>
        </w:rPr>
        <w:t>）采用履约保函形式时应注意以下事项：</w:t>
      </w:r>
    </w:p>
    <w:p w14:paraId="4F39D6B5">
      <w:pPr>
        <w:wordWrap w:val="0"/>
        <w:ind w:firstLine="480" w:firstLineChars="200"/>
        <w:jc w:val="both"/>
      </w:pPr>
      <w:r>
        <w:rPr>
          <w:rFonts w:hint="eastAsia"/>
        </w:rPr>
        <w:t>① 履约保函的受益人为采购人，供应商未能按合同规定履行其义务时，采购人有权从履约保证金中取得补偿。</w:t>
      </w:r>
    </w:p>
    <w:p w14:paraId="78EEC6A6">
      <w:pPr>
        <w:wordWrap w:val="0"/>
        <w:ind w:firstLine="480" w:firstLineChars="200"/>
        <w:jc w:val="both"/>
      </w:pPr>
      <w:r>
        <w:rPr>
          <w:rFonts w:hint="eastAsia"/>
        </w:rPr>
        <w:t>② 履约保函的内容包括但不限于保函申请人、项目名称（如划分采购包，还应写明所投采购包名称）、担保金额、保函有效期（履约保函的有效期至少应覆盖至合同验收之日，履约保函有效期不足的，供应商应向履约保函签发机构办理担保续期手续）；</w:t>
      </w:r>
    </w:p>
    <w:p w14:paraId="7B47D9E5">
      <w:pPr>
        <w:wordWrap w:val="0"/>
        <w:ind w:firstLine="480" w:firstLineChars="200"/>
        <w:jc w:val="both"/>
      </w:pPr>
      <w:r>
        <w:rPr>
          <w:rFonts w:hint="eastAsia"/>
        </w:rPr>
        <w:t>③ 担保金额不少于</w:t>
      </w:r>
      <w:r>
        <w:t>本章「前附表」</w:t>
      </w:r>
      <w:r>
        <w:rPr>
          <w:rFonts w:hint="eastAsia"/>
        </w:rPr>
        <w:t>中规定的履约保证金金额；</w:t>
      </w:r>
    </w:p>
    <w:p w14:paraId="0E7F0F52">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保函申请人须与供应商名称一致。若供应商为联合体形式，原则上可由联合体任意一方或多方作为保函申请人，然而对于电子保函，目前只能由下载电子谈判文件的一方作为保函申请人。</w:t>
      </w:r>
    </w:p>
    <w:p w14:paraId="3B7B6A45">
      <w:pPr>
        <w:wordWrap w:val="0"/>
        <w:ind w:firstLine="480" w:firstLineChars="200"/>
        <w:jc w:val="both"/>
      </w:pPr>
      <w:r>
        <w:rPr>
          <w:rFonts w:hint="eastAsia"/>
        </w:rPr>
        <w:t>（</w:t>
      </w:r>
      <w:r>
        <w:t>4</w:t>
      </w:r>
      <w:r>
        <w:rPr>
          <w:rFonts w:hint="eastAsia"/>
        </w:rPr>
        <w:t>）退还履约保证金</w:t>
      </w:r>
    </w:p>
    <w:p w14:paraId="08A8BCBA">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14:paraId="4C5CCF03">
      <w:pPr>
        <w:pStyle w:val="4"/>
        <w:ind w:firstLine="482"/>
      </w:pPr>
      <w:r>
        <w:rPr>
          <w:rFonts w:hint="eastAsia"/>
        </w:rPr>
        <w:t>（四）关于</w:t>
      </w:r>
      <w:r>
        <w:t>进口产品</w:t>
      </w:r>
    </w:p>
    <w:p w14:paraId="1F7E7CB6">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14:paraId="528304B1">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财政部门审核同意购买进口产品的，谈判文件将明确载明“允许</w:t>
      </w:r>
      <w:r>
        <w:rPr>
          <w:rFonts w:cstheme="minorHAnsi"/>
        </w:rPr>
        <w:t>进口产品参与</w:t>
      </w:r>
      <w:r>
        <w:rPr>
          <w:rFonts w:hint="eastAsia" w:cstheme="minorHAnsi"/>
        </w:rPr>
        <w:t>”，此时满足谈判文件要求的国产产品仍然可以参与竞争；否则，视为拒绝进口产品参与，供应商以进口产品参与谈判时，将作无效响应处理。</w:t>
      </w:r>
    </w:p>
    <w:p w14:paraId="7662E4CD">
      <w:pPr>
        <w:pStyle w:val="4"/>
        <w:ind w:firstLine="482"/>
      </w:pPr>
      <w:r>
        <w:t>（五）</w:t>
      </w:r>
      <w:r>
        <w:rPr>
          <w:rFonts w:hint="eastAsia"/>
        </w:rPr>
        <w:t>关于政府采购</w:t>
      </w:r>
      <w:r>
        <w:t>政策</w:t>
      </w:r>
    </w:p>
    <w:p w14:paraId="4AF08302">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14:paraId="07DECB5B">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14:paraId="092C1D8E">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7C768C9A">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14:paraId="6AFCDCBD">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14:paraId="01AD34FA">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CD6071A">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14:paraId="69DB57B2">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14:paraId="1EC0441F">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510227C9">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5ABD31A5">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272668CD">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14:paraId="078F3C7E">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，用扣除后的价格参加评审。未按要求提供《中小企业声明函》\《监狱企业证明函》\《残疾人福利性单位声明函》的，不能享受谈判文件规定的价格扣除，但不影响响应文件的有效性。</w:t>
      </w:r>
    </w:p>
    <w:p w14:paraId="1D107435">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针对专门面向中小企业的采购：仅限符合中小企业划分标准确定的中型企业、小型企业和微型企业参与。未按要求提供《中小企业声明函》\《监狱企业证明函》\《残疾人福利性单位声明函》的，响应无效。</w:t>
      </w:r>
    </w:p>
    <w:p w14:paraId="1B46E534">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针对专门面向小型、微型企业的采购：仅限符合中小企业划分标准确定的小型企业、微型企业参与。未按要求提供《中小企业声明函》\《监狱企业证明函》\《残疾人福利性单位声明函》的，响应无效。</w:t>
      </w:r>
    </w:p>
    <w:p w14:paraId="09D3CE77">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14:paraId="1DA46527">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46C94C4E">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14:paraId="33811C96">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14:paraId="7B326E92">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14:paraId="58C8CD33">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14:paraId="2A75089A">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14:paraId="66D7C513">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14:paraId="7EB04E87">
      <w:pPr>
        <w:ind w:firstLine="480" w:firstLineChars="200"/>
        <w:jc w:val="both"/>
        <w:rPr>
          <w:rFonts w:cstheme="minorHAnsi"/>
        </w:rPr>
      </w:pPr>
      <w:r>
        <w:rPr>
          <w:rFonts w:hint="eastAsia" w:cstheme="minorHAnsi"/>
        </w:rPr>
        <w:t>（1）本国产品标准</w:t>
      </w:r>
    </w:p>
    <w:p w14:paraId="4CC18F12">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14:paraId="389A9376">
      <w:pPr>
        <w:ind w:firstLine="480" w:firstLineChars="200"/>
        <w:textAlignment w:val="baseline"/>
        <w:rPr>
          <w:rFonts w:cstheme="minorHAnsi"/>
        </w:rPr>
      </w:pPr>
      <w:bookmarkStart w:id="9" w:name="OLE_LINK9"/>
      <w:r>
        <w:rPr>
          <w:rFonts w:asciiTheme="minorEastAsia" w:hAnsiTheme="minorEastAsia" w:cstheme="minorHAnsi"/>
        </w:rPr>
        <w:t>①</w:t>
      </w:r>
      <w:bookmarkEnd w:id="9"/>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1D17DB41">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14:paraId="374307BC">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14:paraId="218C76D7">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24B7CAC8">
      <w:pPr>
        <w:ind w:firstLine="480" w:firstLineChars="200"/>
        <w:jc w:val="both"/>
        <w:rPr>
          <w:rFonts w:cstheme="minorHAnsi"/>
        </w:rPr>
      </w:pPr>
      <w:r>
        <w:rPr>
          <w:rFonts w:hint="eastAsia" w:cstheme="minorHAnsi"/>
        </w:rPr>
        <w:t>（2）适用范围</w:t>
      </w:r>
    </w:p>
    <w:p w14:paraId="39EB28BB">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D86721E">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14:paraId="79D496C0">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14:paraId="6BA84A3E">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2352E86">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14:paraId="3D46AA37">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14:paraId="5AFCCA28">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14:paraId="2EE459FE">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14:paraId="095D299D">
      <w:pPr>
        <w:wordWrap w:val="0"/>
        <w:ind w:firstLine="480" w:firstLineChars="200"/>
        <w:jc w:val="both"/>
        <w:rPr>
          <w:rStyle w:val="31"/>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cstheme="minorHAnsi"/>
          <w:color w:val="0070C0"/>
        </w:rPr>
        <w:t>http://www.ccgp-shaanxi.gov.cn/zcdservice/zcd/shanxi/</w:t>
      </w:r>
    </w:p>
    <w:p w14:paraId="56121253">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14:paraId="0E55CD07">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0CA734FA">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14:paraId="05A80D7A">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14:paraId="2791E16B">
      <w:pPr>
        <w:pStyle w:val="4"/>
        <w:ind w:firstLine="482"/>
      </w:pPr>
      <w:r>
        <w:rPr>
          <w:rFonts w:hint="eastAsia"/>
        </w:rPr>
        <w:t>（六）</w:t>
      </w:r>
      <w:r>
        <w:t>关于同一品牌产品的处理</w:t>
      </w:r>
    </w:p>
    <w:p w14:paraId="4BF5074A">
      <w:pPr>
        <w:wordWrap w:val="0"/>
        <w:ind w:firstLine="480" w:firstLineChars="200"/>
        <w:jc w:val="both"/>
        <w:rPr>
          <w:rFonts w:cstheme="minorBidi"/>
        </w:rPr>
      </w:pPr>
      <w:r>
        <w:rPr>
          <w:rFonts w:hint="eastAsia" w:cstheme="minorBidi"/>
        </w:rPr>
        <w:t>1．提供相同品牌产品的不同供应商参加同一合同项下谈判的，以其中通过资格审查、符合性审查且谈判报价最低的供应商获得成交候选人推荐资格；最终报价相同的，由采购人或者采购人委托谈判小组按照谈判文件规定的方式确定一个供应商获得成交候选人推荐资格，谈判文件未规定的采取随机抽取方式确定，其他响应无效。</w:t>
      </w:r>
    </w:p>
    <w:p w14:paraId="35B8A4AB">
      <w:pPr>
        <w:wordWrap w:val="0"/>
        <w:ind w:firstLine="480" w:firstLineChars="200"/>
        <w:jc w:val="both"/>
        <w:rPr>
          <w:rFonts w:cstheme="minorBidi"/>
        </w:rPr>
      </w:pPr>
      <w:r>
        <w:rPr>
          <w:rFonts w:cstheme="minorBidi"/>
        </w:rPr>
        <w:t>2</w:t>
      </w:r>
      <w:r>
        <w:rPr>
          <w:rFonts w:hint="eastAsia" w:cstheme="minorBid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w:t>
      </w:r>
      <w:r>
        <w:rPr>
          <w:rFonts w:cstheme="minorBidi"/>
        </w:rPr>
        <w:t>按照</w:t>
      </w:r>
      <w:r>
        <w:rPr>
          <w:rFonts w:hint="eastAsia" w:cstheme="minorBidi"/>
        </w:rPr>
        <w:t>前一款规定处理</w:t>
      </w:r>
      <w:r>
        <w:rPr>
          <w:rFonts w:cstheme="minorBidi"/>
        </w:rPr>
        <w:t>。</w:t>
      </w:r>
      <w:r>
        <w:rPr>
          <w:rFonts w:hint="eastAsia" w:cstheme="minorBidi"/>
        </w:rPr>
        <w:t>未见载明时，视为不设置核心产品。</w:t>
      </w:r>
    </w:p>
    <w:p w14:paraId="7D2DEB55">
      <w:pPr>
        <w:pStyle w:val="4"/>
        <w:ind w:firstLine="482"/>
      </w:pPr>
      <w:r>
        <w:t>（七）</w:t>
      </w:r>
      <w:r>
        <w:rPr>
          <w:rFonts w:hint="eastAsia"/>
        </w:rPr>
        <w:t>关于</w:t>
      </w:r>
      <w:r>
        <w:t>知识产权和保密</w:t>
      </w:r>
      <w:r>
        <w:rPr>
          <w:rFonts w:hint="eastAsia"/>
        </w:rPr>
        <w:t>事项</w:t>
      </w:r>
    </w:p>
    <w:p w14:paraId="65AA0C32">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14:paraId="47A2BECB">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97E4969">
      <w:pPr>
        <w:pStyle w:val="4"/>
        <w:ind w:firstLine="482"/>
      </w:pPr>
      <w:r>
        <w:t>（八）关于信用记录的查询和使用</w:t>
      </w:r>
    </w:p>
    <w:p w14:paraId="0CD32EEB">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1"/>
          <w:rFonts w:eastAsiaTheme="majorEastAsia" w:cstheme="minorHAnsi"/>
          <w:color w:val="0070C0"/>
        </w:rPr>
        <w:t>https://www.creditchina.gov.cn</w:t>
      </w:r>
      <w:r>
        <w:rPr>
          <w:rStyle w:val="31"/>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1"/>
          <w:rFonts w:eastAsiaTheme="majorEastAsia" w:cstheme="minorHAnsi"/>
          <w:color w:val="0070C0"/>
        </w:rPr>
        <w:t>http://www.ccgp.gov.cn/</w:t>
      </w:r>
      <w:r>
        <w:rPr>
          <w:rStyle w:val="31"/>
          <w:rFonts w:eastAsiaTheme="majorEastAsia" w:cstheme="minorHAnsi"/>
        </w:rPr>
        <w:t>）</w:t>
      </w:r>
      <w:r>
        <w:rPr>
          <w:rStyle w:val="31"/>
          <w:rFonts w:eastAsiaTheme="majorEastAsia" w:cstheme="minorHAnsi"/>
        </w:rPr>
        <w:fldChar w:fldCharType="end"/>
      </w:r>
      <w:r>
        <w:rPr>
          <w:rFonts w:eastAsiaTheme="majorEastAsia" w:cstheme="minorHAnsi"/>
        </w:rPr>
        <w:t>对供应商的信用情况进行甄别。</w:t>
      </w:r>
    </w:p>
    <w:p w14:paraId="1CBBA4D2">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14:paraId="65AECFA6">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14:paraId="7E60F874">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14:paraId="743424B5">
      <w:pPr>
        <w:pStyle w:val="4"/>
      </w:pPr>
      <w:r>
        <w:t>（九）</w:t>
      </w:r>
      <w:r>
        <w:rPr>
          <w:rFonts w:hint="eastAsia"/>
        </w:rPr>
        <w:t>关于现场踏勘和集中答疑</w:t>
      </w:r>
    </w:p>
    <w:p w14:paraId="77EE2A7E">
      <w:pPr>
        <w:ind w:firstLine="480" w:firstLineChars="200"/>
        <w:jc w:val="both"/>
      </w:pPr>
      <w:r>
        <w:rPr>
          <w:rFonts w:hint="eastAsia"/>
        </w:rPr>
        <w:t>本章「前附表」中载明组织现场踏勘或标前集中答疑活动的，各供应商应在谈判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谈判文件中不一致的内容，以答疑纪要为准。凡未参加现场踏勘或集中答疑的供应商，由此造成的偏差由各供应商自行负责。</w:t>
      </w:r>
    </w:p>
    <w:p w14:paraId="7EFE53F7">
      <w:pPr>
        <w:pStyle w:val="4"/>
      </w:pPr>
      <w:r>
        <w:t>（十）关于联合体</w:t>
      </w:r>
    </w:p>
    <w:p w14:paraId="21B3E055">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14:paraId="42CBDF88">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响应文件、澄清、说明或补正由联合体牵头方的法定代表人（负责人）或其授权的代表签字或盖章（采购文件另有约定的从其约定），并对联合体各方负责。联合协议作为资格证明文件的一部分，随响应文件一并提交；进行资格预审的项目，联合协议应当在提交资格预审申请文件时一并提交。</w:t>
      </w:r>
    </w:p>
    <w:p w14:paraId="74CB839E">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4DD0FF7A">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709B638A">
      <w:pPr>
        <w:ind w:firstLine="480" w:firstLineChars="200"/>
        <w:jc w:val="both"/>
      </w:pPr>
      <w:r>
        <w:rPr>
          <w:rFonts w:hint="eastAsia"/>
        </w:rPr>
        <w:t>5．商务响应的评审：采购项目以业绩、奖项作为加分或成</w:t>
      </w:r>
      <w:r>
        <w:rPr>
          <w:rFonts w:hint="eastAsia"/>
          <w:w w:val="1"/>
        </w:rPr>
        <w:t>　</w:t>
      </w:r>
      <w:r>
        <w:rPr>
          <w:rFonts w:hint="eastAsia"/>
        </w:rPr>
        <w:t>交条件时，联合体成员中只要有一方具有相应的业绩、奖项即可。联合体成员间出现同一业绩或同一奖项的，不重复计算。</w:t>
      </w:r>
    </w:p>
    <w:p w14:paraId="2D07CAAE">
      <w:pPr>
        <w:ind w:firstLine="480" w:firstLineChars="200"/>
        <w:jc w:val="both"/>
      </w:pPr>
      <w:r>
        <w:rPr>
          <w:rFonts w:hint="eastAsia"/>
        </w:rPr>
        <w:t>6．联合体可享受的中小企业优惠政策：</w:t>
      </w:r>
    </w:p>
    <w:p w14:paraId="052B618B">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与联合体内其他企业之间存在直接控股、管理关系的，响</w:t>
      </w:r>
      <w:r>
        <w:rPr>
          <w:rFonts w:hint="eastAsia"/>
          <w:w w:val="1"/>
        </w:rPr>
        <w:t>　</w:t>
      </w:r>
      <w:r>
        <w:rPr>
          <w:rFonts w:hint="eastAsia"/>
        </w:rPr>
        <w:t>应无效。</w:t>
      </w:r>
    </w:p>
    <w:p w14:paraId="70F2DD90">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44DCCFBF">
      <w:pPr>
        <w:ind w:firstLine="480" w:firstLineChars="200"/>
        <w:jc w:val="both"/>
      </w:pPr>
      <w:r>
        <w:rPr>
          <w:rFonts w:hint="eastAsia"/>
        </w:rPr>
        <w:t>7．联合体出现下列情形之一的，响</w:t>
      </w:r>
      <w:r>
        <w:rPr>
          <w:rFonts w:hint="eastAsia"/>
          <w:w w:val="1"/>
        </w:rPr>
        <w:t>　</w:t>
      </w:r>
      <w:r>
        <w:rPr>
          <w:rFonts w:hint="eastAsia"/>
        </w:rPr>
        <w:t>应无效：</w:t>
      </w:r>
    </w:p>
    <w:p w14:paraId="661A9FC9">
      <w:pPr>
        <w:ind w:firstLine="480" w:firstLineChars="200"/>
        <w:jc w:val="both"/>
      </w:pPr>
      <w:r>
        <w:rPr>
          <w:rFonts w:hint="eastAsia"/>
        </w:rPr>
        <w:t>（1）联合体没有提交有效的联合协议的；</w:t>
      </w:r>
    </w:p>
    <w:p w14:paraId="2670D436">
      <w:pPr>
        <w:ind w:firstLine="480" w:firstLineChars="200"/>
        <w:jc w:val="both"/>
      </w:pPr>
      <w:r>
        <w:rPr>
          <w:rFonts w:hint="eastAsia"/>
        </w:rPr>
        <w:t>（2）进行资格预审的项目，资格预审后联合体增减、更换成员的；</w:t>
      </w:r>
    </w:p>
    <w:p w14:paraId="3C5E56B6">
      <w:pPr>
        <w:ind w:firstLine="480" w:firstLineChars="200"/>
        <w:jc w:val="both"/>
      </w:pPr>
      <w:r>
        <w:rPr>
          <w:rFonts w:hint="eastAsia"/>
        </w:rPr>
        <w:t>（3）联合协议签订后，联合体成员单独参加或者与其他供应商另外组成联合体参加同一合同项下的政府采购活动的。</w:t>
      </w:r>
    </w:p>
    <w:p w14:paraId="69288295">
      <w:pPr>
        <w:pStyle w:val="4"/>
        <w:ind w:firstLine="482"/>
      </w:pPr>
      <w:r>
        <w:t>（十一）</w:t>
      </w:r>
      <w:r>
        <w:rPr>
          <w:rFonts w:hint="eastAsia"/>
        </w:rPr>
        <w:t>其他重要</w:t>
      </w:r>
      <w:r>
        <w:t>事项</w:t>
      </w:r>
    </w:p>
    <w:p w14:paraId="5226857D">
      <w:pPr>
        <w:wordWrap w:val="0"/>
        <w:ind w:firstLine="480" w:firstLineChars="200"/>
        <w:jc w:val="both"/>
        <w:rPr>
          <w:rFonts w:cstheme="minorBidi"/>
        </w:rPr>
      </w:pPr>
      <w:r>
        <w:rPr>
          <w:rFonts w:cstheme="minorBidi"/>
        </w:rPr>
        <w:t>1</w:t>
      </w:r>
      <w:r>
        <w:rPr>
          <w:rFonts w:hint="eastAsia" w:cstheme="minorHAnsi"/>
        </w:rPr>
        <w:t>．</w:t>
      </w:r>
      <w:r>
        <w:rPr>
          <w:rFonts w:hint="eastAsia"/>
        </w:rPr>
        <w:t>谈判文件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14:paraId="2ADBF3D0">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14:paraId="53253F83">
      <w:pPr>
        <w:pStyle w:val="3"/>
      </w:pPr>
      <w:r>
        <w:t>三、谈判文件</w:t>
      </w:r>
    </w:p>
    <w:p w14:paraId="57027355">
      <w:pPr>
        <w:pStyle w:val="4"/>
        <w:ind w:firstLine="482"/>
      </w:pPr>
      <w:r>
        <w:t>（一）谈判文件</w:t>
      </w:r>
      <w:r>
        <w:rPr>
          <w:rFonts w:hint="eastAsia"/>
        </w:rPr>
        <w:t>的解释权</w:t>
      </w:r>
    </w:p>
    <w:p w14:paraId="140F6F8E">
      <w:pPr>
        <w:ind w:firstLine="480" w:firstLineChars="200"/>
        <w:jc w:val="both"/>
        <w:rPr>
          <w:rFonts w:cstheme="minorHAnsi"/>
        </w:rPr>
      </w:pPr>
      <w:r>
        <w:rPr>
          <w:rFonts w:cstheme="minorHAnsi"/>
        </w:rPr>
        <w:t>本项目谈判文件的解释权</w:t>
      </w:r>
      <w:r>
        <w:rPr>
          <w:rFonts w:hint="eastAsia" w:cstheme="minorHAnsi"/>
        </w:rPr>
        <w:t>归采购代理机构，谈判小组成员应根据政府采购法律法规和</w:t>
      </w:r>
      <w:r>
        <w:rPr>
          <w:rFonts w:cstheme="minorHAnsi"/>
        </w:rPr>
        <w:t>谈判文件</w:t>
      </w:r>
      <w:r>
        <w:rPr>
          <w:rFonts w:hint="eastAsia" w:cstheme="minorHAnsi"/>
        </w:rPr>
        <w:t>所载明的评审方法、标准进行评审。</w:t>
      </w:r>
    </w:p>
    <w:p w14:paraId="2F374EBD">
      <w:pPr>
        <w:pStyle w:val="4"/>
        <w:ind w:firstLine="482"/>
      </w:pPr>
      <w:r>
        <w:t>（二）谈判文件主要内容</w:t>
      </w:r>
    </w:p>
    <w:p w14:paraId="77D46C51">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谈判邀请函</w:t>
      </w:r>
    </w:p>
    <w:p w14:paraId="2B4C6074">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14:paraId="2C1D13E4">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谈判内容及要求</w:t>
      </w:r>
    </w:p>
    <w:p w14:paraId="7290CBD2">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hint="eastAsia"/>
        </w:rPr>
        <w:t>合同草案条款</w:t>
      </w:r>
    </w:p>
    <w:p w14:paraId="37E827C2">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响应</w:t>
      </w:r>
      <w:r>
        <w:rPr>
          <w:rFonts w:cstheme="minorHAnsi"/>
        </w:rPr>
        <w:t>文件构成及格式</w:t>
      </w:r>
    </w:p>
    <w:p w14:paraId="604A09AD">
      <w:pPr>
        <w:pStyle w:val="4"/>
        <w:ind w:firstLine="482"/>
      </w:pPr>
      <w:r>
        <w:t>（三）谈判文件的检查及阅读</w:t>
      </w:r>
    </w:p>
    <w:p w14:paraId="136227A3">
      <w:pPr>
        <w:ind w:firstLine="480" w:firstLineChars="200"/>
        <w:jc w:val="both"/>
        <w:rPr>
          <w:rFonts w:cstheme="minorHAnsi"/>
        </w:rPr>
      </w:pPr>
      <w:r>
        <w:rPr>
          <w:rFonts w:cstheme="minorHAnsi"/>
        </w:rPr>
        <w:t>供应商应认真阅读和充分理解谈判文件中所有的事项、格式条款和规范要求，在响应文件中对谈判文件做出全面响</w:t>
      </w:r>
      <w:r>
        <w:rPr>
          <w:rFonts w:cstheme="minorHAnsi"/>
          <w:w w:val="1"/>
        </w:rPr>
        <w:t xml:space="preserve"> </w:t>
      </w:r>
      <w:r>
        <w:rPr>
          <w:rFonts w:cstheme="minorHAnsi"/>
        </w:rPr>
        <w:t>应，并按谈判文件的要求提交全部资料。</w:t>
      </w:r>
    </w:p>
    <w:p w14:paraId="3797605F">
      <w:pPr>
        <w:ind w:firstLine="480" w:firstLineChars="200"/>
        <w:jc w:val="both"/>
        <w:rPr>
          <w:rFonts w:cstheme="minorHAnsi"/>
        </w:rPr>
      </w:pPr>
      <w:r>
        <w:rPr>
          <w:rFonts w:cstheme="minorHAnsi"/>
        </w:rPr>
        <w:t>项目废标后重新组织谈判的，采购代理机构将重新编制、发布新的谈判文件，供应商应按新版谈判文件重新编制响应文件。原谈判文件及响应文件失效。</w:t>
      </w:r>
    </w:p>
    <w:p w14:paraId="4558F347">
      <w:pPr>
        <w:pStyle w:val="4"/>
        <w:ind w:firstLine="482"/>
      </w:pPr>
      <w:r>
        <w:t>（四）谈判文件的修改、澄清</w:t>
      </w:r>
    </w:p>
    <w:p w14:paraId="0079D1AC">
      <w:pPr>
        <w:ind w:firstLine="480" w:firstLineChars="200"/>
        <w:jc w:val="both"/>
        <w:rPr>
          <w:rFonts w:cstheme="minorHAnsi"/>
        </w:rPr>
      </w:pPr>
      <w:r>
        <w:rPr>
          <w:rFonts w:hint="eastAsia" w:cstheme="minorHAnsi"/>
        </w:rPr>
        <w:t>1．提交首次响应文件截止之日前，采购人或采购代理机构可能对已发出的谈判文件进行澄清或者修改，</w:t>
      </w:r>
      <w:r>
        <w:rPr>
          <w:rFonts w:cstheme="minorHAnsi"/>
        </w:rPr>
        <w:t>澄清或者修改的内容为</w:t>
      </w:r>
      <w:r>
        <w:rPr>
          <w:rFonts w:hint="eastAsia" w:cstheme="minorHAnsi"/>
        </w:rPr>
        <w:t>谈判文件</w:t>
      </w:r>
      <w:r>
        <w:rPr>
          <w:rFonts w:cstheme="minorHAnsi"/>
        </w:rPr>
        <w:t>的组成部分。</w:t>
      </w:r>
    </w:p>
    <w:p w14:paraId="5C6D7605">
      <w:pPr>
        <w:ind w:firstLine="480" w:firstLineChars="200"/>
        <w:jc w:val="both"/>
        <w:rPr>
          <w:rFonts w:cstheme="minorHAnsi"/>
        </w:rPr>
      </w:pPr>
      <w:r>
        <w:rPr>
          <w:rFonts w:hint="eastAsia" w:cstheme="minorHAnsi"/>
        </w:rPr>
        <w:t>2．当需要澄清或修改时，</w:t>
      </w:r>
      <w:r>
        <w:rPr>
          <w:rFonts w:cstheme="minorHAnsi"/>
        </w:rPr>
        <w:t>采购代理机构将在提交首次响应文件截止之日3个工作日前，在财政部门指定的</w:t>
      </w:r>
      <w:r>
        <w:rPr>
          <w:rFonts w:hint="eastAsia" w:cstheme="minorHAnsi"/>
        </w:rPr>
        <w:t>“</w:t>
      </w:r>
      <w:r>
        <w:rPr>
          <w:rFonts w:hint="eastAsia" w:cstheme="minorHAnsi"/>
          <w:color w:val="7030A0"/>
        </w:rPr>
        <w:t>政府采购信息发布媒体</w:t>
      </w:r>
      <w:r>
        <w:rPr>
          <w:rFonts w:hint="eastAsia" w:cstheme="minorHAnsi"/>
        </w:rPr>
        <w:t>”</w:t>
      </w:r>
      <w:r>
        <w:rPr>
          <w:rFonts w:cstheme="minorHAnsi"/>
        </w:rPr>
        <w:t>上</w:t>
      </w:r>
      <w:r>
        <w:rPr>
          <w:rFonts w:cstheme="minorHAnsi"/>
          <w:color w:val="C00000"/>
        </w:rPr>
        <w:t>发布变更公告</w:t>
      </w:r>
      <w:r>
        <w:rPr>
          <w:rFonts w:cstheme="minorHAnsi"/>
        </w:rPr>
        <w:t>；不足3个工作日的，将顺延提交首次响应文件的截止时间。</w:t>
      </w:r>
    </w:p>
    <w:p w14:paraId="6E55830B">
      <w:pPr>
        <w:ind w:firstLine="480" w:firstLineChars="200"/>
        <w:jc w:val="both"/>
        <w:rPr>
          <w:rFonts w:cstheme="minorHAnsi"/>
        </w:rPr>
      </w:pPr>
      <w:r>
        <w:rPr>
          <w:rFonts w:hint="eastAsia" w:cstheme="minorHAnsi"/>
        </w:rPr>
        <w:t>3．澄清或修改的内容可能影响响应文件编制时，采购代理机构将在发布变更公告的同时，提醒供应商下载</w:t>
      </w:r>
      <w:r>
        <w:rPr>
          <w:rFonts w:cstheme="minorHAnsi"/>
        </w:rPr>
        <w:t>答疑文件（*.SXSCF，即更新后的电子谈判文件）。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〉答疑文件下载〗获取更新后的电子谈判文件（*.SXSCF），使用旧版电子谈判文件制作的电子响应文件（*.SXSTF），系统将拒绝接收。</w:t>
      </w:r>
    </w:p>
    <w:p w14:paraId="61913182">
      <w:pPr>
        <w:ind w:firstLine="480" w:firstLineChars="200"/>
        <w:jc w:val="both"/>
      </w:pPr>
      <w:r>
        <w:rPr>
          <w:rFonts w:cstheme="minorHAnsi"/>
        </w:rPr>
        <w:t>4</w:t>
      </w:r>
      <w:r>
        <w:rPr>
          <w:rFonts w:hint="eastAsia" w:cstheme="minorHAnsi"/>
        </w:rPr>
        <w:t>．</w:t>
      </w:r>
      <w:r>
        <w:rPr>
          <w:color w:val="C00000"/>
        </w:rPr>
        <w:t>请各供应商在提交首次响应文件截止时间之前，务必随时关注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1A253374">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1"/>
          <w:color w:val="0070C0"/>
        </w:rPr>
        <w:t>http://www.ccgp-shaanxi.gov.cn/</w:t>
      </w:r>
      <w:r>
        <w:rPr>
          <w:rStyle w:val="31"/>
          <w:color w:val="0070C0"/>
        </w:rPr>
        <w:fldChar w:fldCharType="end"/>
      </w:r>
      <w:r>
        <w:t>）中的〖首页·〉信息公告·〉市级·〉西安市〗；</w:t>
      </w:r>
    </w:p>
    <w:p w14:paraId="203399D9">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1"/>
          <w:rFonts w:hint="eastAsia"/>
          <w:color w:val="0070C0"/>
        </w:rPr>
        <w:t>http://</w:t>
      </w:r>
      <w:r>
        <w:rPr>
          <w:rStyle w:val="31"/>
          <w:color w:val="0070C0"/>
        </w:rPr>
        <w:t>sxggzyjy.xa.gov.cn/</w:t>
      </w:r>
      <w:r>
        <w:rPr>
          <w:rStyle w:val="31"/>
          <w:color w:val="0070C0"/>
        </w:rPr>
        <w:fldChar w:fldCharType="end"/>
      </w:r>
      <w:r>
        <w:t>）中的〖首页·〉交易大厅·〉政府采购〗。</w:t>
      </w:r>
    </w:p>
    <w:p w14:paraId="76A1CFDA">
      <w:pPr>
        <w:pStyle w:val="3"/>
      </w:pPr>
      <w:r>
        <w:t>四、响应文件</w:t>
      </w:r>
    </w:p>
    <w:p w14:paraId="38AFDCFA">
      <w:pPr>
        <w:pStyle w:val="4"/>
        <w:ind w:firstLine="482"/>
      </w:pPr>
      <w:r>
        <w:rPr>
          <w:rFonts w:hint="eastAsia"/>
        </w:rPr>
        <w:t>（一）响应文件</w:t>
      </w:r>
      <w:r>
        <w:t>的式样</w:t>
      </w:r>
    </w:p>
    <w:p w14:paraId="4DBD232F">
      <w:pPr>
        <w:pStyle w:val="81"/>
        <w:ind w:firstLine="480"/>
      </w:pPr>
      <w:r>
        <w:t>1</w:t>
      </w:r>
      <w:r>
        <w:rPr>
          <w:rFonts w:hint="eastAsia"/>
          <w:color w:val="auto"/>
        </w:rPr>
        <w:t>．</w:t>
      </w:r>
      <w:r>
        <w:rPr>
          <w:rFonts w:hint="eastAsia"/>
        </w:rPr>
        <w:t>组成</w:t>
      </w:r>
      <w:r>
        <w:t>及格式</w:t>
      </w:r>
    </w:p>
    <w:p w14:paraId="6BFB9D09">
      <w:pPr>
        <w:pStyle w:val="81"/>
        <w:ind w:firstLine="480"/>
      </w:pPr>
      <w:r>
        <w:t>供应商依照谈判文件</w:t>
      </w:r>
      <w:r>
        <w:rPr>
          <w:color w:val="C00000"/>
        </w:rPr>
        <w:t>第五章《响应文件构成及格式》</w:t>
      </w:r>
      <w:r>
        <w:t>给定形式进行编制响应</w:t>
      </w:r>
      <w:r>
        <w:rPr>
          <w:rFonts w:hint="eastAsia"/>
        </w:rPr>
        <w:t>文件</w:t>
      </w:r>
      <w:r>
        <w:t>。项目划分采购包的，应按所投采购包分别准备响应文件。</w:t>
      </w:r>
    </w:p>
    <w:p w14:paraId="2EC44FBE">
      <w:pPr>
        <w:pStyle w:val="81"/>
        <w:ind w:firstLine="480"/>
      </w:pPr>
      <w:r>
        <w:rPr>
          <w:rFonts w:hint="eastAsia"/>
        </w:rPr>
        <w:t>2</w:t>
      </w:r>
      <w:r>
        <w:rPr>
          <w:rFonts w:hint="eastAsia"/>
          <w:color w:val="auto"/>
        </w:rPr>
        <w:t>．</w:t>
      </w:r>
      <w:r>
        <w:rPr>
          <w:rFonts w:hint="eastAsia"/>
        </w:rPr>
        <w:t>语言</w:t>
      </w:r>
    </w:p>
    <w:p w14:paraId="3C33EE09">
      <w:pPr>
        <w:pStyle w:val="81"/>
        <w:ind w:firstLine="480"/>
      </w:pPr>
      <w:r>
        <w:rPr>
          <w:rFonts w:hint="eastAsia"/>
        </w:rPr>
        <w:t>谈判活动的所有文件、资料、函电文字均使用简体中文，确需提交用其他语言形成的资料，必须翻译成简体中文，如有差异，以简体中文为准。</w:t>
      </w:r>
    </w:p>
    <w:p w14:paraId="2F3FAA15">
      <w:pPr>
        <w:pStyle w:val="81"/>
        <w:ind w:firstLine="480"/>
      </w:pPr>
      <w:r>
        <w:rPr>
          <w:rFonts w:hint="eastAsia"/>
        </w:rPr>
        <w:t>3</w:t>
      </w:r>
      <w:r>
        <w:rPr>
          <w:rFonts w:hint="eastAsia"/>
          <w:color w:val="auto"/>
        </w:rPr>
        <w:t>．</w:t>
      </w:r>
      <w:r>
        <w:t>计量单位</w:t>
      </w:r>
    </w:p>
    <w:p w14:paraId="386CC72A">
      <w:pPr>
        <w:pStyle w:val="81"/>
        <w:ind w:firstLine="480"/>
      </w:pPr>
      <w:r>
        <w:rPr>
          <w:rFonts w:hint="eastAsia"/>
        </w:rPr>
        <w:t>响应文件的计量单位应使用中华人民共和国法定计量单位，但谈判文件另有规定的除外。</w:t>
      </w:r>
    </w:p>
    <w:p w14:paraId="40216070">
      <w:pPr>
        <w:pStyle w:val="4"/>
        <w:ind w:firstLine="482"/>
      </w:pPr>
      <w:r>
        <w:rPr>
          <w:rFonts w:hint="eastAsia"/>
        </w:rPr>
        <w:t>（二）响应文件</w:t>
      </w:r>
      <w:r>
        <w:t>的有效期</w:t>
      </w:r>
    </w:p>
    <w:p w14:paraId="5B7D7BC8">
      <w:pPr>
        <w:pStyle w:val="81"/>
        <w:ind w:firstLine="480"/>
      </w:pPr>
      <w:r>
        <w:rPr>
          <w:rFonts w:hint="eastAsia"/>
        </w:rPr>
        <w:t>响应文件有效期为</w:t>
      </w:r>
      <w:r>
        <w:rPr>
          <w:rFonts w:hint="eastAsia"/>
          <w:color w:val="C00000"/>
        </w:rPr>
        <w:t>自谈判之日起不少于</w:t>
      </w:r>
      <w:r>
        <w:rPr>
          <w:color w:val="C00000"/>
        </w:rPr>
        <w:t>90个日历日</w:t>
      </w:r>
      <w:r>
        <w:t>。如成交，延长至合同执行完毕时止。</w:t>
      </w:r>
    </w:p>
    <w:p w14:paraId="7802925A">
      <w:pPr>
        <w:pStyle w:val="4"/>
        <w:ind w:firstLine="482"/>
      </w:pPr>
      <w:r>
        <w:rPr>
          <w:rFonts w:hint="eastAsia"/>
        </w:rPr>
        <w:t>（三）谈判</w:t>
      </w:r>
      <w:r>
        <w:t>报价</w:t>
      </w:r>
    </w:p>
    <w:p w14:paraId="15B579B7">
      <w:pPr>
        <w:pStyle w:val="81"/>
        <w:ind w:firstLine="480"/>
      </w:pPr>
      <w:r>
        <w:rPr>
          <w:rFonts w:hint="eastAsia"/>
        </w:rPr>
        <w:t>谈判报价是供应商响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14:paraId="6E0B0E0F">
      <w:pPr>
        <w:pStyle w:val="81"/>
        <w:ind w:firstLine="480"/>
      </w:pPr>
      <w:r>
        <w:rPr>
          <w:rFonts w:hint="eastAsia"/>
        </w:rPr>
        <w:t>1</w:t>
      </w:r>
      <w:r>
        <w:rPr>
          <w:rFonts w:hint="eastAsia"/>
          <w:color w:val="auto"/>
        </w:rPr>
        <w:t>．</w:t>
      </w:r>
      <w:r>
        <w:rPr>
          <w:rFonts w:hint="eastAsia"/>
        </w:rPr>
        <w:t>供应商在报价时应充分考虑所有可能发生的费用，谈判文件未列明，而供应商认为应当计取的费用均应列入报价中。报价时不论是否计取，采购人均按已计取对待。</w:t>
      </w:r>
    </w:p>
    <w:p w14:paraId="39275893">
      <w:pPr>
        <w:pStyle w:val="81"/>
        <w:ind w:firstLine="480"/>
      </w:pPr>
      <w:r>
        <w:rPr>
          <w:rFonts w:hint="eastAsia"/>
        </w:rPr>
        <w:t>2</w:t>
      </w:r>
      <w:r>
        <w:rPr>
          <w:rFonts w:hint="eastAsia"/>
          <w:color w:val="auto"/>
        </w:rPr>
        <w:t>．</w:t>
      </w:r>
      <w:r>
        <w:rPr>
          <w:rFonts w:hint="eastAsia"/>
        </w:rPr>
        <w:t>谈判项目实行多轮报价（一般情况下为两次），每轮报价只能提交唯一报价，任何有选择的报价都将不予接受，其响应文件视为无效文件。</w:t>
      </w:r>
    </w:p>
    <w:p w14:paraId="6CA3FA43">
      <w:pPr>
        <w:pStyle w:val="81"/>
        <w:ind w:firstLine="480"/>
      </w:pPr>
      <w:r>
        <w:t>（</w:t>
      </w:r>
      <w:r>
        <w:rPr>
          <w:rFonts w:hint="eastAsia"/>
        </w:rPr>
        <w:t>1</w:t>
      </w:r>
      <w:r>
        <w:t>）第一次报价：</w:t>
      </w:r>
      <w:r>
        <w:rPr>
          <w:rFonts w:hint="eastAsia"/>
        </w:rPr>
        <w:t>供应商应按照响应文件「第一次谈判报价表」中的相关要求填写分类报价及其他需要响应的内容。</w:t>
      </w:r>
    </w:p>
    <w:p w14:paraId="66BA29EA">
      <w:pPr>
        <w:pStyle w:val="81"/>
        <w:ind w:firstLine="480"/>
      </w:pPr>
      <w:r>
        <w:t>（</w:t>
      </w:r>
      <w:r>
        <w:rPr>
          <w:rFonts w:hint="eastAsia"/>
        </w:rPr>
        <w:t>2</w:t>
      </w:r>
      <w:r>
        <w:t>）最后报价：</w:t>
      </w:r>
      <w:r>
        <w:rPr>
          <w:rFonts w:hint="eastAsia"/>
        </w:rPr>
        <w:t>谈判结束后，所有实质性响应谈判文件要求的供应商应当在谈判小组给定的时限内提交最后报价。最后报价也是响应文件的有效组成部分。</w:t>
      </w:r>
    </w:p>
    <w:p w14:paraId="357DD472">
      <w:pPr>
        <w:pStyle w:val="81"/>
        <w:ind w:firstLine="480"/>
      </w:pPr>
      <w:r>
        <w:rPr>
          <w:rFonts w:hint="eastAsia"/>
        </w:rPr>
        <w:t>3</w:t>
      </w:r>
      <w:r>
        <w:rPr>
          <w:rFonts w:hint="eastAsia"/>
          <w:color w:val="auto"/>
        </w:rPr>
        <w:t>．谈判</w:t>
      </w:r>
      <w:r>
        <w:rPr>
          <w:rFonts w:hint="eastAsia"/>
        </w:rPr>
        <w:t>报价货币：</w:t>
      </w:r>
      <w:r>
        <w:rPr>
          <w:rFonts w:hint="eastAsia"/>
          <w:color w:val="C00000"/>
        </w:rPr>
        <w:t>人民币</w:t>
      </w:r>
      <w:r>
        <w:rPr>
          <w:rFonts w:hint="eastAsia"/>
        </w:rPr>
        <w:t>；单位：</w:t>
      </w:r>
      <w:r>
        <w:rPr>
          <w:rFonts w:hint="eastAsia"/>
          <w:color w:val="C00000"/>
        </w:rPr>
        <w:t>元</w:t>
      </w:r>
      <w:r>
        <w:rPr>
          <w:rFonts w:hint="eastAsia"/>
        </w:rPr>
        <w:t>。</w:t>
      </w:r>
    </w:p>
    <w:p w14:paraId="2FE47FE1">
      <w:pPr>
        <w:pStyle w:val="81"/>
        <w:ind w:firstLine="480"/>
      </w:pPr>
      <w:r>
        <w:rPr>
          <w:color w:val="auto"/>
        </w:rPr>
        <w:t>4</w:t>
      </w:r>
      <w:r>
        <w:rPr>
          <w:rFonts w:hint="eastAsia"/>
          <w:color w:val="auto"/>
        </w:rPr>
        <w:t>．</w:t>
      </w:r>
      <w:r>
        <w:rPr>
          <w:rFonts w:hint="eastAsia"/>
        </w:rPr>
        <w:t>因供应商对谈判文件理解不透、误解、疏漏或对市场行情了解不清造成的后果和风险，均由供应商自己负责。</w:t>
      </w:r>
    </w:p>
    <w:p w14:paraId="78AE6B8C">
      <w:pPr>
        <w:pStyle w:val="4"/>
        <w:ind w:firstLine="482"/>
      </w:pPr>
      <w:r>
        <w:rPr>
          <w:rFonts w:hint="eastAsia"/>
        </w:rPr>
        <w:t>（四）电子响应文件</w:t>
      </w:r>
      <w:r>
        <w:t>的</w:t>
      </w:r>
      <w:r>
        <w:rPr>
          <w:rFonts w:hint="eastAsia"/>
        </w:rPr>
        <w:t>制作、</w:t>
      </w:r>
      <w:r>
        <w:t>签章及加密</w:t>
      </w:r>
    </w:p>
    <w:p w14:paraId="5660DCD5">
      <w:pPr>
        <w:pStyle w:val="81"/>
        <w:ind w:firstLine="480"/>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rPr>
        <w:t>标文件制作软件及操作手册</w:t>
      </w:r>
      <w:r>
        <w:t>》。</w:t>
      </w:r>
    </w:p>
    <w:p w14:paraId="5D04C4B3">
      <w:pPr>
        <w:pStyle w:val="81"/>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1"/>
          <w:rFonts w:asciiTheme="minorHAnsi" w:hAnsiTheme="minorHAnsi" w:eastAsiaTheme="minorEastAsia"/>
          <w:color w:val="0070C0"/>
        </w:rPr>
        <w:t>http://sxggzyjy.xa.gov.cn/fwzn/004003/20181115/4d59c184-e8f6-4d5a-a416-c2f6b0601e66.html</w:t>
      </w:r>
      <w:r>
        <w:rPr>
          <w:rStyle w:val="31"/>
          <w:rFonts w:asciiTheme="minorHAnsi" w:hAnsiTheme="minorHAnsi" w:eastAsiaTheme="minorEastAsia"/>
          <w:color w:val="0070C0"/>
        </w:rPr>
        <w:fldChar w:fldCharType="end"/>
      </w:r>
    </w:p>
    <w:p w14:paraId="1AFAE165">
      <w:pPr>
        <w:pStyle w:val="81"/>
        <w:ind w:firstLine="480"/>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电子谈判文件的备份工作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电子谈判文件</w:t>
      </w:r>
      <w:r>
        <w:rPr>
          <w:rFonts w:hint="eastAsia"/>
        </w:rPr>
        <w:t>（*.SXSZF）或</w:t>
      </w:r>
      <w:r>
        <w:t>答疑文件</w:t>
      </w:r>
      <w:r>
        <w:rPr>
          <w:rFonts w:hint="eastAsia"/>
        </w:rPr>
        <w:t>（*.SXSCF，</w:t>
      </w:r>
      <w:r>
        <w:t>即</w:t>
      </w:r>
      <w:r>
        <w:rPr>
          <w:rFonts w:hint="eastAsia"/>
        </w:rPr>
        <w:t>更新</w:t>
      </w:r>
      <w:r>
        <w:t>后的</w:t>
      </w:r>
      <w:r>
        <w:rPr>
          <w:rFonts w:hint="eastAsia"/>
        </w:rPr>
        <w:t>电子谈判文件）导入</w:t>
      </w:r>
      <w:r>
        <w:t>制作</w:t>
      </w:r>
      <w:r>
        <w:rPr>
          <w:rFonts w:hint="eastAsia"/>
        </w:rPr>
        <w:t>软件，最后</w:t>
      </w:r>
      <w:r>
        <w:t>按照章节分别编制响应</w:t>
      </w:r>
      <w:r>
        <w:rPr>
          <w:rFonts w:hint="eastAsia"/>
        </w:rPr>
        <w:t>文件</w:t>
      </w:r>
      <w:r>
        <w:t>各个部分。</w:t>
      </w:r>
    </w:p>
    <w:p w14:paraId="25A5956B">
      <w:pPr>
        <w:pStyle w:val="81"/>
        <w:ind w:firstLine="482"/>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〉答疑文件下载〗获取更新后的电子谈判文件（*.SXSCF）。</w:t>
      </w:r>
    </w:p>
    <w:p w14:paraId="5C61E669">
      <w:pPr>
        <w:pStyle w:val="81"/>
        <w:ind w:firstLine="480"/>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32D1415B">
      <w:pPr>
        <w:pStyle w:val="81"/>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打开未加密的电子响应文件重新导出。在</w:t>
      </w:r>
      <w:r>
        <w:rPr>
          <w:rFonts w:hint="eastAsia"/>
        </w:rPr>
        <w:t>制作</w:t>
      </w:r>
      <w:r>
        <w:t>过程中，如有其他技术性问题，请先翻阅操作手册，或致电</w:t>
      </w:r>
      <w:r>
        <w:rPr>
          <w:rFonts w:hint="eastAsia"/>
        </w:rPr>
        <w:t>电子化政府采购系统技术支持</w:t>
      </w:r>
      <w:r>
        <w:t>。</w:t>
      </w:r>
    </w:p>
    <w:p w14:paraId="3350BAB1">
      <w:pPr>
        <w:pStyle w:val="81"/>
        <w:ind w:firstLine="480"/>
      </w:pPr>
      <w:r>
        <w:rPr>
          <w:rFonts w:hint="eastAsia"/>
        </w:rPr>
        <w:t>4．在</w:t>
      </w:r>
      <w:r>
        <w:t>生成电子响应文件时，需要使用CA锁对响应</w:t>
      </w:r>
      <w:r>
        <w:rPr>
          <w:rFonts w:hint="eastAsia"/>
        </w:rPr>
        <w:t>文件</w:t>
      </w:r>
      <w:r>
        <w:t>进行加密（</w:t>
      </w:r>
      <w:r>
        <w:rPr>
          <w:color w:val="00B0F0"/>
          <w:em w:val="dot"/>
        </w:rPr>
        <w:t>开启</w:t>
      </w:r>
      <w:r>
        <w:rPr>
          <w:color w:val="C00000"/>
        </w:rPr>
        <w:t>时还须使用同一把CA锁进行解密</w:t>
      </w:r>
      <w:r>
        <w:t>）。</w:t>
      </w:r>
    </w:p>
    <w:p w14:paraId="20C51986">
      <w:pPr>
        <w:pStyle w:val="4"/>
        <w:ind w:firstLine="482"/>
      </w:pPr>
      <w:r>
        <w:rPr>
          <w:rFonts w:hint="eastAsia"/>
        </w:rPr>
        <w:t>（五）电子响应文件</w:t>
      </w:r>
      <w:r>
        <w:t>的提交</w:t>
      </w:r>
    </w:p>
    <w:p w14:paraId="0656DC15">
      <w:pPr>
        <w:pStyle w:val="81"/>
        <w:ind w:firstLine="480"/>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的电子响应文件（*.SXSTF）。上传成功后，西安市公共资源交易平台政府采购系统将予以记录。</w:t>
      </w:r>
    </w:p>
    <w:p w14:paraId="1340285A">
      <w:pPr>
        <w:pStyle w:val="81"/>
        <w:ind w:firstLine="480"/>
      </w:pPr>
      <w:r>
        <w:t>出现下述情形的，电子响应文件将被系统拒收：</w:t>
      </w:r>
    </w:p>
    <w:p w14:paraId="4AC6B849">
      <w:pPr>
        <w:ind w:firstLine="480" w:firstLineChars="200"/>
        <w:jc w:val="both"/>
        <w:rPr>
          <w:rFonts w:cstheme="minorHAnsi"/>
        </w:rPr>
      </w:pPr>
      <w:r>
        <w:rPr>
          <w:rFonts w:cstheme="minorHAnsi"/>
        </w:rPr>
        <w:t>1</w:t>
      </w:r>
      <w:r>
        <w:rPr>
          <w:rFonts w:hint="eastAsia" w:cstheme="minorHAnsi"/>
        </w:rPr>
        <w:t>．</w:t>
      </w:r>
      <w:r>
        <w:rPr>
          <w:rFonts w:cstheme="minorHAnsi"/>
        </w:rPr>
        <w:t>误投的；</w:t>
      </w:r>
    </w:p>
    <w:p w14:paraId="2AA2B29A">
      <w:pPr>
        <w:ind w:firstLine="480" w:firstLineChars="200"/>
        <w:jc w:val="both"/>
        <w:rPr>
          <w:rFonts w:cstheme="minorHAnsi"/>
        </w:rPr>
      </w:pPr>
      <w:r>
        <w:rPr>
          <w:rFonts w:hint="eastAsia" w:cstheme="minorHAnsi"/>
        </w:rPr>
        <w:t>2．</w:t>
      </w:r>
      <w:r>
        <w:rPr>
          <w:rFonts w:cstheme="minorHAnsi"/>
        </w:rPr>
        <w:t>逾期提交电子响应文件的；</w:t>
      </w:r>
    </w:p>
    <w:p w14:paraId="76583FD7">
      <w:pPr>
        <w:ind w:firstLine="480" w:firstLineChars="200"/>
        <w:jc w:val="both"/>
        <w:rPr>
          <w:rFonts w:cstheme="minorHAnsi"/>
        </w:rPr>
      </w:pPr>
      <w:r>
        <w:rPr>
          <w:rFonts w:cstheme="minorHAnsi"/>
        </w:rPr>
        <w:t>3</w:t>
      </w:r>
      <w:r>
        <w:rPr>
          <w:rFonts w:hint="eastAsia" w:cstheme="minorHAnsi"/>
        </w:rPr>
        <w:t>．使用旧版电子谈判文件制作电子响应文件的。</w:t>
      </w:r>
    </w:p>
    <w:p w14:paraId="092E8868">
      <w:pPr>
        <w:pStyle w:val="4"/>
        <w:ind w:firstLine="482"/>
      </w:pPr>
      <w:r>
        <w:t>（</w:t>
      </w:r>
      <w:r>
        <w:rPr>
          <w:rFonts w:hint="eastAsia"/>
        </w:rPr>
        <w:t>六</w:t>
      </w:r>
      <w:r>
        <w:t>）电子响应文件的撤回、补充及修改</w:t>
      </w:r>
    </w:p>
    <w:p w14:paraId="3592412A">
      <w:pPr>
        <w:pStyle w:val="81"/>
        <w:ind w:firstLine="480"/>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14:paraId="38FFA116">
      <w:pPr>
        <w:pStyle w:val="81"/>
        <w:ind w:firstLine="480"/>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14:paraId="41D38B9B">
      <w:pPr>
        <w:pStyle w:val="4"/>
        <w:ind w:firstLine="482"/>
      </w:pPr>
      <w:r>
        <w:rPr>
          <w:rFonts w:hint="eastAsia"/>
        </w:rPr>
        <w:t>（七）关于电子投</w:t>
      </w:r>
      <w:r>
        <w:rPr>
          <w:rFonts w:hint="eastAsia"/>
          <w:w w:val="1"/>
        </w:rPr>
        <w:t>　</w:t>
      </w:r>
      <w:r>
        <w:rPr>
          <w:rFonts w:hint="eastAsia"/>
        </w:rPr>
        <w:t>标文件的雷同性分析</w:t>
      </w:r>
    </w:p>
    <w:p w14:paraId="6B9F7F24">
      <w:pPr>
        <w:pStyle w:val="81"/>
        <w:ind w:firstLine="480"/>
      </w:pPr>
      <w:r>
        <w:rPr>
          <w:rFonts w:hint="eastAsia"/>
        </w:rPr>
        <w:t>根据陕西省公共资源交易中心2021年7月22日印发的《关于在政府采购交易系统中开通标书雷同性分析功能的通知》，在符合性审查环节，将由竞争性谈判小组在评标系统中对供应商的电子投</w:t>
      </w:r>
      <w:r>
        <w:rPr>
          <w:rFonts w:hint="eastAsia"/>
          <w:w w:val="1"/>
        </w:rPr>
        <w:t>　</w:t>
      </w:r>
      <w:r>
        <w:rPr>
          <w:rFonts w:hint="eastAsia"/>
        </w:rPr>
        <w:t>标文件进行雷同性分析。</w:t>
      </w:r>
    </w:p>
    <w:p w14:paraId="60DD6D01">
      <w:pPr>
        <w:pStyle w:val="81"/>
        <w:ind w:firstLine="480"/>
      </w:pPr>
      <w:r>
        <w:rPr>
          <w:rFonts w:hint="eastAsia"/>
        </w:rPr>
        <w:t>雷同性分析由两项指标组成，分别是“文件制作机器码”和“文件创建标识码”。其中，前者通过验证电子投</w:t>
      </w:r>
      <w:r>
        <w:rPr>
          <w:rFonts w:hint="eastAsia"/>
          <w:w w:val="1"/>
        </w:rPr>
        <w:t>　</w:t>
      </w:r>
      <w:r>
        <w:rPr>
          <w:rFonts w:hint="eastAsia"/>
        </w:rPr>
        <w:t>标文件制作设备的特征信息（如MAC地址、硬盘序列号、CPU编号、主板号等），判断电子投</w:t>
      </w:r>
      <w:r>
        <w:rPr>
          <w:rFonts w:hint="eastAsia"/>
          <w:w w:val="1"/>
        </w:rPr>
        <w:t>　</w:t>
      </w:r>
      <w:r>
        <w:rPr>
          <w:rFonts w:hint="eastAsia"/>
        </w:rPr>
        <w:t>标文件是否出自同一台设备。</w:t>
      </w:r>
    </w:p>
    <w:p w14:paraId="29ABB2FB">
      <w:pPr>
        <w:pStyle w:val="81"/>
        <w:ind w:firstLine="480"/>
      </w:pPr>
      <w:r>
        <w:rPr>
          <w:rFonts w:hint="eastAsia"/>
        </w:rPr>
        <w:t>若“文件制作机器码”一致，则表明不同供应商的电子投</w:t>
      </w:r>
      <w:r>
        <w:rPr>
          <w:rFonts w:hint="eastAsia"/>
          <w:w w:val="1"/>
        </w:rPr>
        <w:t>　</w:t>
      </w:r>
      <w:r>
        <w:rPr>
          <w:rFonts w:hint="eastAsia"/>
        </w:rPr>
        <w:t>标文件出自同一台制作设备，根据《陕西省财政厅关于政府采购有关政策的复函》（陕财办采函〔2019〕18号），该情形可以视同</w:t>
      </w:r>
      <w:r>
        <w:rPr>
          <w:rFonts w:asciiTheme="minorEastAsia" w:hAnsiTheme="minorEastAsia" w:eastAsiaTheme="minorEastAsia"/>
        </w:rPr>
        <w:t>“</w:t>
      </w:r>
      <w:r>
        <w:rPr>
          <w:rFonts w:hint="eastAsia" w:asciiTheme="minorEastAsia" w:hAnsiTheme="minorEastAsia" w:eastAsiaTheme="minorEastAsia"/>
        </w:rPr>
        <w:t>响应文件由同一单位或者个人编制的</w:t>
      </w:r>
      <w:r>
        <w:rPr>
          <w:rFonts w:asciiTheme="minorEastAsia" w:hAnsiTheme="minorEastAsia" w:eastAsiaTheme="minorEastAsia"/>
        </w:rPr>
        <w:t>”</w:t>
      </w:r>
      <w:r>
        <w:rPr>
          <w:rFonts w:asciiTheme="minorHAnsi" w:hAnsiTheme="minorHAnsi"/>
        </w:rPr>
        <w:t>情形</w:t>
      </w:r>
      <w:r>
        <w:rPr>
          <w:rFonts w:hint="eastAsia"/>
        </w:rPr>
        <w:t>。</w:t>
      </w:r>
    </w:p>
    <w:p w14:paraId="3AFE0513">
      <w:pPr>
        <w:pStyle w:val="81"/>
        <w:ind w:firstLine="480"/>
      </w:pPr>
      <w:r>
        <w:rPr>
          <w:rFonts w:hint="eastAsia"/>
        </w:rPr>
        <w:t>若“文件创建标识码”一致，则表示不同供应商使用投</w:t>
      </w:r>
      <w:r>
        <w:rPr>
          <w:rFonts w:hint="eastAsia"/>
          <w:w w:val="1"/>
        </w:rPr>
        <w:t>　</w:t>
      </w:r>
      <w:r>
        <w:rPr>
          <w:rFonts w:hint="eastAsia"/>
        </w:rPr>
        <w:t>标文件制作软件时，使用同一源工程文件，该情形建议由竞争性谈判小组结合项目情况综合判定。</w:t>
      </w:r>
    </w:p>
    <w:p w14:paraId="1601A4A6">
      <w:pPr>
        <w:pStyle w:val="4"/>
        <w:ind w:firstLine="482"/>
      </w:pPr>
      <w:r>
        <w:rPr>
          <w:rFonts w:hint="eastAsia"/>
        </w:rPr>
        <w:t>（八）响应文件出现下列情形之一的，视为供应商串通投</w:t>
      </w:r>
      <w:r>
        <w:rPr>
          <w:rFonts w:hint="eastAsia"/>
          <w:w w:val="1"/>
        </w:rPr>
        <w:t>　</w:t>
      </w:r>
      <w:r>
        <w:rPr>
          <w:rFonts w:hint="eastAsia"/>
        </w:rPr>
        <w:t>标，其响应无效：</w:t>
      </w:r>
    </w:p>
    <w:p w14:paraId="58163BC9">
      <w:pPr>
        <w:pStyle w:val="81"/>
        <w:ind w:firstLine="480"/>
      </w:pPr>
      <w:r>
        <w:rPr>
          <w:rFonts w:hint="eastAsia"/>
        </w:rPr>
        <w:t>1．不同供应商的响应文件由同一单位或者个人编制的；</w:t>
      </w:r>
    </w:p>
    <w:p w14:paraId="680072CC">
      <w:pPr>
        <w:pStyle w:val="81"/>
        <w:ind w:firstLine="480"/>
      </w:pPr>
      <w:r>
        <w:rPr>
          <w:rFonts w:hint="eastAsia"/>
        </w:rPr>
        <w:t>2．不同供应商委托同一单位或者个人办理谈判事宜的；</w:t>
      </w:r>
    </w:p>
    <w:p w14:paraId="7440E1B6">
      <w:pPr>
        <w:pStyle w:val="81"/>
        <w:ind w:firstLine="480"/>
      </w:pPr>
      <w:r>
        <w:rPr>
          <w:rFonts w:hint="eastAsia"/>
        </w:rPr>
        <w:t>3．不同供应商的响应文件载明的项目管理成员或者联系人员为同一人的；</w:t>
      </w:r>
    </w:p>
    <w:p w14:paraId="781FE8A4">
      <w:pPr>
        <w:pStyle w:val="81"/>
        <w:ind w:firstLine="480"/>
      </w:pPr>
      <w:r>
        <w:rPr>
          <w:rFonts w:hint="eastAsia"/>
        </w:rPr>
        <w:t>4．不同供应商的响应文件异常一致或者报价呈规律性差异的；</w:t>
      </w:r>
    </w:p>
    <w:p w14:paraId="3D0E3CF0">
      <w:pPr>
        <w:pStyle w:val="81"/>
        <w:ind w:firstLine="480"/>
      </w:pPr>
      <w:r>
        <w:rPr>
          <w:rFonts w:hint="eastAsia"/>
        </w:rPr>
        <w:t>5．不同供应商的响应文件相互混编或混装的。</w:t>
      </w:r>
    </w:p>
    <w:p w14:paraId="147CE1F7">
      <w:pPr>
        <w:pStyle w:val="3"/>
      </w:pPr>
      <w:r>
        <w:rPr>
          <w:rFonts w:hint="eastAsia"/>
        </w:rPr>
        <w:t>五</w:t>
      </w:r>
      <w:r>
        <w:t>、谈判程序</w:t>
      </w:r>
    </w:p>
    <w:p w14:paraId="06069AE7">
      <w:pPr>
        <w:ind w:firstLine="480" w:firstLineChars="200"/>
      </w:pPr>
      <w:r>
        <w:rPr>
          <w:rFonts w:hint="eastAsia"/>
        </w:rPr>
        <w:t>谈判工作由采购代理机构组织实施，整个过程受同级政府采购监管部门的监督、管理。</w:t>
      </w:r>
    </w:p>
    <w:p w14:paraId="5ADF64F5">
      <w:pPr>
        <w:pStyle w:val="4"/>
        <w:ind w:firstLine="482"/>
      </w:pPr>
      <w:r>
        <w:rPr>
          <w:rFonts w:hint="eastAsia"/>
        </w:rPr>
        <w:t>（一）谈判前准备工作</w:t>
      </w:r>
    </w:p>
    <w:p w14:paraId="1AA4C88E">
      <w:pPr>
        <w:pStyle w:val="81"/>
        <w:ind w:firstLine="480"/>
        <w:rPr>
          <w:color w:val="auto"/>
        </w:rPr>
      </w:pPr>
      <w:r>
        <w:rPr>
          <w:rFonts w:asciiTheme="minorHAnsi" w:hAnsiTheme="minorHAnsi" w:eastAsiaTheme="minorEastAsia"/>
        </w:rPr>
        <w:t>1．</w:t>
      </w:r>
      <w:r>
        <w:rPr>
          <w:rFonts w:hint="eastAsia"/>
          <w:color w:val="auto"/>
        </w:rPr>
        <w:t>提交首次响应文件截止时间前，请各供应商务必确认已正常提交了响应文件。</w:t>
      </w:r>
    </w:p>
    <w:p w14:paraId="446D64F1">
      <w:pPr>
        <w:pStyle w:val="81"/>
        <w:ind w:firstLine="480"/>
      </w:pPr>
      <w:r>
        <w:rPr>
          <w:color w:val="auto"/>
        </w:rPr>
        <w:t>2</w:t>
      </w:r>
      <w:r>
        <w:rPr>
          <w:rFonts w:hint="eastAsia"/>
          <w:color w:val="auto"/>
        </w:rPr>
        <w:t>．</w:t>
      </w:r>
      <w:r>
        <w:rPr>
          <w:rFonts w:hint="eastAsia"/>
        </w:rPr>
        <w:t>登录</w:t>
      </w:r>
      <w:r>
        <w:t>“不见面开标”系统：各</w:t>
      </w:r>
      <w:r>
        <w:rPr>
          <w:rFonts w:hint="eastAsia"/>
        </w:rPr>
        <w:t>供应商至少提前半小时登录西安市公共资源交易平台〖</w:t>
      </w:r>
      <w:r>
        <w:t>首页·〉不见面开标〗</w:t>
      </w:r>
      <w:r>
        <w:rPr>
          <w:rFonts w:hint="eastAsia"/>
        </w:rPr>
        <w:t>系统。</w:t>
      </w:r>
    </w:p>
    <w:p w14:paraId="33C64266">
      <w:pPr>
        <w:pStyle w:val="81"/>
        <w:ind w:firstLine="480"/>
      </w:pPr>
      <w:r>
        <w:t>（</w:t>
      </w:r>
      <w:r>
        <w:rPr>
          <w:rFonts w:hint="eastAsia"/>
        </w:rPr>
        <w:t>1</w:t>
      </w: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261B0D9B">
      <w:pPr>
        <w:pStyle w:val="81"/>
        <w:ind w:firstLine="480"/>
        <w:rPr>
          <w:rStyle w:val="31"/>
          <w:color w:val="0070C0"/>
        </w:rPr>
      </w:pPr>
      <w:r>
        <w:rPr>
          <w:rFonts w:hint="eastAsia"/>
        </w:rPr>
        <w:t>（2）链接地址：</w:t>
      </w:r>
      <w:r>
        <w:fldChar w:fldCharType="begin"/>
      </w:r>
      <w:r>
        <w:instrText xml:space="preserve"> HYPERLINK "http://sxggzyjy.xa.gov.cn/fwzn/004003/20200426/bc8b2c1e-abe2-4168-913c-68ff93345faf.html" </w:instrText>
      </w:r>
      <w:r>
        <w:fldChar w:fldCharType="separate"/>
      </w:r>
      <w:r>
        <w:rPr>
          <w:rStyle w:val="31"/>
          <w:rFonts w:hint="eastAsia"/>
          <w:color w:val="0070C0"/>
        </w:rPr>
        <w:t>http://sxggzyjy.xa.gov.cn/fwzn/004003/20200426/bc8b2c1e-abe2-4168-913c-68ff93345faf.html</w:t>
      </w:r>
      <w:r>
        <w:rPr>
          <w:rStyle w:val="31"/>
          <w:rFonts w:hint="eastAsia"/>
          <w:color w:val="0070C0"/>
        </w:rPr>
        <w:fldChar w:fldCharType="end"/>
      </w:r>
    </w:p>
    <w:p w14:paraId="5F244C64">
      <w:pPr>
        <w:pStyle w:val="81"/>
        <w:ind w:firstLine="480"/>
        <w:rPr>
          <w:rFonts w:asciiTheme="minorHAnsi" w:hAnsiTheme="minorHAnsi" w:eastAsiaTheme="minorEastAsia"/>
          <w:color w:val="auto"/>
        </w:rPr>
      </w:pPr>
      <w:r>
        <w:rPr>
          <w:rStyle w:val="31"/>
          <w:color w:val="auto"/>
          <w:u w:val="none"/>
        </w:rPr>
        <w:t>（</w:t>
      </w:r>
      <w:r>
        <w:rPr>
          <w:rStyle w:val="31"/>
          <w:rFonts w:hint="eastAsia"/>
          <w:color w:val="auto"/>
          <w:u w:val="none"/>
        </w:rPr>
        <w:t>3</w:t>
      </w:r>
      <w:r>
        <w:rPr>
          <w:rStyle w:val="31"/>
          <w:color w:val="auto"/>
          <w:u w:val="none"/>
        </w:rPr>
        <w:t>）突发状况的处置：整个谈判期间，</w:t>
      </w:r>
      <w:r>
        <w:rPr>
          <w:rStyle w:val="31"/>
          <w:rFonts w:hint="eastAsia"/>
          <w:color w:val="auto"/>
          <w:u w:val="none"/>
        </w:rPr>
        <w:t>如因停电、断网、电子化系统故障等特殊原因导致电子化开标、评标工作无法正常进行时，采购代理机构将及时汇报政府采购监管部门，并等待或中止后续活动。</w:t>
      </w:r>
    </w:p>
    <w:p w14:paraId="0BD15AB0">
      <w:pPr>
        <w:ind w:firstLine="480" w:firstLineChars="200"/>
        <w:jc w:val="both"/>
      </w:pPr>
      <w:r>
        <w:t>3</w:t>
      </w:r>
      <w:r>
        <w:rPr>
          <w:rFonts w:hint="eastAsia"/>
        </w:rPr>
        <w:t>．解密响应文件</w:t>
      </w:r>
      <w:r>
        <w:t>：</w:t>
      </w:r>
      <w:r>
        <w:rPr>
          <w:rFonts w:hint="eastAsia"/>
        </w:rPr>
        <w:t>供应商在收到主持人“开始解密”指令后，应使用“</w:t>
      </w:r>
      <w:r>
        <w:rPr>
          <w:rFonts w:hint="eastAsia"/>
          <w:color w:val="C00000"/>
        </w:rPr>
        <w:t>加密该电子响应文件时使用的CA锁</w:t>
      </w:r>
      <w:r>
        <w:rPr>
          <w:rFonts w:hint="eastAsia"/>
        </w:rPr>
        <w:t>（</w:t>
      </w:r>
      <w:r>
        <w:rPr>
          <w:rFonts w:hint="eastAsia"/>
          <w:color w:val="C00000"/>
        </w:rPr>
        <w:t>必须是同一把锁，否则将会导致解密失败</w:t>
      </w:r>
      <w:r>
        <w:rPr>
          <w:rFonts w:hint="eastAsia"/>
        </w:rPr>
        <w:t>）”对电子响应文件进行解密。除因【</w:t>
      </w:r>
      <w:r>
        <w:rPr>
          <w:rFonts w:hint="eastAsia"/>
          <w:color w:val="7030A0"/>
        </w:rPr>
        <w:t>西安市公共资源交易中心</w:t>
      </w:r>
      <w:r>
        <w:rPr>
          <w:rFonts w:hint="eastAsia"/>
        </w:rPr>
        <w:t>】断电、断网及其他不可抗力等因素，导致系统无法正常运行外，供应商应在规定的解密时间内完成解密，出现以下情形之一的，响应文件将被视为无效：</w:t>
      </w:r>
    </w:p>
    <w:p w14:paraId="7990B706">
      <w:pPr>
        <w:pStyle w:val="81"/>
        <w:ind w:firstLine="480"/>
        <w:rPr>
          <w:color w:val="auto"/>
        </w:rPr>
      </w:pPr>
      <w:r>
        <w:rPr>
          <w:color w:val="auto"/>
        </w:rPr>
        <w:t>（</w:t>
      </w:r>
      <w:r>
        <w:rPr>
          <w:rFonts w:hint="eastAsia"/>
          <w:color w:val="auto"/>
        </w:rPr>
        <w:t>1</w:t>
      </w:r>
      <w:r>
        <w:rPr>
          <w:color w:val="auto"/>
        </w:rPr>
        <w:t>）供应商</w:t>
      </w:r>
      <w:r>
        <w:rPr>
          <w:rFonts w:hint="eastAsia"/>
          <w:color w:val="auto"/>
        </w:rPr>
        <w:t>放弃</w:t>
      </w:r>
      <w:r>
        <w:rPr>
          <w:color w:val="auto"/>
        </w:rPr>
        <w:t>或拒绝对电子响应文件进行解密的；</w:t>
      </w:r>
    </w:p>
    <w:p w14:paraId="3FCA5E03">
      <w:pPr>
        <w:pStyle w:val="81"/>
        <w:ind w:firstLine="480"/>
        <w:rPr>
          <w:color w:val="auto"/>
        </w:rPr>
      </w:pPr>
      <w:r>
        <w:rPr>
          <w:color w:val="auto"/>
        </w:rPr>
        <w:t>（</w:t>
      </w:r>
      <w:r>
        <w:rPr>
          <w:rFonts w:hint="eastAsia"/>
          <w:color w:val="auto"/>
        </w:rPr>
        <w:t>2</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不同、或使用旧版谈判文件编制响应文件</w:t>
      </w:r>
      <w:r>
        <w:rPr>
          <w:color w:val="auto"/>
        </w:rPr>
        <w:t>等情形；</w:t>
      </w:r>
    </w:p>
    <w:p w14:paraId="5185643E">
      <w:pPr>
        <w:pStyle w:val="81"/>
        <w:ind w:firstLine="480"/>
        <w:rPr>
          <w:color w:val="auto"/>
        </w:rPr>
      </w:pPr>
      <w:r>
        <w:rPr>
          <w:rFonts w:hint="eastAsia"/>
          <w:color w:val="auto"/>
        </w:rPr>
        <w:t>（3）上传</w:t>
      </w:r>
      <w:r>
        <w:rPr>
          <w:color w:val="auto"/>
        </w:rPr>
        <w:t>的电子响应文件无法正常打开的；</w:t>
      </w:r>
    </w:p>
    <w:p w14:paraId="73FFACB1">
      <w:pPr>
        <w:pStyle w:val="81"/>
        <w:ind w:firstLine="480"/>
        <w:rPr>
          <w:color w:val="auto"/>
        </w:rPr>
      </w:pPr>
      <w:r>
        <w:rPr>
          <w:rFonts w:hint="eastAsia"/>
          <w:color w:val="auto"/>
        </w:rPr>
        <w:t>（4）</w:t>
      </w:r>
      <w:r>
        <w:rPr>
          <w:color w:val="auto"/>
        </w:rPr>
        <w:t>政府采购法律法规规定的其他无效情形。</w:t>
      </w:r>
    </w:p>
    <w:p w14:paraId="432AE98F">
      <w:pPr>
        <w:pStyle w:val="81"/>
        <w:ind w:firstLine="480"/>
      </w:pPr>
      <w:r>
        <w:rPr>
          <w:rFonts w:hint="eastAsia"/>
          <w:color w:val="C00000"/>
        </w:rPr>
        <w:t>按照《政府采购非招标采购方式管理办法》（财政部74号令）相关规定，对供应商的各轮谈判报价均不予公开。</w:t>
      </w:r>
    </w:p>
    <w:p w14:paraId="7C957654">
      <w:pPr>
        <w:ind w:firstLine="480" w:firstLineChars="200"/>
        <w:jc w:val="both"/>
      </w:pPr>
      <w:r>
        <w:t>4</w:t>
      </w:r>
      <w:r>
        <w:rPr>
          <w:rFonts w:hint="eastAsia"/>
        </w:rPr>
        <w:t>．进入评审环节：评审期间谈判小组可能会要求供应商对响应文件做出澄清和最终报价。供应商请保持在位，因供应商擅自离席造成的不利后果，由供应商自行承担。</w:t>
      </w:r>
    </w:p>
    <w:p w14:paraId="73382846">
      <w:pPr>
        <w:pStyle w:val="4"/>
        <w:ind w:firstLine="480" w:firstLineChars="200"/>
        <w:jc w:val="both"/>
      </w:pPr>
      <w:r>
        <w:rPr>
          <w:rFonts w:asciiTheme="minorHAnsi" w:hAnsiTheme="minorHAnsi" w:eastAsiaTheme="minorEastAsia"/>
        </w:rPr>
        <w:t>（二）成立竞争性谈判小组</w:t>
      </w:r>
    </w:p>
    <w:p w14:paraId="26DB9D5E">
      <w:pPr>
        <w:ind w:firstLine="480" w:firstLineChars="200"/>
        <w:jc w:val="both"/>
      </w:pPr>
      <w:r>
        <w:rPr>
          <w:rFonts w:hint="eastAsia"/>
        </w:rPr>
        <w:t>为了确保评审工作的公平、公正，依据《政府采购法》和《政府采购非招标采购方式管理办法》（财政部74号令），成立竞争性谈判小组。由采购人代表和评审专家共3人以上单数组成，其中评审专家人数不得少于竞争性谈判小组成员总数的2/3。采购人不得以评审专家身份参加本部门或本单位采购项目的评审。达到公开招标数额标准的货物或者服务采购项目，或者达到招标规模标准的政府采购工程，竞争性谈判小组由5人以上单数组成。</w:t>
      </w:r>
    </w:p>
    <w:p w14:paraId="00187214">
      <w:pPr>
        <w:ind w:firstLine="480" w:firstLineChars="200"/>
        <w:jc w:val="both"/>
      </w:pPr>
      <w:r>
        <w:rPr>
          <w:rFonts w:hint="eastAsia"/>
        </w:rPr>
        <w:t>由采购代理机构组织谈判小组推选评审组长，采购人代表不得担任组长。</w:t>
      </w:r>
    </w:p>
    <w:p w14:paraId="4D415AC1">
      <w:pPr>
        <w:ind w:firstLine="480" w:firstLineChars="200"/>
        <w:jc w:val="both"/>
      </w:pPr>
      <w:r>
        <w:rPr>
          <w:rFonts w:hint="eastAsia"/>
          <w:color w:val="C00000"/>
        </w:rPr>
        <w:t>在采购结果确定前，采购人、采购代理机构对谈判小组名单负有保密责任。谈判小组成员、采购人代表、采购代理机构工作人员</w:t>
      </w:r>
      <w:r>
        <w:rPr>
          <w:color w:val="C00000"/>
        </w:rPr>
        <w:t>及</w:t>
      </w:r>
      <w:r>
        <w:rPr>
          <w:rFonts w:hint="eastAsia"/>
          <w:color w:val="C00000"/>
        </w:rPr>
        <w:t>与评审工作有关的其他人员，对评审情况以及在评审过程中获悉的国家秘密、商业秘密负有保密责任。</w:t>
      </w:r>
    </w:p>
    <w:p w14:paraId="30E0D159">
      <w:pPr>
        <w:pStyle w:val="4"/>
        <w:ind w:firstLine="482"/>
      </w:pPr>
      <w:r>
        <w:rPr>
          <w:rFonts w:hint="eastAsia"/>
        </w:rPr>
        <w:t>（三）确认谈判文件</w:t>
      </w:r>
    </w:p>
    <w:p w14:paraId="6939B362">
      <w:pPr>
        <w:ind w:firstLine="480" w:firstLineChars="200"/>
      </w:pPr>
      <w:r>
        <w:rPr>
          <w:rFonts w:hint="eastAsia"/>
        </w:rPr>
        <w:t>依据《政府采购法》和《政府采购非招标采购方式管理办法》（财政部74号令）相关规定</w:t>
      </w:r>
      <w:r>
        <w:t>，谈判小组对谈判文件进行确认。</w:t>
      </w:r>
    </w:p>
    <w:p w14:paraId="045B2839">
      <w:pPr>
        <w:pStyle w:val="4"/>
        <w:ind w:firstLine="482"/>
      </w:pPr>
      <w:r>
        <w:rPr>
          <w:rFonts w:hint="eastAsia"/>
        </w:rPr>
        <w:t>（四）供应商资格审查</w:t>
      </w:r>
    </w:p>
    <w:p w14:paraId="437B1F14">
      <w:pPr>
        <w:ind w:firstLine="480" w:firstLineChars="200"/>
      </w:pPr>
      <w:r>
        <w:rPr>
          <w:rFonts w:hint="eastAsia"/>
        </w:rPr>
        <w:t>谈判文件</w:t>
      </w:r>
      <w:r>
        <w:t>经确认后，</w:t>
      </w:r>
      <w:r>
        <w:rPr>
          <w:rFonts w:hint="eastAsia"/>
        </w:rPr>
        <w:t>竞争性谈判小组对响应文件中的供应商资格证明文件进行审查（其中供应商</w:t>
      </w:r>
      <w:r>
        <w:t>信用记录</w:t>
      </w:r>
      <w:r>
        <w:rPr>
          <w:rFonts w:hint="eastAsia"/>
        </w:rPr>
        <w:t>的</w:t>
      </w:r>
      <w:r>
        <w:t>审查由采购人进行</w:t>
      </w:r>
      <w:r>
        <w:rPr>
          <w:rFonts w:hint="eastAsia"/>
        </w:rPr>
        <w:t>）。供应商所提供的资格证明文件应图文清晰、易于辨识，否则由此带来的不利后果由供应商自行承担。出现下列情形的，响应文件将被视为无效：</w:t>
      </w:r>
    </w:p>
    <w:p w14:paraId="72A3870C">
      <w:pPr>
        <w:ind w:firstLine="480" w:firstLineChars="200"/>
      </w:pPr>
      <w:r>
        <w:rPr>
          <w:rFonts w:hint="eastAsia"/>
        </w:rPr>
        <w:t>（1）不具备谈判文件中规定的资格要求的；</w:t>
      </w:r>
    </w:p>
    <w:p w14:paraId="0680D744">
      <w:pPr>
        <w:ind w:firstLine="480" w:firstLineChars="200"/>
      </w:pPr>
      <w:r>
        <w:rPr>
          <w:rFonts w:hint="eastAsia"/>
        </w:rPr>
        <w:t>（2）未按谈判文件要求提供资格证明文件，或未按谈判文件要求加盖公章的；</w:t>
      </w:r>
    </w:p>
    <w:p w14:paraId="17CF0194">
      <w:pPr>
        <w:ind w:firstLine="480" w:firstLineChars="200"/>
      </w:pPr>
      <w:r>
        <w:rPr>
          <w:rFonts w:hint="eastAsia"/>
        </w:rPr>
        <w:t>（3）谈判小组认为供应商的资格证明文件存在疑点，要求供应商通过公共资源电子交易平台（以下简称“平台”）或电子邮件（在平台无法支持的情况下）等形式提供更清晰有效的证明文件，供应商不能在规定时限内提供符合谈判文件要求的证明文件的。</w:t>
      </w:r>
    </w:p>
    <w:p w14:paraId="1525881D">
      <w:pPr>
        <w:ind w:firstLine="480" w:firstLineChars="200"/>
      </w:pPr>
      <w:r>
        <w:rPr>
          <w:rFonts w:hint="eastAsia"/>
        </w:rPr>
        <w:t>（4）法律法规规定的其他无效情形。</w:t>
      </w:r>
    </w:p>
    <w:p w14:paraId="65641CB4">
      <w:pPr>
        <w:ind w:firstLine="480" w:firstLineChars="200"/>
      </w:pPr>
      <w:r>
        <w:rPr>
          <w:rFonts w:hint="eastAsia"/>
        </w:rPr>
        <w:t>资格审查结束后，谈判小组成员应当对审查结果进行签字确认，并告知有关供应商未通过审查的原因。</w:t>
      </w:r>
    </w:p>
    <w:p w14:paraId="6EBEFC8B">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7FB8F9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2FEB6006">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73CFA603">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0020A725">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3F3235C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763D13A9">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20282578">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209BB4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446BEB6">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290EF94D">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3E7EC6C1">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5BE65A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064A88A">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00A276CD">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3C3C1B40">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1．20</w:t>
            </w:r>
            <w:r>
              <w:rPr>
                <w:rFonts w:ascii="Calibri" w:hAnsi="宋体" w:eastAsia="宋体" w:cstheme="minorHAnsi"/>
                <w:bCs/>
                <w:sz w:val="21"/>
              </w:rPr>
              <w:t>2</w:t>
            </w:r>
            <w:r>
              <w:rPr>
                <w:rFonts w:hint="eastAsia" w:ascii="Calibri" w:hAnsi="宋体" w:eastAsia="宋体" w:cstheme="minorHAnsi"/>
                <w:bCs/>
                <w:sz w:val="21"/>
              </w:rPr>
              <w:t>5年度经审计的财务会计报告，审计报告须具有注册会计师行业统一监管平台赋予的验证码（成立时间至提交响应文件截止时间不足一年的可提供成立后任意时段的资产负债表）；</w:t>
            </w:r>
          </w:p>
          <w:p w14:paraId="651E711D">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14:paraId="6E0343D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F3BE7F5">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283E6704">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7D02C317">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7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1ECEAF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E4F4E87">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13845169">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5633DDBE">
            <w:pPr>
              <w:spacing w:line="400" w:lineRule="exact"/>
              <w:ind w:firstLine="420" w:firstLineChars="200"/>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年7月1日以来已缴存的至少一个月的纳税证明或完税证明，税种为增值税或企业所得税。纳税证明或完税证明上应有代收机构或税务机关的公章或业务专用章。依法免税的供应商应提供相关文件证明。</w:t>
            </w:r>
          </w:p>
        </w:tc>
      </w:tr>
      <w:tr w14:paraId="5276C3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A2F5D12">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061275C0">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0D3C041F">
            <w:pPr>
              <w:spacing w:line="400" w:lineRule="exact"/>
              <w:ind w:firstLine="420" w:firstLineChars="200"/>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4BCBB4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630" w:hRule="atLeast"/>
          <w:jc w:val="center"/>
        </w:trPr>
        <w:tc>
          <w:tcPr>
            <w:tcW w:w="703" w:type="dxa"/>
            <w:vAlign w:val="center"/>
          </w:tcPr>
          <w:p w14:paraId="313D6FFB">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1CFDC980">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4F27FAC2">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6249EE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0740A04">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7EB0DE37">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14:paraId="588436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4961A9BD">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14:paraId="42B984FC">
            <w:pPr>
              <w:spacing w:line="400" w:lineRule="exact"/>
              <w:jc w:val="both"/>
              <w:rPr>
                <w:rFonts w:ascii="Calibri" w:hAnsi="宋体" w:eastAsia="宋体" w:cstheme="minorHAnsi"/>
                <w:bCs/>
                <w:color w:val="FF0000"/>
                <w:sz w:val="21"/>
              </w:rPr>
            </w:pPr>
            <w:r>
              <w:rPr>
                <w:rFonts w:ascii="Calibri" w:hAnsi="宋体" w:eastAsia="宋体" w:cstheme="minorHAnsi"/>
                <w:bCs/>
                <w:sz w:val="21"/>
              </w:rPr>
              <w:t>中小企业声明函</w:t>
            </w:r>
          </w:p>
        </w:tc>
        <w:tc>
          <w:tcPr>
            <w:tcW w:w="5846" w:type="dxa"/>
            <w:vAlign w:val="center"/>
          </w:tcPr>
          <w:p w14:paraId="622FA2C4">
            <w:pPr>
              <w:spacing w:line="400" w:lineRule="exact"/>
              <w:ind w:firstLine="420" w:firstLineChars="200"/>
              <w:jc w:val="both"/>
              <w:rPr>
                <w:rFonts w:ascii="Calibri" w:hAnsi="宋体" w:eastAsia="宋体" w:cstheme="minorHAnsi"/>
                <w:bCs/>
                <w:color w:val="FF0000"/>
                <w:sz w:val="21"/>
              </w:rPr>
            </w:pPr>
            <w:r>
              <w:rPr>
                <w:rFonts w:hint="eastAsia" w:ascii="Calibri" w:hAnsi="宋体" w:eastAsia="宋体" w:cstheme="minorHAnsi"/>
                <w:bCs/>
                <w:sz w:val="21"/>
              </w:rPr>
              <w:t>仅接受中型企业或小型、微型企业参与，提供《中小企业声明函》、或《残疾人福利性单位声明函》、或《监狱企业证明函》。</w:t>
            </w:r>
          </w:p>
        </w:tc>
      </w:tr>
      <w:tr w14:paraId="1997E3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2399307">
            <w:pPr>
              <w:spacing w:line="400" w:lineRule="exact"/>
              <w:jc w:val="center"/>
              <w:rPr>
                <w:rFonts w:ascii="Calibri" w:hAnsi="宋体" w:eastAsia="宋体" w:cstheme="minorHAnsi"/>
                <w:bCs/>
                <w:sz w:val="21"/>
              </w:rPr>
            </w:pPr>
            <w:r>
              <w:rPr>
                <w:rFonts w:hint="eastAsia" w:ascii="Calibri" w:hAnsi="宋体" w:eastAsia="宋体" w:cstheme="minorHAnsi"/>
                <w:b/>
                <w:bCs/>
                <w:sz w:val="21"/>
              </w:rPr>
              <w:t>三</w:t>
            </w:r>
          </w:p>
        </w:tc>
        <w:tc>
          <w:tcPr>
            <w:tcW w:w="8389" w:type="dxa"/>
            <w:gridSpan w:val="2"/>
            <w:vAlign w:val="center"/>
          </w:tcPr>
          <w:p w14:paraId="786A1AED">
            <w:pPr>
              <w:spacing w:line="400" w:lineRule="exact"/>
              <w:jc w:val="both"/>
              <w:rPr>
                <w:rFonts w:ascii="Calibri" w:hAnsi="宋体" w:eastAsia="宋体" w:cstheme="minorHAnsi"/>
                <w:bCs/>
                <w:sz w:val="21"/>
              </w:rPr>
            </w:pPr>
            <w:r>
              <w:rPr>
                <w:rFonts w:ascii="Calibri" w:hAnsi="宋体" w:eastAsia="宋体" w:cstheme="minorHAnsi"/>
                <w:b/>
                <w:bCs/>
                <w:sz w:val="21"/>
              </w:rPr>
              <w:t>特定资格条件</w:t>
            </w:r>
          </w:p>
        </w:tc>
      </w:tr>
      <w:tr w14:paraId="0153E4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04DA14F">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3D3200BB">
            <w:pPr>
              <w:spacing w:line="400" w:lineRule="exact"/>
              <w:jc w:val="both"/>
              <w:rPr>
                <w:rFonts w:ascii="Calibri" w:hAnsi="宋体" w:eastAsia="宋体" w:cstheme="minorHAnsi"/>
                <w:bCs/>
                <w:sz w:val="21"/>
              </w:rPr>
            </w:pPr>
            <w:r>
              <w:rPr>
                <w:rFonts w:ascii="Calibri" w:hAnsi="宋体" w:eastAsia="宋体" w:cstheme="minorHAnsi"/>
                <w:bCs/>
                <w:color w:val="C00000"/>
                <w:sz w:val="21"/>
              </w:rPr>
              <w:t>无</w:t>
            </w:r>
          </w:p>
        </w:tc>
        <w:tc>
          <w:tcPr>
            <w:tcW w:w="5846" w:type="dxa"/>
            <w:vAlign w:val="center"/>
          </w:tcPr>
          <w:p w14:paraId="4252E625">
            <w:pPr>
              <w:spacing w:line="400" w:lineRule="exact"/>
              <w:ind w:firstLine="420" w:firstLineChars="200"/>
              <w:jc w:val="both"/>
              <w:rPr>
                <w:rFonts w:ascii="Calibri" w:hAnsi="宋体" w:eastAsia="宋体" w:cstheme="minorHAnsi"/>
                <w:bCs/>
                <w:sz w:val="21"/>
              </w:rPr>
            </w:pPr>
          </w:p>
        </w:tc>
      </w:tr>
      <w:tr w14:paraId="315D68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6330C13C">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60721993">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144C0322">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政府采购活动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4320E3F4">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5FD5CEBF">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．《基本存款账户信息》、《无重大违法记录声明》、《法定代表人委托授权书》\《法定代表人身份证明书》应按第五章《响应文件构成及格式》中给定的格式填写，并按要求签字、盖章。</w:t>
            </w:r>
          </w:p>
          <w:p w14:paraId="6D3BFCC8">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tc>
      </w:tr>
    </w:tbl>
    <w:p w14:paraId="6F0B48AD">
      <w:pPr>
        <w:pStyle w:val="4"/>
        <w:ind w:firstLine="482"/>
        <w:jc w:val="both"/>
        <w:rPr>
          <w:rFonts w:asciiTheme="minorHAnsi" w:hAnsiTheme="minorHAnsi" w:eastAsiaTheme="minorEastAsia"/>
        </w:rPr>
      </w:pPr>
      <w:r>
        <w:rPr>
          <w:rFonts w:asciiTheme="minorHAnsi" w:hAnsiTheme="minorHAnsi" w:eastAsiaTheme="minorEastAsia"/>
        </w:rPr>
        <w:t>（</w:t>
      </w:r>
      <w:r>
        <w:rPr>
          <w:rFonts w:hint="eastAsia" w:asciiTheme="minorHAnsi" w:hAnsiTheme="minorHAnsi" w:eastAsiaTheme="minorEastAsia"/>
        </w:rPr>
        <w:t>五</w:t>
      </w:r>
      <w:r>
        <w:rPr>
          <w:rFonts w:asciiTheme="minorHAnsi" w:hAnsiTheme="minorHAnsi" w:eastAsiaTheme="minorEastAsia"/>
        </w:rPr>
        <w:t>）符合性审查</w:t>
      </w:r>
    </w:p>
    <w:p w14:paraId="401D1606">
      <w:pPr>
        <w:pStyle w:val="81"/>
        <w:ind w:firstLine="480"/>
        <w:rPr>
          <w:bCs/>
        </w:rPr>
      </w:pPr>
      <w:r>
        <w:t>资格性审查通过后，谈判小组将</w:t>
      </w:r>
      <w:r>
        <w:rPr>
          <w:rFonts w:hint="eastAsia"/>
          <w:bCs/>
        </w:rPr>
        <w:t>对符合资格要求的供应商的响应文件的有效性、完整性和响应程度审查。对于响应文件中</w:t>
      </w:r>
      <w:r>
        <w:rPr>
          <w:rFonts w:hint="eastAsia"/>
          <w:bCs/>
          <w:color w:val="C00000"/>
        </w:rPr>
        <w:t>含义不明确</w:t>
      </w:r>
      <w:r>
        <w:rPr>
          <w:rFonts w:hint="eastAsia"/>
          <w:bCs/>
        </w:rPr>
        <w:t>、</w:t>
      </w:r>
      <w:r>
        <w:rPr>
          <w:rFonts w:hint="eastAsia"/>
          <w:bCs/>
          <w:color w:val="C00000"/>
        </w:rPr>
        <w:t>同类问题表述不一致</w:t>
      </w:r>
      <w:r>
        <w:rPr>
          <w:rFonts w:hint="eastAsia"/>
          <w:bCs/>
        </w:rPr>
        <w:t>或者</w:t>
      </w:r>
      <w:r>
        <w:rPr>
          <w:rFonts w:hint="eastAsia"/>
          <w:bCs/>
          <w:color w:val="C00000"/>
        </w:rPr>
        <w:t>有明显文字和计算错误</w:t>
      </w:r>
      <w:r>
        <w:rPr>
          <w:rFonts w:hint="eastAsia"/>
          <w:bCs/>
        </w:rPr>
        <w:t>的内容，谈判小组应当以书面形式要求供应商作出必要的澄清、说明或者补正。</w:t>
      </w:r>
    </w:p>
    <w:p w14:paraId="76961CD1">
      <w:pPr>
        <w:pStyle w:val="81"/>
        <w:ind w:firstLine="480"/>
        <w:rPr>
          <w:bCs/>
        </w:rPr>
      </w:pPr>
      <w:r>
        <w:rPr>
          <w:rFonts w:hint="eastAsia"/>
          <w:bCs/>
        </w:rPr>
        <w:t>供应商的澄清、说明或者补正应当采用书面形式，并加盖公章，或者由法定代表人或其授权的代表签字。供应商的澄清、说明或者补正不得超出响应文件的范围或者改变响应文件的实质性内容。</w:t>
      </w:r>
    </w:p>
    <w:p w14:paraId="3F49A120">
      <w:pPr>
        <w:pStyle w:val="81"/>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t>审查结束后，</w:t>
      </w:r>
      <w:r>
        <w:rPr>
          <w:rFonts w:hint="eastAsia"/>
        </w:rPr>
        <w:t>谈判</w:t>
      </w:r>
      <w:r>
        <w:t>小组成员应当对审查结果进行签字确认；</w:t>
      </w:r>
      <w:r>
        <w:rPr>
          <w:rFonts w:hint="eastAsia"/>
        </w:rPr>
        <w:t>对未通过符合性审查的供应商，谈判小组应</w:t>
      </w:r>
      <w:r>
        <w:t>当场告知其未通过的原因。</w:t>
      </w:r>
    </w:p>
    <w:p w14:paraId="52305A1C">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『符合</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891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75"/>
        <w:gridCol w:w="6237"/>
      </w:tblGrid>
      <w:tr w14:paraId="1E98B3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12C5DBF8">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1975" w:type="dxa"/>
            <w:tcBorders>
              <w:top w:val="single" w:color="auto" w:sz="12" w:space="0"/>
              <w:bottom w:val="single" w:color="auto" w:sz="2" w:space="0"/>
            </w:tcBorders>
            <w:shd w:val="clear" w:color="auto" w:fill="F1F1F1" w:themeFill="background1" w:themeFillShade="F2"/>
            <w:vAlign w:val="center"/>
          </w:tcPr>
          <w:p w14:paraId="4B946587">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14:paraId="1707BADF">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34B8C7D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7D8B57C">
            <w:pPr>
              <w:spacing w:line="400" w:lineRule="exact"/>
              <w:jc w:val="center"/>
              <w:rPr>
                <w:rFonts w:ascii="Calibri" w:hAnsi="宋体" w:eastAsia="宋体" w:cstheme="minorHAnsi"/>
                <w:bCs/>
                <w:sz w:val="21"/>
                <w:szCs w:val="21"/>
              </w:rPr>
            </w:pPr>
            <w:r>
              <w:rPr>
                <w:rFonts w:ascii="Calibri" w:hAnsi="宋体" w:eastAsia="宋体" w:cstheme="minorHAnsi"/>
                <w:bCs/>
                <w:sz w:val="21"/>
                <w:szCs w:val="21"/>
              </w:rPr>
              <w:t>1</w:t>
            </w:r>
          </w:p>
        </w:tc>
        <w:tc>
          <w:tcPr>
            <w:tcW w:w="1975" w:type="dxa"/>
            <w:vAlign w:val="center"/>
          </w:tcPr>
          <w:p w14:paraId="7FB7378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响应文件与本项目的一致性</w:t>
            </w:r>
          </w:p>
        </w:tc>
        <w:tc>
          <w:tcPr>
            <w:tcW w:w="6237" w:type="dxa"/>
            <w:vAlign w:val="center"/>
          </w:tcPr>
          <w:p w14:paraId="10AC6164">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至少以下三处的项目名称、项目编号、采购包与「谈判邀请函」中的相一致：</w:t>
            </w:r>
          </w:p>
          <w:p w14:paraId="03971E4D">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文件封面</w:t>
            </w:r>
          </w:p>
          <w:p w14:paraId="5772168F">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（2）响应</w:t>
            </w:r>
            <w:r>
              <w:rPr>
                <w:rFonts w:ascii="Calibri" w:hAnsi="宋体" w:eastAsia="宋体" w:cstheme="minorHAnsi"/>
                <w:bCs/>
                <w:sz w:val="21"/>
                <w:szCs w:val="21"/>
              </w:rPr>
              <w:t>函</w:t>
            </w:r>
          </w:p>
          <w:p w14:paraId="4ED85AB1">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14:paraId="795E60E9">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项目未划分采购包的，采购包处留空或填写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14:paraId="2F6A9A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6335F764">
            <w:pPr>
              <w:spacing w:line="400" w:lineRule="exact"/>
              <w:jc w:val="center"/>
              <w:rPr>
                <w:rFonts w:ascii="Calibri" w:hAnsi="宋体" w:eastAsia="宋体" w:cstheme="minorHAnsi"/>
                <w:bCs/>
                <w:sz w:val="21"/>
                <w:szCs w:val="21"/>
              </w:rPr>
            </w:pPr>
            <w:r>
              <w:rPr>
                <w:rFonts w:ascii="Calibri" w:hAnsi="宋体" w:eastAsia="宋体" w:cstheme="minorHAnsi"/>
                <w:bCs/>
                <w:sz w:val="21"/>
                <w:szCs w:val="21"/>
              </w:rPr>
              <w:t>2</w:t>
            </w:r>
          </w:p>
        </w:tc>
        <w:tc>
          <w:tcPr>
            <w:tcW w:w="1975" w:type="dxa"/>
            <w:tcBorders>
              <w:top w:val="single" w:color="auto" w:sz="2" w:space="0"/>
            </w:tcBorders>
            <w:vAlign w:val="center"/>
          </w:tcPr>
          <w:p w14:paraId="28609B36">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响应文件组成</w:t>
            </w:r>
          </w:p>
        </w:tc>
        <w:tc>
          <w:tcPr>
            <w:tcW w:w="6237" w:type="dxa"/>
            <w:tcBorders>
              <w:top w:val="single" w:color="auto" w:sz="2" w:space="0"/>
            </w:tcBorders>
            <w:vAlign w:val="center"/>
          </w:tcPr>
          <w:p w14:paraId="7A0AEE31">
            <w:pPr>
              <w:spacing w:line="400" w:lineRule="exact"/>
              <w:jc w:val="both"/>
              <w:rPr>
                <w:rFonts w:ascii="Calibri" w:hAnsi="宋体" w:eastAsia="宋体" w:cstheme="minorHAnsi"/>
                <w:sz w:val="21"/>
                <w:szCs w:val="21"/>
              </w:rPr>
            </w:pPr>
            <w:r>
              <w:rPr>
                <w:rFonts w:ascii="Calibri" w:hAnsi="宋体" w:eastAsia="宋体" w:cstheme="minorHAnsi"/>
                <w:bCs/>
                <w:sz w:val="21"/>
                <w:szCs w:val="21"/>
              </w:rPr>
              <w:t>响应文件</w:t>
            </w:r>
            <w:r>
              <w:rPr>
                <w:rFonts w:ascii="Calibri" w:hAnsi="宋体" w:eastAsia="宋体" w:cstheme="minorHAnsi"/>
                <w:sz w:val="21"/>
                <w:szCs w:val="21"/>
              </w:rPr>
              <w:t>应包含以下部分：</w:t>
            </w:r>
          </w:p>
          <w:p w14:paraId="1060BCC6">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函</w:t>
            </w:r>
          </w:p>
          <w:p w14:paraId="6A36ABDA">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（2）第一次报价表</w:t>
            </w:r>
          </w:p>
          <w:p w14:paraId="4E6BC5AD">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14:paraId="178B64E0">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（谈判文件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14:paraId="59A9B5D9">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）响应方案</w:t>
            </w:r>
          </w:p>
          <w:p w14:paraId="251EF35A">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14:paraId="06E306B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5E11CA60">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1975" w:type="dxa"/>
            <w:tcBorders>
              <w:top w:val="single" w:color="auto" w:sz="2" w:space="0"/>
            </w:tcBorders>
            <w:vAlign w:val="center"/>
          </w:tcPr>
          <w:p w14:paraId="6B8DA0A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tcBorders>
              <w:top w:val="single" w:color="auto" w:sz="2" w:space="0"/>
            </w:tcBorders>
            <w:vAlign w:val="center"/>
          </w:tcPr>
          <w:p w14:paraId="335960CA">
            <w:pPr>
              <w:spacing w:line="400" w:lineRule="exact"/>
              <w:jc w:val="both"/>
              <w:rPr>
                <w:rFonts w:ascii="Calibri" w:hAnsi="宋体" w:eastAsia="宋体" w:cstheme="minorHAnsi"/>
                <w:bCs/>
                <w:sz w:val="21"/>
                <w:szCs w:val="21"/>
              </w:rPr>
            </w:pPr>
            <w:r>
              <w:rPr>
                <w:rFonts w:hint="eastAsia" w:ascii="Calibri" w:hAnsi="宋体" w:eastAsia="宋体" w:cstheme="minorHAnsi"/>
                <w:sz w:val="21"/>
                <w:szCs w:val="21"/>
              </w:rPr>
              <w:t>签章均符合谈判文件要求，且无遗漏。</w:t>
            </w:r>
          </w:p>
        </w:tc>
      </w:tr>
      <w:tr w14:paraId="06F140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06CABC23">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1975" w:type="dxa"/>
            <w:tcBorders>
              <w:top w:val="single" w:color="auto" w:sz="2" w:space="0"/>
            </w:tcBorders>
            <w:vAlign w:val="center"/>
          </w:tcPr>
          <w:p w14:paraId="2AA03B6B">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tcBorders>
              <w:top w:val="single" w:color="auto" w:sz="2" w:space="0"/>
            </w:tcBorders>
            <w:vAlign w:val="center"/>
          </w:tcPr>
          <w:p w14:paraId="60145442">
            <w:pPr>
              <w:spacing w:line="400" w:lineRule="exact"/>
              <w:jc w:val="both"/>
              <w:rPr>
                <w:rFonts w:ascii="Calibri" w:hAnsi="宋体" w:eastAsia="宋体" w:cstheme="minorHAnsi"/>
                <w:bCs/>
                <w:sz w:val="21"/>
                <w:szCs w:val="21"/>
              </w:rPr>
            </w:pPr>
            <w:r>
              <w:rPr>
                <w:rFonts w:ascii="Calibri" w:hAnsi="宋体" w:eastAsia="宋体" w:cstheme="minorHAnsi"/>
                <w:sz w:val="21"/>
                <w:szCs w:val="21"/>
              </w:rPr>
              <w:t>符合</w:t>
            </w:r>
            <w:r>
              <w:rPr>
                <w:rFonts w:hint="eastAsia" w:ascii="Calibri" w:hAnsi="宋体" w:eastAsia="宋体" w:cstheme="minorHAnsi"/>
                <w:sz w:val="21"/>
                <w:szCs w:val="21"/>
              </w:rPr>
              <w:t>谈判</w:t>
            </w:r>
            <w:r>
              <w:rPr>
                <w:rFonts w:ascii="Calibri" w:hAnsi="宋体" w:eastAsia="宋体" w:cstheme="minorHAnsi"/>
                <w:sz w:val="21"/>
                <w:szCs w:val="21"/>
              </w:rPr>
              <w:t>文件的要求</w:t>
            </w:r>
          </w:p>
        </w:tc>
      </w:tr>
      <w:tr w14:paraId="3BA1EB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197BE50F">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1975" w:type="dxa"/>
            <w:tcBorders>
              <w:top w:val="single" w:color="auto" w:sz="2" w:space="0"/>
            </w:tcBorders>
            <w:vAlign w:val="center"/>
          </w:tcPr>
          <w:p w14:paraId="410F3C0D">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响应文件有效期</w:t>
            </w:r>
          </w:p>
        </w:tc>
        <w:tc>
          <w:tcPr>
            <w:tcW w:w="6237" w:type="dxa"/>
            <w:tcBorders>
              <w:top w:val="single" w:color="auto" w:sz="2" w:space="0"/>
            </w:tcBorders>
            <w:vAlign w:val="center"/>
          </w:tcPr>
          <w:p w14:paraId="007FA321">
            <w:pPr>
              <w:spacing w:line="400" w:lineRule="exact"/>
              <w:jc w:val="both"/>
              <w:rPr>
                <w:rFonts w:ascii="Calibri" w:hAnsi="宋体" w:eastAsia="宋体" w:cstheme="minorHAnsi"/>
                <w:bCs/>
                <w:sz w:val="21"/>
                <w:szCs w:val="21"/>
              </w:rPr>
            </w:pPr>
            <w:r>
              <w:rPr>
                <w:rFonts w:ascii="Calibri" w:hAnsi="宋体" w:eastAsia="宋体" w:cstheme="minorHAnsi"/>
                <w:sz w:val="21"/>
                <w:szCs w:val="21"/>
              </w:rPr>
              <w:t>符合</w:t>
            </w:r>
            <w:r>
              <w:rPr>
                <w:rFonts w:hint="eastAsia" w:ascii="Calibri" w:hAnsi="宋体" w:eastAsia="宋体" w:cstheme="minorHAnsi"/>
                <w:sz w:val="21"/>
                <w:szCs w:val="21"/>
              </w:rPr>
              <w:t>谈判</w:t>
            </w:r>
            <w:r>
              <w:rPr>
                <w:rFonts w:ascii="Calibri" w:hAnsi="宋体" w:eastAsia="宋体" w:cstheme="minorHAnsi"/>
                <w:sz w:val="21"/>
                <w:szCs w:val="21"/>
              </w:rPr>
              <w:t>文件的要求</w:t>
            </w:r>
          </w:p>
        </w:tc>
      </w:tr>
      <w:tr w14:paraId="7617C4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4973434">
            <w:pPr>
              <w:spacing w:line="400" w:lineRule="exact"/>
              <w:jc w:val="center"/>
              <w:rPr>
                <w:rFonts w:ascii="Calibri" w:hAnsi="宋体" w:eastAsia="宋体" w:cstheme="minorHAnsi"/>
                <w:bCs/>
                <w:sz w:val="21"/>
                <w:szCs w:val="21"/>
              </w:rPr>
            </w:pPr>
            <w:r>
              <w:rPr>
                <w:rFonts w:ascii="Calibri" w:hAnsi="宋体" w:eastAsia="宋体" w:cstheme="minorHAnsi"/>
                <w:bCs/>
                <w:sz w:val="21"/>
                <w:szCs w:val="21"/>
              </w:rPr>
              <w:t>6</w:t>
            </w:r>
          </w:p>
        </w:tc>
        <w:tc>
          <w:tcPr>
            <w:tcW w:w="1975" w:type="dxa"/>
            <w:vAlign w:val="center"/>
          </w:tcPr>
          <w:p w14:paraId="17BA98EB">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谈判报价</w:t>
            </w:r>
          </w:p>
        </w:tc>
        <w:tc>
          <w:tcPr>
            <w:tcW w:w="6237" w:type="dxa"/>
            <w:vAlign w:val="center"/>
          </w:tcPr>
          <w:p w14:paraId="6C8923AB">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14:paraId="642A4F14">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货币单位符合谈判文件要求</w:t>
            </w:r>
          </w:p>
          <w:p w14:paraId="4628AB20">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14:paraId="2139C3F1">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14:paraId="401EBBCF">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（4）符合《第一次报价表》、《分项报价表》的</w:t>
            </w:r>
            <w:r>
              <w:rPr>
                <w:rFonts w:ascii="Calibri" w:hAnsi="宋体" w:eastAsia="宋体" w:cstheme="minorHAnsi"/>
                <w:bCs/>
                <w:sz w:val="21"/>
                <w:szCs w:val="21"/>
              </w:rPr>
              <w:t>填报要求</w:t>
            </w:r>
          </w:p>
        </w:tc>
      </w:tr>
      <w:tr w14:paraId="73E5AE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B0C2BA7">
            <w:pPr>
              <w:spacing w:line="400" w:lineRule="exact"/>
              <w:jc w:val="center"/>
              <w:rPr>
                <w:rFonts w:ascii="Calibri" w:hAnsi="宋体" w:eastAsia="宋体" w:cstheme="minorHAnsi"/>
                <w:bCs/>
                <w:sz w:val="21"/>
                <w:szCs w:val="21"/>
              </w:rPr>
            </w:pPr>
            <w:r>
              <w:rPr>
                <w:rFonts w:ascii="Calibri" w:hAnsi="宋体" w:eastAsia="宋体" w:cstheme="minorHAnsi"/>
                <w:bCs/>
                <w:sz w:val="21"/>
                <w:szCs w:val="21"/>
              </w:rPr>
              <w:t>7</w:t>
            </w:r>
          </w:p>
        </w:tc>
        <w:tc>
          <w:tcPr>
            <w:tcW w:w="1975" w:type="dxa"/>
            <w:vAlign w:val="center"/>
          </w:tcPr>
          <w:p w14:paraId="2CF37B8A">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13D716C1">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应谈判文件第三章</w:t>
            </w:r>
            <w:r>
              <w:rPr>
                <w:rFonts w:hint="eastAsia" w:ascii="Calibri" w:hAnsi="宋体" w:eastAsia="宋体" w:cstheme="minorHAnsi"/>
                <w:sz w:val="21"/>
                <w:szCs w:val="21"/>
              </w:rPr>
              <w:t>标</w:t>
            </w:r>
            <w:r>
              <w:rPr>
                <w:rFonts w:ascii="Calibri" w:hAnsi="宋体" w:eastAsia="宋体" w:cstheme="minorHAnsi"/>
                <w:sz w:val="21"/>
                <w:szCs w:val="21"/>
              </w:rPr>
              <w:t>注了</w:t>
            </w:r>
            <w:r>
              <w:rPr>
                <w:rFonts w:hint="eastAsia" w:eastAsia="宋体" w:cstheme="minorHAnsi"/>
                <w:sz w:val="21"/>
                <w:szCs w:val="21"/>
              </w:rPr>
              <w:t>“</w:t>
            </w:r>
            <w:r>
              <w:rPr>
                <w:rFonts w:hint="eastAsia" w:ascii="Segoe UI Symbol" w:hAnsi="Segoe UI Symbol" w:eastAsia="宋体" w:cs="Segoe UI Symbol"/>
                <w:sz w:val="21"/>
                <w:szCs w:val="21"/>
              </w:rPr>
              <w:t>★</w:t>
            </w:r>
            <w:r>
              <w:rPr>
                <w:rFonts w:hint="eastAsia" w:eastAsia="宋体" w:cstheme="minorHAnsi"/>
                <w:sz w:val="21"/>
                <w:szCs w:val="21"/>
              </w:rPr>
              <w:t>”</w:t>
            </w:r>
            <w:r>
              <w:rPr>
                <w:rFonts w:ascii="Calibri" w:hAnsi="宋体" w:eastAsia="宋体" w:cstheme="minorHAnsi"/>
                <w:sz w:val="21"/>
                <w:szCs w:val="21"/>
              </w:rPr>
              <w:t>的各项实质性条款。</w:t>
            </w:r>
          </w:p>
          <w:p w14:paraId="3D90B7BD">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谈判文件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14:paraId="1390C81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D601F46">
            <w:pPr>
              <w:spacing w:line="400" w:lineRule="exact"/>
              <w:jc w:val="center"/>
              <w:rPr>
                <w:rFonts w:ascii="Calibri" w:hAnsi="宋体" w:eastAsia="宋体" w:cstheme="minorHAnsi"/>
                <w:bCs/>
                <w:sz w:val="21"/>
                <w:szCs w:val="21"/>
              </w:rPr>
            </w:pPr>
            <w:r>
              <w:rPr>
                <w:rFonts w:ascii="Calibri" w:hAnsi="宋体" w:eastAsia="宋体" w:cstheme="minorHAnsi"/>
                <w:bCs/>
                <w:sz w:val="21"/>
                <w:szCs w:val="21"/>
              </w:rPr>
              <w:t>8</w:t>
            </w:r>
          </w:p>
        </w:tc>
        <w:tc>
          <w:tcPr>
            <w:tcW w:w="1975" w:type="dxa"/>
            <w:vAlign w:val="center"/>
          </w:tcPr>
          <w:p w14:paraId="7B9C9E76">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4278137F">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应谈判文件合同条款的要求，且未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14:paraId="72B7954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31CE8C2A">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1975" w:type="dxa"/>
            <w:vAlign w:val="center"/>
          </w:tcPr>
          <w:p w14:paraId="5BE3E526">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电子响应文件雷同性分析</w:t>
            </w:r>
          </w:p>
        </w:tc>
        <w:tc>
          <w:tcPr>
            <w:tcW w:w="6237" w:type="dxa"/>
            <w:vAlign w:val="center"/>
          </w:tcPr>
          <w:p w14:paraId="50DABDFE">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电子响应文件的“文件制作机器码”和“文件创建标识码”通过评标系统的雷同性分析。</w:t>
            </w:r>
          </w:p>
        </w:tc>
      </w:tr>
      <w:tr w14:paraId="663E33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D1E7992">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1975" w:type="dxa"/>
            <w:vAlign w:val="center"/>
          </w:tcPr>
          <w:p w14:paraId="152AC6CF">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14:paraId="2519B4EA">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w:t>
            </w:r>
            <w:r>
              <w:rPr>
                <w:rFonts w:hint="eastAsia" w:ascii="Calibri" w:hAnsi="宋体" w:eastAsia="宋体" w:cstheme="minorHAnsi"/>
                <w:sz w:val="21"/>
                <w:szCs w:val="21"/>
              </w:rPr>
              <w:t>谈判</w:t>
            </w:r>
            <w:r>
              <w:rPr>
                <w:rFonts w:ascii="Calibri" w:hAnsi="宋体" w:eastAsia="宋体" w:cstheme="minorHAnsi"/>
                <w:sz w:val="21"/>
                <w:szCs w:val="21"/>
              </w:rPr>
              <w:t>文件对供应商合法经营的各类规约和责任义务要求，没有出现法律法规或</w:t>
            </w:r>
            <w:r>
              <w:rPr>
                <w:rFonts w:hint="eastAsia" w:ascii="Calibri" w:hAnsi="宋体" w:eastAsia="宋体" w:cstheme="minorHAnsi"/>
                <w:sz w:val="21"/>
                <w:szCs w:val="21"/>
              </w:rPr>
              <w:t>谈判</w:t>
            </w:r>
            <w:r>
              <w:rPr>
                <w:rFonts w:ascii="Calibri" w:hAnsi="宋体" w:eastAsia="宋体" w:cstheme="minorHAnsi"/>
                <w:sz w:val="21"/>
                <w:szCs w:val="21"/>
              </w:rPr>
              <w:t>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14:paraId="70A78B2A">
      <w:pPr>
        <w:pStyle w:val="4"/>
        <w:ind w:firstLine="482"/>
        <w:jc w:val="both"/>
      </w:pPr>
      <w:r>
        <w:rPr>
          <w:rFonts w:asciiTheme="minorHAnsi" w:hAnsiTheme="minorHAnsi" w:eastAsiaTheme="minorEastAsia"/>
        </w:rPr>
        <w:t>（</w:t>
      </w:r>
      <w:r>
        <w:rPr>
          <w:rFonts w:hint="eastAsia" w:asciiTheme="minorHAnsi" w:hAnsiTheme="minorHAnsi" w:eastAsiaTheme="minorEastAsia"/>
        </w:rPr>
        <w:t>六</w:t>
      </w:r>
      <w:r>
        <w:rPr>
          <w:rFonts w:asciiTheme="minorHAnsi" w:hAnsiTheme="minorHAnsi" w:eastAsiaTheme="minorEastAsia"/>
        </w:rPr>
        <w:t>）</w:t>
      </w:r>
      <w:r>
        <w:t>谈判</w:t>
      </w:r>
    </w:p>
    <w:p w14:paraId="6E195E68">
      <w:pPr>
        <w:ind w:firstLine="480" w:firstLineChars="200"/>
        <w:jc w:val="both"/>
      </w:pPr>
      <w:r>
        <w:rPr>
          <w:rFonts w:hint="eastAsia"/>
        </w:rPr>
        <w:t>谈判小组所有成员应当集中与单一供应商分别进行谈判，并给予所有参加谈判的供应商平等的谈判机会。</w:t>
      </w:r>
    </w:p>
    <w:p w14:paraId="6692C3F0">
      <w:pPr>
        <w:ind w:firstLine="480" w:firstLineChars="200"/>
        <w:jc w:val="both"/>
      </w:pPr>
      <w:r>
        <w:rPr>
          <w:rFonts w:hint="eastAsia"/>
        </w:rPr>
        <w:t>在谈判过程中，谈判小组可以根据谈判文件和谈判情况</w:t>
      </w:r>
      <w:r>
        <w:rPr>
          <w:rFonts w:hint="eastAsia"/>
          <w:color w:val="C00000"/>
        </w:rPr>
        <w:t>实质性变动采购需求中的技术、服务要求以及合同草案条款</w:t>
      </w:r>
      <w:r>
        <w:rPr>
          <w:rFonts w:hint="eastAsia"/>
        </w:rPr>
        <w:t>，但不得变动谈判文件中的其他内容。实质性变动的内容，须经采购人代表确认。</w:t>
      </w:r>
    </w:p>
    <w:p w14:paraId="49E5BC06">
      <w:pPr>
        <w:ind w:firstLine="480" w:firstLineChars="200"/>
        <w:jc w:val="both"/>
      </w:pPr>
      <w:r>
        <w:rPr>
          <w:rFonts w:hint="eastAsia"/>
        </w:rPr>
        <w:t>对谈判文件作出的实质性变动是谈判文件的有效组成部分，谈判小组应当及时以书面形式同时通知所有参加谈判的供应商。</w:t>
      </w:r>
      <w:r>
        <w:rPr>
          <w:rFonts w:hint="eastAsia"/>
          <w:color w:val="C00000"/>
        </w:rPr>
        <w:t>供应商在谈判过程中切勿擅自离席，否则由此引发的不利后果，由该供应商自行承担。</w:t>
      </w:r>
    </w:p>
    <w:p w14:paraId="2773CDCB">
      <w:pPr>
        <w:ind w:firstLine="480" w:firstLineChars="200"/>
        <w:jc w:val="both"/>
      </w:pPr>
      <w:r>
        <w:rPr>
          <w:rFonts w:hint="eastAsia"/>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14:paraId="5EE7525F">
      <w:pPr>
        <w:pStyle w:val="4"/>
        <w:ind w:firstLine="482"/>
      </w:pPr>
      <w:r>
        <w:t>（</w:t>
      </w:r>
      <w:r>
        <w:rPr>
          <w:rFonts w:hint="eastAsia"/>
        </w:rPr>
        <w:t>七</w:t>
      </w:r>
      <w:r>
        <w:t>）提交最后报价</w:t>
      </w:r>
    </w:p>
    <w:p w14:paraId="5C525210">
      <w:pPr>
        <w:ind w:firstLine="480" w:firstLineChars="200"/>
        <w:jc w:val="both"/>
      </w:pPr>
      <w:r>
        <w:rPr>
          <w:rFonts w:hint="eastAsia"/>
        </w:rPr>
        <w:t>谈判文件能够详细列明采购标的的技术、服务要求的，谈判结束后，谈判小组应当要求所有继续参加谈判的供应商在规定时间内提交最后报价，提交最后报价的供应商不得少于3家。</w:t>
      </w:r>
    </w:p>
    <w:p w14:paraId="09C9AC31">
      <w:pPr>
        <w:ind w:firstLine="480" w:firstLineChars="200"/>
        <w:jc w:val="both"/>
      </w:pPr>
      <w:r>
        <w:rPr>
          <w:rFonts w:hint="eastAsia"/>
        </w:rPr>
        <w:t>最后报价是供应商响应文件的有效组成部分。已提交响应文件的供应商，在提交最后报价之前，可以根据谈判情况退出谈判。</w:t>
      </w:r>
    </w:p>
    <w:p w14:paraId="0EAEB49C">
      <w:pPr>
        <w:pStyle w:val="4"/>
        <w:ind w:firstLine="482"/>
      </w:pPr>
      <w:bookmarkStart w:id="10" w:name="OLE_LINK6"/>
      <w:r>
        <w:t>（</w:t>
      </w:r>
      <w:r>
        <w:rPr>
          <w:rFonts w:hint="eastAsia"/>
        </w:rPr>
        <w:t>八</w:t>
      </w:r>
      <w:r>
        <w:t>）</w:t>
      </w:r>
      <w:r>
        <w:rPr>
          <w:rFonts w:hint="eastAsia"/>
        </w:rPr>
        <w:t>异常低价的审查</w:t>
      </w:r>
    </w:p>
    <w:bookmarkEnd w:id="10"/>
    <w:p w14:paraId="5F5370CE">
      <w:pPr>
        <w:pStyle w:val="99"/>
        <w:snapToGrid w:val="0"/>
        <w:spacing w:line="360" w:lineRule="auto"/>
        <w:ind w:firstLine="420" w:firstLineChars="200"/>
        <w:textAlignment w:val="auto"/>
        <w:rPr>
          <w:rFonts w:hAnsi="宋体" w:cs="宋体"/>
          <w:sz w:val="24"/>
          <w:szCs w:val="24"/>
        </w:rPr>
      </w:pPr>
      <w:r>
        <w:t>1</w:t>
      </w:r>
      <w:r>
        <w:rPr>
          <w:rFonts w:hint="eastAsia"/>
        </w:rPr>
        <w:t>．</w:t>
      </w:r>
      <w:r>
        <w:rPr>
          <w:rFonts w:hint="eastAsia" w:hAnsi="宋体" w:cs="宋体"/>
          <w:sz w:val="24"/>
          <w:szCs w:val="24"/>
        </w:rPr>
        <w:t>评审中出现下列情形之一的，谈判小组应当启动异常低价响应审查程序：</w:t>
      </w:r>
    </w:p>
    <w:p w14:paraId="1F1B6827">
      <w:pPr>
        <w:pStyle w:val="99"/>
        <w:snapToGrid w:val="0"/>
        <w:spacing w:line="360" w:lineRule="auto"/>
        <w:ind w:firstLine="480" w:firstLineChars="200"/>
        <w:textAlignment w:val="auto"/>
        <w:rPr>
          <w:color w:val="FF0000"/>
          <w:sz w:val="24"/>
          <w:szCs w:val="24"/>
        </w:rPr>
      </w:pPr>
      <w:r>
        <w:rPr>
          <w:rFonts w:hint="eastAsia"/>
          <w:color w:val="FF0000"/>
          <w:sz w:val="24"/>
          <w:szCs w:val="24"/>
        </w:rPr>
        <w:t>① 响应</w:t>
      </w:r>
      <w:r>
        <w:rPr>
          <w:color w:val="FF0000"/>
          <w:sz w:val="24"/>
          <w:szCs w:val="24"/>
        </w:rPr>
        <w:t>报价低于全部通过符合性审查供应商响应报价平均值</w:t>
      </w:r>
      <w:r>
        <w:rPr>
          <w:color w:val="FF0000"/>
          <w:sz w:val="24"/>
          <w:szCs w:val="24"/>
          <w:u w:val="single"/>
        </w:rPr>
        <w:t>50</w:t>
      </w:r>
      <w:r>
        <w:rPr>
          <w:color w:val="FF0000"/>
          <w:sz w:val="24"/>
          <w:szCs w:val="24"/>
        </w:rPr>
        <w:t>%的，即</w:t>
      </w:r>
      <w:r>
        <w:rPr>
          <w:rFonts w:hint="eastAsia"/>
          <w:color w:val="FF0000"/>
          <w:sz w:val="24"/>
          <w:szCs w:val="24"/>
        </w:rPr>
        <w:t>响应</w:t>
      </w:r>
      <w:r>
        <w:rPr>
          <w:color w:val="FF0000"/>
          <w:sz w:val="24"/>
          <w:szCs w:val="24"/>
        </w:rPr>
        <w:t>报价</w:t>
      </w:r>
      <w:r>
        <w:rPr>
          <w:rFonts w:hint="eastAsia"/>
          <w:color w:val="FF0000"/>
          <w:sz w:val="24"/>
          <w:szCs w:val="24"/>
        </w:rPr>
        <w:t>＜</w:t>
      </w:r>
      <w:r>
        <w:rPr>
          <w:color w:val="FF0000"/>
          <w:sz w:val="24"/>
          <w:szCs w:val="24"/>
        </w:rPr>
        <w:t>全部通过符合性审查供应商响应报价平均值×</w:t>
      </w:r>
      <w:r>
        <w:rPr>
          <w:color w:val="FF0000"/>
          <w:sz w:val="24"/>
          <w:szCs w:val="24"/>
          <w:u w:val="single"/>
        </w:rPr>
        <w:t>50</w:t>
      </w:r>
      <w:r>
        <w:rPr>
          <w:color w:val="FF0000"/>
          <w:sz w:val="24"/>
          <w:szCs w:val="24"/>
        </w:rPr>
        <w:t>%；</w:t>
      </w:r>
    </w:p>
    <w:p w14:paraId="7977676C">
      <w:pPr>
        <w:pStyle w:val="99"/>
        <w:snapToGrid w:val="0"/>
        <w:spacing w:line="360" w:lineRule="auto"/>
        <w:ind w:firstLine="480" w:firstLineChars="200"/>
        <w:textAlignment w:val="auto"/>
        <w:rPr>
          <w:color w:val="FF0000"/>
          <w:sz w:val="24"/>
          <w:szCs w:val="24"/>
        </w:rPr>
      </w:pPr>
      <w:r>
        <w:rPr>
          <w:rFonts w:hint="eastAsia"/>
          <w:color w:val="FF0000"/>
          <w:sz w:val="24"/>
          <w:szCs w:val="24"/>
        </w:rPr>
        <w:t>② 响应</w:t>
      </w:r>
      <w:r>
        <w:rPr>
          <w:color w:val="FF0000"/>
          <w:sz w:val="24"/>
          <w:szCs w:val="24"/>
        </w:rPr>
        <w:t>报价低于通过符合性审查的次低报价供应商响应报价</w:t>
      </w:r>
      <w:r>
        <w:rPr>
          <w:color w:val="FF0000"/>
          <w:sz w:val="24"/>
          <w:szCs w:val="24"/>
          <w:u w:val="single"/>
        </w:rPr>
        <w:t>50</w:t>
      </w:r>
      <w:r>
        <w:rPr>
          <w:color w:val="FF0000"/>
          <w:sz w:val="24"/>
          <w:szCs w:val="24"/>
        </w:rPr>
        <w:t>%的，即响应报价</w:t>
      </w:r>
      <w:r>
        <w:rPr>
          <w:rFonts w:hint="eastAsia"/>
          <w:color w:val="FF0000"/>
          <w:sz w:val="24"/>
          <w:szCs w:val="24"/>
        </w:rPr>
        <w:t>＜</w:t>
      </w:r>
      <w:r>
        <w:rPr>
          <w:color w:val="FF0000"/>
          <w:sz w:val="24"/>
          <w:szCs w:val="24"/>
        </w:rPr>
        <w:t>通过符合性审查的次低报价供应商响应报价×</w:t>
      </w:r>
      <w:r>
        <w:rPr>
          <w:color w:val="FF0000"/>
          <w:sz w:val="24"/>
          <w:szCs w:val="24"/>
          <w:u w:val="single"/>
        </w:rPr>
        <w:t>50</w:t>
      </w:r>
      <w:r>
        <w:rPr>
          <w:color w:val="FF0000"/>
          <w:sz w:val="24"/>
          <w:szCs w:val="24"/>
        </w:rPr>
        <w:t>%；</w:t>
      </w:r>
    </w:p>
    <w:p w14:paraId="74C79078">
      <w:pPr>
        <w:pStyle w:val="99"/>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响应报价低于采购项目最高限价</w:t>
      </w:r>
      <w:r>
        <w:rPr>
          <w:color w:val="FF0000"/>
          <w:sz w:val="24"/>
          <w:szCs w:val="24"/>
          <w:u w:val="single"/>
        </w:rPr>
        <w:t>45</w:t>
      </w:r>
      <w:r>
        <w:rPr>
          <w:color w:val="FF0000"/>
          <w:sz w:val="24"/>
          <w:szCs w:val="24"/>
        </w:rPr>
        <w:t>%的，即响应报价</w:t>
      </w:r>
      <w:r>
        <w:rPr>
          <w:rFonts w:hint="eastAsia"/>
          <w:color w:val="FF0000"/>
          <w:sz w:val="24"/>
          <w:szCs w:val="24"/>
        </w:rPr>
        <w:t>＜</w:t>
      </w:r>
      <w:r>
        <w:rPr>
          <w:color w:val="FF0000"/>
          <w:sz w:val="24"/>
          <w:szCs w:val="24"/>
        </w:rPr>
        <w:t>采购项目最高限价×</w:t>
      </w:r>
      <w:r>
        <w:rPr>
          <w:color w:val="FF0000"/>
          <w:sz w:val="24"/>
          <w:szCs w:val="24"/>
          <w:u w:val="single"/>
        </w:rPr>
        <w:t>45</w:t>
      </w:r>
      <w:r>
        <w:rPr>
          <w:color w:val="FF0000"/>
          <w:sz w:val="24"/>
          <w:szCs w:val="24"/>
        </w:rPr>
        <w:t>%</w:t>
      </w:r>
      <w:r>
        <w:rPr>
          <w:rFonts w:hint="eastAsia" w:hAnsi="宋体" w:cs="宋体"/>
          <w:color w:val="FF0000"/>
          <w:sz w:val="24"/>
          <w:szCs w:val="24"/>
        </w:rPr>
        <w:t>；</w:t>
      </w:r>
    </w:p>
    <w:p w14:paraId="26FE3DB6">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④ 谈判小组基于专业判断，认为供应商报价过低，有可能影响产品质量或者不能诚信履约的其他情形。</w:t>
      </w:r>
    </w:p>
    <w:p w14:paraId="02923B2C">
      <w:pPr>
        <w:pStyle w:val="99"/>
        <w:snapToGrid w:val="0"/>
        <w:spacing w:line="360" w:lineRule="auto"/>
        <w:ind w:firstLine="420" w:firstLineChars="200"/>
        <w:textAlignment w:val="auto"/>
        <w:rPr>
          <w:rFonts w:hAnsi="宋体" w:cs="宋体"/>
          <w:sz w:val="24"/>
          <w:szCs w:val="24"/>
        </w:rPr>
      </w:pPr>
      <w:r>
        <w:t>2</w:t>
      </w:r>
      <w:r>
        <w:rPr>
          <w:rFonts w:hint="eastAsia"/>
        </w:rPr>
        <w:t>．</w:t>
      </w:r>
      <w:r>
        <w:rPr>
          <w:rFonts w:hint="eastAsia" w:hAnsi="宋体" w:cs="宋体"/>
          <w:sz w:val="24"/>
          <w:szCs w:val="24"/>
        </w:rPr>
        <w:t>谈判小组启动异常低价响应审查后，属于第①项至第④项情形的，相关供应商应当在40分钟</w:t>
      </w:r>
      <w:r>
        <w:rPr>
          <w:rFonts w:hAnsi="宋体" w:cs="宋体"/>
          <w:sz w:val="24"/>
          <w:szCs w:val="24"/>
        </w:rPr>
        <w:t>内</w:t>
      </w:r>
      <w:r>
        <w:rPr>
          <w:rFonts w:hint="eastAsia" w:hAnsi="宋体" w:cs="宋体"/>
          <w:sz w:val="24"/>
          <w:szCs w:val="24"/>
        </w:rPr>
        <w:t>通过电子化</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响应文件一并提交相关书面说明及必要的证明材料的，可不再重复提交。</w:t>
      </w:r>
    </w:p>
    <w:p w14:paraId="3EF4C879">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谈判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无效响应处理。</w:t>
      </w:r>
    </w:p>
    <w:p w14:paraId="4FBB9A5B">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谈判小组在评审现场及时获取同类项目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p>
    <w:p w14:paraId="6B1D8214">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异常低价响应审查的启动原因、审查意见和审查结果应当在评审报告中记录，并随供应商提供的相关书面说明及证明材料，以及谈判小组有关互联网浏览、查询历史一并归档。</w:t>
      </w:r>
    </w:p>
    <w:p w14:paraId="5E16FD7D">
      <w:pPr>
        <w:pStyle w:val="4"/>
        <w:ind w:firstLine="482"/>
      </w:pPr>
      <w:r>
        <w:t>（</w:t>
      </w:r>
      <w:r>
        <w:rPr>
          <w:rFonts w:hint="eastAsia"/>
        </w:rPr>
        <w:t>九</w:t>
      </w:r>
      <w:r>
        <w:t>）推荐成交候选人并编写评审报告</w:t>
      </w:r>
    </w:p>
    <w:p w14:paraId="3B5C70A9">
      <w:pPr>
        <w:pStyle w:val="81"/>
        <w:ind w:firstLine="480"/>
      </w:pPr>
      <w:r>
        <w:rPr>
          <w:rFonts w:hint="eastAsia" w:hAnsi="华文仿宋"/>
        </w:rPr>
        <w:t>谈判小组应当从质量和服务均能满足采购文件实质性响应要求的供应商中，按照最后报价由低到高的顺序提出3名以上成交候选人，并编写评审报告。</w:t>
      </w:r>
    </w:p>
    <w:p w14:paraId="154C24D1">
      <w:pPr>
        <w:pStyle w:val="81"/>
        <w:ind w:firstLine="480"/>
      </w:pPr>
      <w:r>
        <w:rPr>
          <w:rFonts w:hint="eastAsia"/>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40D676E0">
      <w:pPr>
        <w:ind w:firstLine="480" w:firstLineChars="200"/>
        <w:jc w:val="both"/>
      </w:pPr>
      <w:r>
        <w:rPr>
          <w:rFonts w:hint="eastAsia"/>
          <w:color w:val="C00000"/>
        </w:rPr>
        <w:t>【价格扣除比例】</w:t>
      </w:r>
      <w:r>
        <w:rPr>
          <w:rFonts w:hint="eastAsia"/>
        </w:rPr>
        <w:t>：</w:t>
      </w:r>
    </w:p>
    <w:p w14:paraId="237795A2">
      <w:pPr>
        <w:ind w:firstLine="480" w:firstLineChars="200"/>
        <w:jc w:val="both"/>
      </w:pPr>
      <w:r>
        <w:rPr>
          <w:rFonts w:hint="eastAsia"/>
        </w:rPr>
        <w:t>既有本国产品又有非本国产品参与竞争的采购项目/采购包，当</w:t>
      </w:r>
      <w:r>
        <w:t>采购标的为单一产品</w:t>
      </w:r>
      <w:r>
        <w:rPr>
          <w:rFonts w:hint="eastAsia"/>
        </w:rPr>
        <w:t>时</w:t>
      </w:r>
      <w:r>
        <w:t>，</w:t>
      </w:r>
      <w:r>
        <w:rPr>
          <w:rFonts w:hint="eastAsia"/>
        </w:rPr>
        <w:t>对本国产品的报价给予20%的价格扣除，用扣除后的价格参与评审；当</w:t>
      </w:r>
      <w:r>
        <w:t>采购标的</w:t>
      </w:r>
      <w:r>
        <w:rPr>
          <w:rFonts w:hint="eastAsia"/>
        </w:rPr>
        <w:t>为多种产品时，供应商为采购项目或者采购包提供的符合本国产品标准的产品成本之和占该供应商提供的全部产品成本之和的比例达到80%以上时，对该供应商提供的全部产品的总报价给予20%的价格扣除，用扣除后的价格参与评审。供应商未</w:t>
      </w:r>
      <w:r>
        <w:t>按</w:t>
      </w:r>
      <w:r>
        <w:rPr>
          <w:rFonts w:hint="eastAsia"/>
        </w:rPr>
        <w:t>谈判</w:t>
      </w:r>
      <w:r>
        <w:t>文件要求提供</w:t>
      </w:r>
      <w:r>
        <w:rPr>
          <w:rFonts w:hint="eastAsia"/>
        </w:rPr>
        <w:t>相关资料的，不享受价格扣除优惠政策。</w:t>
      </w:r>
    </w:p>
    <w:p w14:paraId="2E53BD0A">
      <w:pPr>
        <w:pStyle w:val="3"/>
      </w:pPr>
      <w:r>
        <w:t>七、成交</w:t>
      </w:r>
    </w:p>
    <w:p w14:paraId="5D87E9E5">
      <w:pPr>
        <w:pStyle w:val="81"/>
        <w:ind w:firstLine="480"/>
      </w:pPr>
      <w:r>
        <w:rPr>
          <w:rFonts w:hint="eastAsia"/>
        </w:rPr>
        <w:t>1</w:t>
      </w:r>
      <w:r>
        <w:rPr>
          <w:rFonts w:hint="eastAsia"/>
          <w:color w:val="auto"/>
        </w:rPr>
        <w:t>．</w:t>
      </w:r>
      <w:r>
        <w:t>采购代理机构在评审工作结束后2个工作日内，将评审报告送采购人确认。</w:t>
      </w:r>
    </w:p>
    <w:p w14:paraId="4224D80C">
      <w:pPr>
        <w:pStyle w:val="81"/>
        <w:ind w:firstLine="480"/>
      </w:pPr>
      <w:r>
        <w:rPr>
          <w:rFonts w:hint="eastAsia"/>
        </w:rPr>
        <w:t>2</w:t>
      </w:r>
      <w:r>
        <w:rPr>
          <w:rFonts w:hint="eastAsia"/>
          <w:color w:val="auto"/>
        </w:rPr>
        <w:t>．</w:t>
      </w:r>
      <w:r>
        <w:rPr>
          <w:rFonts w:hint="eastAsia"/>
        </w:rPr>
        <w:t>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p>
    <w:p w14:paraId="1A8126BE">
      <w:pPr>
        <w:pStyle w:val="81"/>
        <w:ind w:firstLine="480"/>
      </w:pPr>
      <w:r>
        <w:rPr>
          <w:rFonts w:hint="eastAsia"/>
        </w:rPr>
        <w:t>3</w:t>
      </w:r>
      <w:r>
        <w:rPr>
          <w:rFonts w:hint="eastAsia"/>
          <w:color w:val="auto"/>
        </w:rPr>
        <w:t>．</w:t>
      </w:r>
      <w:r>
        <w:t>采购代理机构将在成交供应商确定后2个工作日内，在【</w:t>
      </w:r>
      <w:r>
        <w:rPr>
          <w:color w:val="7030A0"/>
        </w:rPr>
        <w:t>陕西省政府采购网</w:t>
      </w:r>
      <w:r>
        <w:rPr>
          <w:rStyle w:val="31"/>
          <w:color w:val="auto"/>
        </w:rPr>
        <w:t>】</w:t>
      </w:r>
      <w:r>
        <w:t>（</w:t>
      </w:r>
      <w:r>
        <w:fldChar w:fldCharType="begin"/>
      </w:r>
      <w:r>
        <w:instrText xml:space="preserve"> HYPERLINK "http://www.ccgp-shaanxi.gov.cn/" </w:instrText>
      </w:r>
      <w:r>
        <w:fldChar w:fldCharType="separate"/>
      </w:r>
      <w:r>
        <w:rPr>
          <w:rStyle w:val="31"/>
          <w:color w:val="0070C0"/>
        </w:rPr>
        <w:t>http://www.ccgp-shaanxi.gov.cn</w:t>
      </w:r>
      <w:r>
        <w:rPr>
          <w:rStyle w:val="31"/>
          <w:rFonts w:hint="eastAsia"/>
          <w:color w:val="0070C0"/>
        </w:rPr>
        <w:t>/</w:t>
      </w:r>
      <w:r>
        <w:rPr>
          <w:rStyle w:val="31"/>
          <w:rFonts w:hint="eastAsia"/>
          <w:color w:val="0070C0"/>
        </w:rPr>
        <w:fldChar w:fldCharType="end"/>
      </w:r>
      <w:r>
        <w:t>）上公布成交结果。成交公告期限为1个工作日。</w:t>
      </w:r>
    </w:p>
    <w:p w14:paraId="67B80D74">
      <w:pPr>
        <w:pStyle w:val="81"/>
        <w:ind w:firstLine="480"/>
      </w:pPr>
      <w:r>
        <w:rPr>
          <w:rFonts w:hint="eastAsia"/>
        </w:rPr>
        <w:t>4</w:t>
      </w:r>
      <w:r>
        <w:rPr>
          <w:rFonts w:hint="eastAsia"/>
          <w:color w:val="auto"/>
        </w:rPr>
        <w:t>．</w:t>
      </w:r>
      <w:r>
        <w:rPr>
          <w:rFonts w:hint="eastAsia"/>
        </w:rPr>
        <w:t>在公告成交结果的同时，采购代理机构将向成交供应商发出《成交通知书》，</w:t>
      </w:r>
      <w:r>
        <w:rPr>
          <w:rFonts w:hint="eastAsia"/>
          <w:color w:val="C00000"/>
        </w:rPr>
        <w:t>成交供应商在领取成交通知书时提供一正两副纸质响应文件用于备案</w:t>
      </w:r>
      <w:r>
        <w:rPr>
          <w:rFonts w:hint="eastAsia"/>
        </w:rPr>
        <w:t>。</w:t>
      </w:r>
    </w:p>
    <w:p w14:paraId="7A4F61B5">
      <w:pPr>
        <w:pStyle w:val="81"/>
        <w:ind w:firstLine="480"/>
      </w:pPr>
      <w:r>
        <w:rPr>
          <w:color w:val="auto"/>
        </w:rPr>
        <w:t>5</w:t>
      </w:r>
      <w:r>
        <w:rPr>
          <w:rFonts w:hint="eastAsia"/>
          <w:color w:val="auto"/>
        </w:rPr>
        <w:t>．</w:t>
      </w:r>
      <w:r>
        <w:rPr>
          <w:rFonts w:hint="eastAsia"/>
        </w:rPr>
        <w:t>采购代理机构按照相关规定将评审报告送同级政府采购监管部门备案。</w:t>
      </w:r>
    </w:p>
    <w:p w14:paraId="52646366">
      <w:pPr>
        <w:pStyle w:val="3"/>
      </w:pPr>
      <w:r>
        <w:t>八、合同签订、履行及验收</w:t>
      </w:r>
    </w:p>
    <w:p w14:paraId="704629A0">
      <w:pPr>
        <w:pStyle w:val="81"/>
        <w:ind w:firstLine="480"/>
      </w:pPr>
      <w:r>
        <w:t>谈判文件、响应文件、澄清、补充合同等为政府采购合同的组成部分，具有同等法律效力。</w:t>
      </w:r>
    </w:p>
    <w:p w14:paraId="4EB7DCB4">
      <w:pPr>
        <w:pStyle w:val="4"/>
        <w:ind w:firstLine="482"/>
      </w:pPr>
      <w:r>
        <w:t>（一）签订政府采购合同</w:t>
      </w:r>
    </w:p>
    <w:p w14:paraId="0630C8E7">
      <w:pPr>
        <w:pStyle w:val="81"/>
        <w:ind w:firstLine="480"/>
      </w:pPr>
      <w:r>
        <w:rPr>
          <w:rFonts w:hint="eastAsia"/>
        </w:rPr>
        <w:t>1</w:t>
      </w:r>
      <w:r>
        <w:rPr>
          <w:rFonts w:hint="eastAsia"/>
          <w:color w:val="auto"/>
        </w:rPr>
        <w:t>．</w:t>
      </w:r>
      <w:r>
        <w:t>自</w:t>
      </w:r>
      <w:r>
        <w:rPr>
          <w:rFonts w:hint="eastAsia"/>
        </w:rPr>
        <w:t>成交</w:t>
      </w:r>
      <w:r>
        <w:t>通知书发出之日起25日内，采购人与</w:t>
      </w:r>
      <w:r>
        <w:rPr>
          <w:rFonts w:hint="eastAsia"/>
        </w:rPr>
        <w:t>成交</w:t>
      </w:r>
      <w:r>
        <w:t>供应商应按</w:t>
      </w:r>
      <w:r>
        <w:rPr>
          <w:rFonts w:hint="eastAsia"/>
        </w:rPr>
        <w:t>谈判</w:t>
      </w:r>
      <w:r>
        <w:t>文件和</w:t>
      </w:r>
      <w:r>
        <w:rPr>
          <w:rFonts w:hint="eastAsia"/>
        </w:rPr>
        <w:t>成交</w:t>
      </w:r>
      <w:r>
        <w:t>供应商</w:t>
      </w:r>
      <w:r>
        <w:rPr>
          <w:rFonts w:hint="eastAsia"/>
        </w:rPr>
        <w:t>响应</w:t>
      </w:r>
      <w:r>
        <w:t>文件的约定，签订书面合同。</w:t>
      </w:r>
    </w:p>
    <w:p w14:paraId="1897F341">
      <w:pPr>
        <w:pStyle w:val="81"/>
        <w:ind w:firstLine="480"/>
      </w:pPr>
      <w:r>
        <w:rPr>
          <w:rFonts w:hint="eastAsia"/>
        </w:rPr>
        <w:t>2</w:t>
      </w:r>
      <w:r>
        <w:rPr>
          <w:rFonts w:hint="eastAsia"/>
          <w:color w:val="auto"/>
        </w:rPr>
        <w:t>．</w:t>
      </w:r>
      <w:r>
        <w:rPr>
          <w:rFonts w:hint="eastAsia"/>
        </w:rPr>
        <w:t>成交</w:t>
      </w:r>
      <w:r>
        <w:t>供应商拒绝与采购人签订合同的，采购人可以按照《政府采购法实施条例》第四十九条规定，确定下一候选人为</w:t>
      </w:r>
      <w:r>
        <w:rPr>
          <w:rFonts w:hint="eastAsia"/>
        </w:rPr>
        <w:t>成交</w:t>
      </w:r>
      <w:r>
        <w:t>供应商，也可以重新开展政府采购活动。</w:t>
      </w:r>
    </w:p>
    <w:p w14:paraId="185BB3F9">
      <w:pPr>
        <w:pStyle w:val="81"/>
        <w:ind w:firstLine="480"/>
      </w:pPr>
      <w:r>
        <w:rPr>
          <w:rFonts w:hint="eastAsia"/>
        </w:rPr>
        <w:t>3</w:t>
      </w:r>
      <w:r>
        <w:rPr>
          <w:rFonts w:hint="eastAsia"/>
          <w:color w:val="auto"/>
        </w:rPr>
        <w:t>．</w:t>
      </w:r>
      <w:r>
        <w:rPr>
          <w:rFonts w:hint="eastAsia"/>
        </w:rPr>
        <w:t>采购人不得向成交供应商提出任何不合理的要求，作为签订合同的条件，不得与成交供应商私下订立背离合同实质性内容的任何协议，所签订的合同不得对谈判文件和成交供应商响应文件作实质性修改。</w:t>
      </w:r>
    </w:p>
    <w:p w14:paraId="11140325">
      <w:pPr>
        <w:pStyle w:val="81"/>
        <w:ind w:firstLine="480"/>
      </w:pPr>
      <w:r>
        <w:rPr>
          <w:rFonts w:hint="eastAsia"/>
        </w:rPr>
        <w:t>4</w:t>
      </w:r>
      <w:r>
        <w:rPr>
          <w:rFonts w:hint="eastAsia"/>
          <w:color w:val="auto"/>
        </w:rPr>
        <w:t>．</w:t>
      </w:r>
      <w:r>
        <w:rPr>
          <w:rFonts w:hint="eastAsia"/>
        </w:rPr>
        <w:t>质疑或者投诉事项可能影响成交结果的，采购人应当暂停签订合同，已经签订合同的，应当中止履行合同。</w:t>
      </w:r>
    </w:p>
    <w:p w14:paraId="64EAF564">
      <w:pPr>
        <w:pStyle w:val="81"/>
        <w:ind w:firstLine="480"/>
        <w:rPr>
          <w:color w:val="auto"/>
        </w:rPr>
      </w:pPr>
      <w:r>
        <w:rPr>
          <w:color w:val="auto"/>
        </w:rPr>
        <w:t>5</w:t>
      </w:r>
      <w:r>
        <w:rPr>
          <w:rFonts w:hint="eastAsia"/>
          <w:color w:val="auto"/>
        </w:rPr>
        <w:t>．</w:t>
      </w:r>
      <w:r>
        <w:rPr>
          <w:rFonts w:hint="eastAsia"/>
          <w:color w:val="C00000"/>
        </w:rPr>
        <w:t>拒绝签订政府采购合同的成交供应商不得参加对该项目重新开展的采购活动。</w:t>
      </w:r>
    </w:p>
    <w:p w14:paraId="5B4113D3">
      <w:pPr>
        <w:pStyle w:val="4"/>
        <w:ind w:firstLine="482"/>
      </w:pPr>
      <w:r>
        <w:t>（二）合同公示</w:t>
      </w:r>
    </w:p>
    <w:p w14:paraId="6AA27285">
      <w:pPr>
        <w:pStyle w:val="81"/>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1"/>
        </w:rPr>
        <w:t>http://www.ccgp-shaanxi.gov.cn/</w:t>
      </w:r>
      <w:r>
        <w:rPr>
          <w:rStyle w:val="31"/>
        </w:rPr>
        <w:fldChar w:fldCharType="end"/>
      </w:r>
      <w:r>
        <w:rPr>
          <w:rFonts w:hint="eastAsia"/>
        </w:rPr>
        <w:t>）对合同进行公示，但政府采购合同中涉及国家秘密、商业秘密的内容除外。</w:t>
      </w:r>
    </w:p>
    <w:p w14:paraId="0EB09D09">
      <w:pPr>
        <w:pStyle w:val="4"/>
        <w:ind w:firstLine="482"/>
      </w:pPr>
      <w:r>
        <w:t>（三）合同履行</w:t>
      </w:r>
    </w:p>
    <w:p w14:paraId="0D105C6D">
      <w:pPr>
        <w:pStyle w:val="81"/>
        <w:ind w:firstLine="480"/>
        <w:rPr>
          <w:color w:val="auto"/>
        </w:rPr>
      </w:pPr>
      <w:r>
        <w:rPr>
          <w:rFonts w:hint="eastAsia"/>
        </w:rPr>
        <w:t>1</w:t>
      </w:r>
      <w:r>
        <w:rPr>
          <w:rFonts w:hint="eastAsia"/>
          <w:color w:val="auto"/>
        </w:rPr>
        <w:t>．采购人与成交供应商应当根据合同的约定依法履行合同义务。</w:t>
      </w:r>
    </w:p>
    <w:p w14:paraId="29751297">
      <w:pPr>
        <w:pStyle w:val="81"/>
        <w:ind w:firstLine="480"/>
      </w:pPr>
      <w:r>
        <w:rPr>
          <w:rFonts w:hint="eastAsia"/>
          <w:color w:val="auto"/>
        </w:rPr>
        <w:t>2．政府采购合同的履行、违约责任和解决争议的方法等适用《中华人民共和国民法典》。</w:t>
      </w:r>
    </w:p>
    <w:p w14:paraId="7D2FB0C7">
      <w:pPr>
        <w:pStyle w:val="4"/>
        <w:ind w:firstLine="482"/>
      </w:pPr>
      <w:r>
        <w:t>（四）验收或考核</w:t>
      </w:r>
    </w:p>
    <w:p w14:paraId="299DB2FD">
      <w:pPr>
        <w:pStyle w:val="81"/>
        <w:ind w:firstLine="480"/>
      </w:pPr>
      <w:r>
        <w:rPr>
          <w:rFonts w:hint="eastAsia"/>
        </w:rPr>
        <w:t>1</w:t>
      </w:r>
      <w:r>
        <w:rPr>
          <w:rFonts w:hint="eastAsia"/>
          <w:color w:val="auto"/>
        </w:rPr>
        <w:t>．</w:t>
      </w:r>
      <w:r>
        <w:rPr>
          <w:rFonts w:hint="eastAsia"/>
        </w:rPr>
        <w:t>采购人严格按照国家相关法律法规的要求及谈判文件的要求组织验收或考核。</w:t>
      </w:r>
    </w:p>
    <w:p w14:paraId="21E84E95">
      <w:pPr>
        <w:pStyle w:val="81"/>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14:paraId="681B6638">
      <w:pPr>
        <w:pStyle w:val="3"/>
      </w:pPr>
      <w:r>
        <w:t>九、其他</w:t>
      </w:r>
    </w:p>
    <w:p w14:paraId="7E2D661B">
      <w:pPr>
        <w:pStyle w:val="81"/>
        <w:ind w:firstLine="480"/>
      </w:pPr>
      <w:r>
        <w:rPr>
          <w:rFonts w:hint="eastAsia"/>
        </w:rPr>
        <w:t>1．除资格性审查认定错误和价格计算错误外，采购人或者采购代理机构不得以任何理由组织重新评审。采购人、采购代理机构发现谈判小组未按照采购文件规定的评定成交的标准进行评审的，应当重新开展采购活动，并同时书面报告本级财政部门。</w:t>
      </w:r>
    </w:p>
    <w:p w14:paraId="1F1B5C5F">
      <w:pPr>
        <w:pStyle w:val="81"/>
        <w:ind w:firstLine="480"/>
        <w:rPr>
          <w:color w:val="auto"/>
        </w:rPr>
      </w:pPr>
      <w:r>
        <w:rPr>
          <w:rFonts w:hint="eastAsia"/>
        </w:rPr>
        <w:t>2</w:t>
      </w:r>
      <w:r>
        <w:rPr>
          <w:rFonts w:hint="eastAsia"/>
          <w:color w:val="auto"/>
        </w:rPr>
        <w:t>．</w:t>
      </w:r>
      <w:r>
        <w:rPr>
          <w:rFonts w:hint="eastAsia"/>
        </w:rPr>
        <w:t>谈判小组</w:t>
      </w:r>
      <w:r>
        <w:t>发现</w:t>
      </w:r>
      <w:r>
        <w:rPr>
          <w:rFonts w:hint="eastAsia"/>
        </w:rPr>
        <w:t>谈判</w:t>
      </w:r>
      <w:r>
        <w:t>文件存在歧义、重大缺陷导致</w:t>
      </w:r>
      <w:r>
        <w:rPr>
          <w:rFonts w:hint="eastAsia"/>
        </w:rPr>
        <w:t>评审</w:t>
      </w:r>
      <w:r>
        <w:t>工作无法进行，或者</w:t>
      </w:r>
      <w:r>
        <w:rPr>
          <w:rFonts w:hint="eastAsia"/>
        </w:rPr>
        <w:t>谈判</w:t>
      </w:r>
      <w:r>
        <w:t>文件内容违反国家有关强制性规定的，应当停止</w:t>
      </w:r>
      <w:r>
        <w:rPr>
          <w:rFonts w:hint="eastAsia"/>
        </w:rPr>
        <w:t>评审</w:t>
      </w:r>
      <w:r>
        <w:t>工作，与采购人或者采购代理机构沟通并作书面记录。采购人或者采购代理机构确认后，应当修改</w:t>
      </w:r>
      <w:r>
        <w:rPr>
          <w:rFonts w:hint="eastAsia"/>
        </w:rPr>
        <w:t>谈判</w:t>
      </w:r>
      <w:r>
        <w:t>文件，重新组织采购活动。</w:t>
      </w:r>
    </w:p>
    <w:p w14:paraId="2B0A5458">
      <w:pPr>
        <w:pStyle w:val="81"/>
        <w:ind w:firstLine="480"/>
      </w:pPr>
      <w:r>
        <w:t>3</w:t>
      </w:r>
      <w:r>
        <w:rPr>
          <w:rFonts w:hint="eastAsia"/>
        </w:rPr>
        <w:t>．出现下列情形之一的，采购人或者采购代理机构应当终止竞争性谈判采购活动，发布项目终止公告并说明原因，重新开展采购活动：</w:t>
      </w:r>
    </w:p>
    <w:p w14:paraId="4652820B">
      <w:pPr>
        <w:pStyle w:val="81"/>
        <w:ind w:firstLine="480"/>
      </w:pPr>
      <w:r>
        <w:rPr>
          <w:rFonts w:hint="eastAsia"/>
        </w:rPr>
        <w:t>（1）因情况变化，不再符合规定的竞争性谈判采购方式适用情形的；</w:t>
      </w:r>
    </w:p>
    <w:p w14:paraId="6653C42C">
      <w:pPr>
        <w:pStyle w:val="81"/>
        <w:ind w:firstLine="480"/>
      </w:pPr>
      <w:r>
        <w:rPr>
          <w:rFonts w:hint="eastAsia"/>
        </w:rPr>
        <w:t>（2）出现影响采购公正的违法、违规行为的；</w:t>
      </w:r>
    </w:p>
    <w:p w14:paraId="1B15F9CB">
      <w:pPr>
        <w:pStyle w:val="81"/>
        <w:ind w:firstLine="480"/>
      </w:pPr>
      <w:r>
        <w:rPr>
          <w:rFonts w:hint="eastAsia"/>
        </w:rPr>
        <w:t>（3）在采购过程中符合竞争要求的供应商或者报价未超过采购预算的供应商不足3家的，但本小节第</w:t>
      </w:r>
      <w:r>
        <w:t>5</w:t>
      </w:r>
      <w:r>
        <w:rPr>
          <w:rFonts w:hint="eastAsia"/>
        </w:rPr>
        <w:t>条情形除外。</w:t>
      </w:r>
    </w:p>
    <w:p w14:paraId="35A598FC">
      <w:pPr>
        <w:pStyle w:val="81"/>
        <w:ind w:firstLine="480"/>
      </w:pPr>
      <w:r>
        <w:t>4</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pPr>
        <w:pStyle w:val="81"/>
        <w:ind w:firstLine="480"/>
      </w:pPr>
      <w:r>
        <w:t>5</w:t>
      </w:r>
      <w:r>
        <w:rPr>
          <w:rFonts w:hint="eastAsia"/>
        </w:rPr>
        <w:t>．</w:t>
      </w:r>
      <w:r>
        <w:t>重新组织采购的项目，</w:t>
      </w:r>
      <w:r>
        <w:rPr>
          <w:rFonts w:hint="eastAsia"/>
        </w:rP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3FD9A5A8">
      <w:pPr>
        <w:pStyle w:val="81"/>
        <w:ind w:firstLine="480"/>
      </w:pPr>
      <w:r>
        <w:rPr>
          <w:color w:val="auto"/>
        </w:rPr>
        <w:t>6</w:t>
      </w:r>
      <w:r>
        <w:rPr>
          <w:rFonts w:hint="eastAsia"/>
          <w:color w:val="auto"/>
        </w:rPr>
        <w:t>．谈判文件</w:t>
      </w:r>
      <w:r>
        <w:t>未明确的其他事项，按《政府采购法》、《</w:t>
      </w:r>
      <w:r>
        <w:rPr>
          <w:rFonts w:hint="eastAsia"/>
        </w:rPr>
        <w:t>政府采购非招标采购方式管理办法》（财政部74号令）</w:t>
      </w:r>
      <w:r>
        <w:t>及相关法律法规执行。</w:t>
      </w:r>
    </w:p>
    <w:p w14:paraId="1BB5030A">
      <w:pPr>
        <w:pStyle w:val="81"/>
        <w:ind w:firstLine="0" w:firstLineChars="0"/>
      </w:pPr>
    </w:p>
    <w:p w14:paraId="0A42446B">
      <w:pPr>
        <w:widowControl w:val="0"/>
        <w:topLinePunct/>
        <w:jc w:val="both"/>
        <w:sectPr>
          <w:footerReference r:id="rId11" w:type="default"/>
          <w:footerReference r:id="rId12" w:type="even"/>
          <w:pgSz w:w="11906" w:h="16838"/>
          <w:pgMar w:top="1418" w:right="1418" w:bottom="1418" w:left="1418" w:header="851" w:footer="992" w:gutter="0"/>
          <w:cols w:space="425" w:num="1"/>
          <w:docGrid w:type="linesAndChars" w:linePitch="460" w:charSpace="0"/>
        </w:sectPr>
      </w:pPr>
    </w:p>
    <w:p w14:paraId="3E5C702B">
      <w:pPr>
        <w:pStyle w:val="2"/>
        <w:spacing w:before="230" w:after="230"/>
      </w:pPr>
      <w:bookmarkStart w:id="11" w:name="_Toc234572936"/>
      <w:r>
        <w:rPr>
          <w:rFonts w:hint="eastAsia"/>
        </w:rPr>
        <w:t>第三章　谈判内容及要求</w:t>
      </w:r>
      <w:bookmarkEnd w:id="11"/>
    </w:p>
    <w:p w14:paraId="697AF9E7">
      <w:pPr>
        <w:jc w:val="center"/>
        <w:rPr>
          <w:color w:val="C00000"/>
        </w:rPr>
      </w:pPr>
      <w:r>
        <w:rPr>
          <w:color w:val="C00000"/>
        </w:rPr>
        <w:t>（标注</w:t>
      </w:r>
      <w:r>
        <w:rPr>
          <w:rFonts w:ascii="Segoe UI Symbol" w:hAnsi="Segoe UI Symbol" w:cs="Segoe UI Symbol"/>
          <w:color w:val="C00000"/>
        </w:rPr>
        <w:t>★的为实质性条款</w:t>
      </w:r>
      <w:r>
        <w:rPr>
          <w:color w:val="C00000"/>
        </w:rPr>
        <w:t>）</w:t>
      </w:r>
    </w:p>
    <w:p w14:paraId="6E93F92A">
      <w:pPr>
        <w:pStyle w:val="3"/>
        <w:jc w:val="both"/>
      </w:pPr>
      <w:r>
        <w:rPr>
          <w:rFonts w:hint="eastAsia"/>
        </w:rPr>
        <w:t>一、项目概况</w:t>
      </w:r>
    </w:p>
    <w:p w14:paraId="2EDF4E9E">
      <w:r>
        <w:rPr>
          <w:rFonts w:hint="eastAsia"/>
        </w:rPr>
        <w:t>采购一批办公家具。</w:t>
      </w:r>
    </w:p>
    <w:p w14:paraId="12D15D17">
      <w:pPr>
        <w:pStyle w:val="3"/>
        <w:jc w:val="both"/>
      </w:pPr>
      <w:r>
        <w:rPr>
          <w:rFonts w:hint="eastAsia"/>
        </w:rPr>
        <w:t>二</w:t>
      </w:r>
      <w:r>
        <w:t>、</w:t>
      </w:r>
      <w:r>
        <w:rPr>
          <w:rFonts w:hint="eastAsia"/>
        </w:rPr>
        <w:t>采购内容</w:t>
      </w:r>
    </w:p>
    <w:tbl>
      <w:tblPr>
        <w:tblStyle w:val="24"/>
        <w:tblW w:w="1078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454"/>
        <w:gridCol w:w="2237"/>
        <w:gridCol w:w="3367"/>
        <w:gridCol w:w="1865"/>
        <w:gridCol w:w="1865"/>
      </w:tblGrid>
      <w:tr w14:paraId="7F6114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454" w:type="dxa"/>
            <w:tcBorders>
              <w:top w:val="single" w:color="auto" w:sz="12" w:space="0"/>
              <w:bottom w:val="single" w:color="auto" w:sz="2" w:space="0"/>
            </w:tcBorders>
            <w:shd w:val="clear" w:color="auto" w:fill="F1F1F1" w:themeFill="background1" w:themeFillShade="F2"/>
            <w:noWrap/>
            <w:vAlign w:val="center"/>
          </w:tcPr>
          <w:p w14:paraId="6B10FEF8">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序号</w:t>
            </w:r>
          </w:p>
        </w:tc>
        <w:tc>
          <w:tcPr>
            <w:tcW w:w="2237" w:type="dxa"/>
            <w:tcBorders>
              <w:top w:val="single" w:color="auto" w:sz="12" w:space="0"/>
              <w:bottom w:val="single" w:color="auto" w:sz="2" w:space="0"/>
            </w:tcBorders>
            <w:shd w:val="clear" w:color="auto" w:fill="F1F1F1" w:themeFill="background1" w:themeFillShade="F2"/>
            <w:noWrap/>
            <w:vAlign w:val="center"/>
          </w:tcPr>
          <w:p w14:paraId="061266A2">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标的名称</w:t>
            </w:r>
          </w:p>
        </w:tc>
        <w:tc>
          <w:tcPr>
            <w:tcW w:w="3367" w:type="dxa"/>
            <w:tcBorders>
              <w:top w:val="single" w:color="auto" w:sz="12" w:space="0"/>
              <w:bottom w:val="single" w:color="auto" w:sz="2" w:space="0"/>
            </w:tcBorders>
            <w:shd w:val="clear" w:color="auto" w:fill="F1F1F1" w:themeFill="background1" w:themeFillShade="F2"/>
            <w:noWrap/>
            <w:vAlign w:val="center"/>
          </w:tcPr>
          <w:p w14:paraId="0AF8161E">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规格</w:t>
            </w:r>
          </w:p>
        </w:tc>
        <w:tc>
          <w:tcPr>
            <w:tcW w:w="1865" w:type="dxa"/>
            <w:tcBorders>
              <w:top w:val="single" w:color="auto" w:sz="12" w:space="0"/>
              <w:bottom w:val="single" w:color="auto" w:sz="2" w:space="0"/>
            </w:tcBorders>
            <w:shd w:val="clear" w:color="auto" w:fill="F1F1F1" w:themeFill="background1" w:themeFillShade="F2"/>
            <w:noWrap/>
            <w:vAlign w:val="center"/>
          </w:tcPr>
          <w:p w14:paraId="6A753864">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数量</w:t>
            </w:r>
          </w:p>
        </w:tc>
        <w:tc>
          <w:tcPr>
            <w:tcW w:w="1865" w:type="dxa"/>
            <w:tcBorders>
              <w:top w:val="single" w:color="auto" w:sz="12" w:space="0"/>
              <w:bottom w:val="single" w:color="auto" w:sz="2" w:space="0"/>
            </w:tcBorders>
            <w:shd w:val="clear" w:color="auto" w:fill="F1F1F1" w:themeFill="background1" w:themeFillShade="F2"/>
            <w:vAlign w:val="center"/>
          </w:tcPr>
          <w:p w14:paraId="453103C0">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单位</w:t>
            </w:r>
          </w:p>
        </w:tc>
      </w:tr>
      <w:tr w14:paraId="35681E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454" w:type="dxa"/>
            <w:tcBorders>
              <w:top w:val="single" w:color="auto" w:sz="2" w:space="0"/>
            </w:tcBorders>
            <w:shd w:val="clear" w:color="auto" w:fill="auto"/>
            <w:noWrap/>
            <w:vAlign w:val="center"/>
          </w:tcPr>
          <w:p w14:paraId="4A657C0A">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1</w:t>
            </w:r>
          </w:p>
        </w:tc>
        <w:tc>
          <w:tcPr>
            <w:tcW w:w="2237" w:type="dxa"/>
            <w:tcBorders>
              <w:top w:val="single" w:color="auto" w:sz="2" w:space="0"/>
            </w:tcBorders>
            <w:shd w:val="clear" w:color="auto" w:fill="auto"/>
            <w:vAlign w:val="center"/>
          </w:tcPr>
          <w:p w14:paraId="32545C55">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定制屏风工位</w:t>
            </w:r>
            <w:r>
              <w:rPr>
                <w:rFonts w:hint="eastAsia" w:ascii="Calibri" w:hAnsi="微软雅黑" w:eastAsia="微软雅黑" w:cs="宋体"/>
                <w:b/>
                <w:bCs/>
                <w:color w:val="C00000"/>
                <w:sz w:val="21"/>
                <w:szCs w:val="22"/>
              </w:rPr>
              <w:t>（核心产品）</w:t>
            </w:r>
          </w:p>
        </w:tc>
        <w:tc>
          <w:tcPr>
            <w:tcW w:w="3367" w:type="dxa"/>
            <w:tcBorders>
              <w:top w:val="single" w:color="auto" w:sz="2" w:space="0"/>
            </w:tcBorders>
            <w:shd w:val="clear" w:color="auto" w:fill="auto"/>
            <w:noWrap/>
            <w:vAlign w:val="center"/>
          </w:tcPr>
          <w:p w14:paraId="6966F468">
            <w:pPr>
              <w:spacing w:line="320" w:lineRule="exact"/>
              <w:jc w:val="both"/>
              <w:rPr>
                <w:rFonts w:ascii="Calibri" w:hAnsi="微软雅黑" w:eastAsia="微软雅黑" w:cs="宋体"/>
                <w:b/>
                <w:bCs/>
                <w:color w:val="000000"/>
                <w:sz w:val="21"/>
                <w:szCs w:val="20"/>
              </w:rPr>
            </w:pPr>
            <w:r>
              <w:rPr>
                <w:rFonts w:hint="eastAsia" w:ascii="Calibri" w:hAnsi="微软雅黑" w:eastAsia="微软雅黑" w:cs="宋体"/>
                <w:b/>
                <w:bCs/>
                <w:color w:val="000000"/>
                <w:sz w:val="21"/>
                <w:szCs w:val="20"/>
              </w:rPr>
              <w:t>1500*1800*1100</w:t>
            </w:r>
          </w:p>
        </w:tc>
        <w:tc>
          <w:tcPr>
            <w:tcW w:w="1865" w:type="dxa"/>
            <w:tcBorders>
              <w:top w:val="single" w:color="auto" w:sz="2" w:space="0"/>
            </w:tcBorders>
            <w:shd w:val="clear" w:color="auto" w:fill="auto"/>
            <w:noWrap/>
            <w:vAlign w:val="center"/>
          </w:tcPr>
          <w:p w14:paraId="2DBB1738">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133</w:t>
            </w:r>
          </w:p>
        </w:tc>
        <w:tc>
          <w:tcPr>
            <w:tcW w:w="1865" w:type="dxa"/>
            <w:tcBorders>
              <w:top w:val="single" w:color="auto" w:sz="2" w:space="0"/>
            </w:tcBorders>
            <w:vAlign w:val="center"/>
          </w:tcPr>
          <w:p w14:paraId="66B6CEB7">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组</w:t>
            </w:r>
          </w:p>
        </w:tc>
      </w:tr>
      <w:tr w14:paraId="7C49F7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454" w:type="dxa"/>
            <w:shd w:val="clear" w:color="auto" w:fill="auto"/>
            <w:noWrap/>
            <w:vAlign w:val="center"/>
          </w:tcPr>
          <w:p w14:paraId="76589C9F">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2</w:t>
            </w:r>
          </w:p>
        </w:tc>
        <w:tc>
          <w:tcPr>
            <w:tcW w:w="2237" w:type="dxa"/>
            <w:shd w:val="clear" w:color="000000" w:fill="FFFFFF"/>
            <w:noWrap/>
            <w:vAlign w:val="center"/>
          </w:tcPr>
          <w:p w14:paraId="407D6849">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小柜</w:t>
            </w:r>
          </w:p>
        </w:tc>
        <w:tc>
          <w:tcPr>
            <w:tcW w:w="3367" w:type="dxa"/>
            <w:shd w:val="clear" w:color="000000" w:fill="FFFFFF"/>
            <w:noWrap/>
            <w:vAlign w:val="center"/>
          </w:tcPr>
          <w:p w14:paraId="2616A159">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600*400*750</w:t>
            </w:r>
          </w:p>
        </w:tc>
        <w:tc>
          <w:tcPr>
            <w:tcW w:w="1865" w:type="dxa"/>
            <w:shd w:val="clear" w:color="000000" w:fill="FFFFFF"/>
            <w:noWrap/>
            <w:vAlign w:val="center"/>
          </w:tcPr>
          <w:p w14:paraId="4D388B3A">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133</w:t>
            </w:r>
          </w:p>
        </w:tc>
        <w:tc>
          <w:tcPr>
            <w:tcW w:w="1865" w:type="dxa"/>
            <w:shd w:val="clear" w:color="000000" w:fill="FFFFFF"/>
            <w:vAlign w:val="center"/>
          </w:tcPr>
          <w:p w14:paraId="43852763">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个</w:t>
            </w:r>
          </w:p>
        </w:tc>
      </w:tr>
      <w:tr w14:paraId="6401C8A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454" w:type="dxa"/>
            <w:shd w:val="clear" w:color="auto" w:fill="auto"/>
            <w:noWrap/>
            <w:vAlign w:val="center"/>
          </w:tcPr>
          <w:p w14:paraId="3CB62AC1">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3</w:t>
            </w:r>
          </w:p>
        </w:tc>
        <w:tc>
          <w:tcPr>
            <w:tcW w:w="2237" w:type="dxa"/>
            <w:shd w:val="clear" w:color="auto" w:fill="auto"/>
            <w:noWrap/>
            <w:vAlign w:val="center"/>
          </w:tcPr>
          <w:p w14:paraId="33930FBF">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课桌凳</w:t>
            </w:r>
          </w:p>
        </w:tc>
        <w:tc>
          <w:tcPr>
            <w:tcW w:w="3367" w:type="dxa"/>
            <w:shd w:val="clear" w:color="000000" w:fill="FFFFFF"/>
            <w:noWrap/>
            <w:vAlign w:val="center"/>
          </w:tcPr>
          <w:p w14:paraId="2BCFDFDD">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常规</w:t>
            </w:r>
          </w:p>
        </w:tc>
        <w:tc>
          <w:tcPr>
            <w:tcW w:w="1865" w:type="dxa"/>
            <w:shd w:val="clear" w:color="auto" w:fill="auto"/>
            <w:noWrap/>
            <w:vAlign w:val="center"/>
          </w:tcPr>
          <w:p w14:paraId="60CBF414">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130</w:t>
            </w:r>
          </w:p>
        </w:tc>
        <w:tc>
          <w:tcPr>
            <w:tcW w:w="1865" w:type="dxa"/>
            <w:vAlign w:val="center"/>
          </w:tcPr>
          <w:p w14:paraId="7C8A8B7C">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个</w:t>
            </w:r>
          </w:p>
        </w:tc>
      </w:tr>
      <w:tr w14:paraId="2D64A4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454" w:type="dxa"/>
            <w:shd w:val="clear" w:color="auto" w:fill="auto"/>
            <w:noWrap/>
            <w:vAlign w:val="center"/>
          </w:tcPr>
          <w:p w14:paraId="337C0CD5">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4</w:t>
            </w:r>
          </w:p>
        </w:tc>
        <w:tc>
          <w:tcPr>
            <w:tcW w:w="2237" w:type="dxa"/>
            <w:shd w:val="clear" w:color="000000" w:fill="FFFFFF"/>
            <w:vAlign w:val="center"/>
          </w:tcPr>
          <w:p w14:paraId="39051082">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人体工学椅</w:t>
            </w:r>
          </w:p>
        </w:tc>
        <w:tc>
          <w:tcPr>
            <w:tcW w:w="3367" w:type="dxa"/>
            <w:shd w:val="clear" w:color="000000" w:fill="FFFFFF"/>
            <w:noWrap/>
            <w:vAlign w:val="center"/>
          </w:tcPr>
          <w:p w14:paraId="12572FDC">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常规</w:t>
            </w:r>
          </w:p>
        </w:tc>
        <w:tc>
          <w:tcPr>
            <w:tcW w:w="1865" w:type="dxa"/>
            <w:shd w:val="clear" w:color="auto" w:fill="auto"/>
            <w:noWrap/>
            <w:vAlign w:val="center"/>
          </w:tcPr>
          <w:p w14:paraId="35D3BC3A">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183</w:t>
            </w:r>
          </w:p>
        </w:tc>
        <w:tc>
          <w:tcPr>
            <w:tcW w:w="1865" w:type="dxa"/>
            <w:vAlign w:val="center"/>
          </w:tcPr>
          <w:p w14:paraId="6B5035CA">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把</w:t>
            </w:r>
          </w:p>
        </w:tc>
      </w:tr>
      <w:tr w14:paraId="3B52BB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454" w:type="dxa"/>
            <w:shd w:val="clear" w:color="auto" w:fill="auto"/>
            <w:noWrap/>
            <w:vAlign w:val="center"/>
          </w:tcPr>
          <w:p w14:paraId="090A2F43">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5</w:t>
            </w:r>
          </w:p>
        </w:tc>
        <w:tc>
          <w:tcPr>
            <w:tcW w:w="2237" w:type="dxa"/>
            <w:shd w:val="clear" w:color="auto" w:fill="auto"/>
            <w:noWrap/>
            <w:vAlign w:val="center"/>
          </w:tcPr>
          <w:p w14:paraId="66C3D5FC">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更衣柜</w:t>
            </w:r>
          </w:p>
        </w:tc>
        <w:tc>
          <w:tcPr>
            <w:tcW w:w="3367" w:type="dxa"/>
            <w:shd w:val="clear" w:color="auto" w:fill="auto"/>
            <w:noWrap/>
            <w:vAlign w:val="center"/>
          </w:tcPr>
          <w:p w14:paraId="01F50AAE">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600*400*1850</w:t>
            </w:r>
          </w:p>
        </w:tc>
        <w:tc>
          <w:tcPr>
            <w:tcW w:w="1865" w:type="dxa"/>
            <w:shd w:val="clear" w:color="auto" w:fill="auto"/>
            <w:noWrap/>
            <w:vAlign w:val="center"/>
          </w:tcPr>
          <w:p w14:paraId="30A7586E">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85</w:t>
            </w:r>
          </w:p>
        </w:tc>
        <w:tc>
          <w:tcPr>
            <w:tcW w:w="1865" w:type="dxa"/>
            <w:vAlign w:val="center"/>
          </w:tcPr>
          <w:p w14:paraId="672EBD1A">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个</w:t>
            </w:r>
          </w:p>
        </w:tc>
      </w:tr>
      <w:tr w14:paraId="5DC3919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454" w:type="dxa"/>
            <w:shd w:val="clear" w:color="auto" w:fill="auto"/>
            <w:noWrap/>
            <w:vAlign w:val="center"/>
          </w:tcPr>
          <w:p w14:paraId="6FFBC066">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6</w:t>
            </w:r>
          </w:p>
        </w:tc>
        <w:tc>
          <w:tcPr>
            <w:tcW w:w="2237" w:type="dxa"/>
            <w:shd w:val="clear" w:color="auto" w:fill="auto"/>
            <w:noWrap/>
            <w:vAlign w:val="center"/>
          </w:tcPr>
          <w:p w14:paraId="2810FED8">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茶水柜</w:t>
            </w:r>
          </w:p>
        </w:tc>
        <w:tc>
          <w:tcPr>
            <w:tcW w:w="3367" w:type="dxa"/>
            <w:shd w:val="clear" w:color="auto" w:fill="auto"/>
            <w:noWrap/>
            <w:vAlign w:val="center"/>
          </w:tcPr>
          <w:p w14:paraId="2F0D6CA0">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800*400*750</w:t>
            </w:r>
          </w:p>
        </w:tc>
        <w:tc>
          <w:tcPr>
            <w:tcW w:w="1865" w:type="dxa"/>
            <w:shd w:val="clear" w:color="auto" w:fill="auto"/>
            <w:noWrap/>
            <w:vAlign w:val="center"/>
          </w:tcPr>
          <w:p w14:paraId="310D0CE5">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38</w:t>
            </w:r>
          </w:p>
        </w:tc>
        <w:tc>
          <w:tcPr>
            <w:tcW w:w="1865" w:type="dxa"/>
            <w:vAlign w:val="center"/>
          </w:tcPr>
          <w:p w14:paraId="763279A2">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个</w:t>
            </w:r>
          </w:p>
        </w:tc>
      </w:tr>
      <w:tr w14:paraId="47D9959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454" w:type="dxa"/>
            <w:shd w:val="clear" w:color="auto" w:fill="auto"/>
            <w:noWrap/>
            <w:vAlign w:val="center"/>
          </w:tcPr>
          <w:p w14:paraId="32B530D6">
            <w:pPr>
              <w:spacing w:line="320" w:lineRule="exact"/>
              <w:jc w:val="both"/>
              <w:rPr>
                <w:rFonts w:ascii="Calibri" w:hAnsi="微软雅黑" w:eastAsia="微软雅黑" w:cs="宋体"/>
                <w:b/>
                <w:bCs/>
                <w:color w:val="000000"/>
                <w:sz w:val="21"/>
              </w:rPr>
            </w:pPr>
            <w:r>
              <w:rPr>
                <w:rFonts w:ascii="Calibri" w:hAnsi="微软雅黑" w:eastAsia="微软雅黑" w:cs="宋体"/>
                <w:b/>
                <w:bCs/>
                <w:color w:val="000000"/>
                <w:sz w:val="21"/>
              </w:rPr>
              <w:t>7</w:t>
            </w:r>
          </w:p>
        </w:tc>
        <w:tc>
          <w:tcPr>
            <w:tcW w:w="2237" w:type="dxa"/>
            <w:shd w:val="clear" w:color="auto" w:fill="auto"/>
            <w:noWrap/>
            <w:vAlign w:val="center"/>
          </w:tcPr>
          <w:p w14:paraId="6C1F598E">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沙发</w:t>
            </w:r>
          </w:p>
        </w:tc>
        <w:tc>
          <w:tcPr>
            <w:tcW w:w="3367" w:type="dxa"/>
            <w:shd w:val="clear" w:color="auto" w:fill="auto"/>
            <w:vAlign w:val="center"/>
          </w:tcPr>
          <w:p w14:paraId="09BB984C">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3人位（2180*860*900MM）</w:t>
            </w:r>
          </w:p>
        </w:tc>
        <w:tc>
          <w:tcPr>
            <w:tcW w:w="1865" w:type="dxa"/>
            <w:shd w:val="clear" w:color="auto" w:fill="auto"/>
            <w:noWrap/>
            <w:vAlign w:val="center"/>
          </w:tcPr>
          <w:p w14:paraId="7CCE4AE3">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12</w:t>
            </w:r>
          </w:p>
        </w:tc>
        <w:tc>
          <w:tcPr>
            <w:tcW w:w="1865" w:type="dxa"/>
            <w:vAlign w:val="center"/>
          </w:tcPr>
          <w:p w14:paraId="5978670E">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节</w:t>
            </w:r>
          </w:p>
        </w:tc>
      </w:tr>
    </w:tbl>
    <w:p w14:paraId="41A46B85"/>
    <w:p w14:paraId="26042384">
      <w:pPr>
        <w:pStyle w:val="3"/>
        <w:jc w:val="both"/>
      </w:pPr>
      <w:r>
        <w:rPr>
          <w:rFonts w:hint="eastAsia"/>
        </w:rPr>
        <w:t>三</w:t>
      </w:r>
      <w:r>
        <w:t>、</w:t>
      </w:r>
      <w:r>
        <w:rPr>
          <w:rFonts w:hint="eastAsia"/>
        </w:rPr>
        <w:t>技术（服务）要求</w:t>
      </w:r>
    </w:p>
    <w:tbl>
      <w:tblPr>
        <w:tblStyle w:val="24"/>
        <w:tblW w:w="1283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52"/>
        <w:gridCol w:w="849"/>
        <w:gridCol w:w="1278"/>
        <w:gridCol w:w="708"/>
        <w:gridCol w:w="709"/>
        <w:gridCol w:w="1134"/>
        <w:gridCol w:w="2268"/>
        <w:gridCol w:w="5340"/>
      </w:tblGrid>
      <w:tr w14:paraId="640A47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tcBorders>
              <w:top w:val="single" w:color="auto" w:sz="12" w:space="0"/>
              <w:bottom w:val="single" w:color="auto" w:sz="2" w:space="0"/>
            </w:tcBorders>
            <w:shd w:val="clear" w:color="auto" w:fill="F1F1F1" w:themeFill="background1" w:themeFillShade="F2"/>
            <w:noWrap/>
            <w:vAlign w:val="center"/>
          </w:tcPr>
          <w:p w14:paraId="3469A126">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序号</w:t>
            </w:r>
          </w:p>
        </w:tc>
        <w:tc>
          <w:tcPr>
            <w:tcW w:w="849" w:type="dxa"/>
            <w:tcBorders>
              <w:top w:val="single" w:color="auto" w:sz="12" w:space="0"/>
              <w:bottom w:val="single" w:color="auto" w:sz="2" w:space="0"/>
            </w:tcBorders>
            <w:shd w:val="clear" w:color="auto" w:fill="F1F1F1" w:themeFill="background1" w:themeFillShade="F2"/>
            <w:noWrap/>
            <w:vAlign w:val="center"/>
          </w:tcPr>
          <w:p w14:paraId="5357EE0B">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标的名称</w:t>
            </w:r>
          </w:p>
        </w:tc>
        <w:tc>
          <w:tcPr>
            <w:tcW w:w="1278" w:type="dxa"/>
            <w:tcBorders>
              <w:top w:val="single" w:color="auto" w:sz="12" w:space="0"/>
              <w:bottom w:val="single" w:color="auto" w:sz="2" w:space="0"/>
            </w:tcBorders>
            <w:shd w:val="clear" w:color="auto" w:fill="F1F1F1" w:themeFill="background1" w:themeFillShade="F2"/>
            <w:noWrap/>
            <w:vAlign w:val="center"/>
          </w:tcPr>
          <w:p w14:paraId="6F540185">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规格</w:t>
            </w:r>
          </w:p>
        </w:tc>
        <w:tc>
          <w:tcPr>
            <w:tcW w:w="708" w:type="dxa"/>
            <w:tcBorders>
              <w:top w:val="single" w:color="auto" w:sz="12" w:space="0"/>
              <w:bottom w:val="single" w:color="auto" w:sz="2" w:space="0"/>
            </w:tcBorders>
            <w:shd w:val="clear" w:color="auto" w:fill="F1F1F1" w:themeFill="background1" w:themeFillShade="F2"/>
            <w:noWrap/>
            <w:vAlign w:val="center"/>
          </w:tcPr>
          <w:p w14:paraId="04CB503E">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数量</w:t>
            </w:r>
          </w:p>
        </w:tc>
        <w:tc>
          <w:tcPr>
            <w:tcW w:w="709" w:type="dxa"/>
            <w:tcBorders>
              <w:top w:val="single" w:color="auto" w:sz="12" w:space="0"/>
              <w:bottom w:val="single" w:color="auto" w:sz="2" w:space="0"/>
            </w:tcBorders>
            <w:shd w:val="clear" w:color="auto" w:fill="F1F1F1" w:themeFill="background1" w:themeFillShade="F2"/>
            <w:noWrap/>
            <w:vAlign w:val="center"/>
          </w:tcPr>
          <w:p w14:paraId="06D216FF">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单位</w:t>
            </w:r>
          </w:p>
        </w:tc>
        <w:tc>
          <w:tcPr>
            <w:tcW w:w="1134" w:type="dxa"/>
            <w:tcBorders>
              <w:top w:val="single" w:color="auto" w:sz="12" w:space="0"/>
              <w:bottom w:val="single" w:color="auto" w:sz="2" w:space="0"/>
            </w:tcBorders>
            <w:shd w:val="clear" w:color="auto" w:fill="F1F1F1" w:themeFill="background1" w:themeFillShade="F2"/>
            <w:noWrap/>
            <w:vAlign w:val="center"/>
          </w:tcPr>
          <w:p w14:paraId="44C8D827">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单价限价（元/个）</w:t>
            </w:r>
          </w:p>
        </w:tc>
        <w:tc>
          <w:tcPr>
            <w:tcW w:w="2268" w:type="dxa"/>
            <w:tcBorders>
              <w:top w:val="single" w:color="auto" w:sz="12" w:space="0"/>
              <w:bottom w:val="single" w:color="auto" w:sz="2" w:space="0"/>
            </w:tcBorders>
            <w:shd w:val="clear" w:color="auto" w:fill="F1F1F1" w:themeFill="background1" w:themeFillShade="F2"/>
            <w:vAlign w:val="center"/>
          </w:tcPr>
          <w:p w14:paraId="28FD19EF">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参考图片</w:t>
            </w:r>
          </w:p>
        </w:tc>
        <w:tc>
          <w:tcPr>
            <w:tcW w:w="5340" w:type="dxa"/>
            <w:tcBorders>
              <w:top w:val="single" w:color="auto" w:sz="12" w:space="0"/>
              <w:bottom w:val="single" w:color="auto" w:sz="2" w:space="0"/>
            </w:tcBorders>
            <w:shd w:val="clear" w:color="auto" w:fill="F1F1F1" w:themeFill="background1" w:themeFillShade="F2"/>
            <w:noWrap/>
            <w:vAlign w:val="center"/>
          </w:tcPr>
          <w:p w14:paraId="10D8B0FB">
            <w:pPr>
              <w:spacing w:line="320" w:lineRule="exact"/>
              <w:ind w:firstLine="420" w:firstLineChars="200"/>
              <w:rPr>
                <w:rFonts w:ascii="Calibri" w:hAnsi="微软雅黑" w:eastAsia="微软雅黑" w:cs="Tahoma"/>
                <w:b/>
                <w:bCs/>
                <w:color w:val="000000"/>
                <w:sz w:val="21"/>
                <w:szCs w:val="20"/>
              </w:rPr>
            </w:pPr>
            <w:r>
              <w:rPr>
                <w:rFonts w:hint="eastAsia" w:ascii="Calibri" w:hAnsi="微软雅黑" w:eastAsia="微软雅黑" w:cs="Tahoma"/>
                <w:b/>
                <w:bCs/>
                <w:color w:val="000000"/>
                <w:sz w:val="21"/>
                <w:szCs w:val="20"/>
              </w:rPr>
              <w:t>参数</w:t>
            </w:r>
            <w:r>
              <w:rPr>
                <w:rFonts w:ascii="Calibri" w:hAnsi="微软雅黑" w:eastAsia="微软雅黑" w:cs="Tahoma"/>
                <w:b/>
                <w:bCs/>
                <w:color w:val="000000"/>
                <w:sz w:val="21"/>
                <w:szCs w:val="20"/>
              </w:rPr>
              <w:t>要求</w:t>
            </w:r>
          </w:p>
        </w:tc>
      </w:tr>
      <w:tr w14:paraId="5AB5E2C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tcBorders>
              <w:top w:val="single" w:color="auto" w:sz="2" w:space="0"/>
            </w:tcBorders>
            <w:shd w:val="clear" w:color="auto" w:fill="auto"/>
            <w:noWrap/>
            <w:vAlign w:val="center"/>
          </w:tcPr>
          <w:p w14:paraId="797078C7">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1</w:t>
            </w:r>
          </w:p>
        </w:tc>
        <w:tc>
          <w:tcPr>
            <w:tcW w:w="849" w:type="dxa"/>
            <w:tcBorders>
              <w:top w:val="single" w:color="auto" w:sz="2" w:space="0"/>
            </w:tcBorders>
            <w:shd w:val="clear" w:color="auto" w:fill="auto"/>
            <w:vAlign w:val="center"/>
          </w:tcPr>
          <w:p w14:paraId="6AD6622D">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定制屏风工位</w:t>
            </w:r>
            <w:r>
              <w:rPr>
                <w:rFonts w:hint="eastAsia" w:ascii="Calibri" w:hAnsi="微软雅黑" w:eastAsia="微软雅黑" w:cs="宋体"/>
                <w:b/>
                <w:bCs/>
                <w:color w:val="C00000"/>
                <w:sz w:val="21"/>
                <w:szCs w:val="22"/>
              </w:rPr>
              <w:t>（核心产品）</w:t>
            </w:r>
          </w:p>
        </w:tc>
        <w:tc>
          <w:tcPr>
            <w:tcW w:w="1278" w:type="dxa"/>
            <w:tcBorders>
              <w:top w:val="single" w:color="auto" w:sz="2" w:space="0"/>
            </w:tcBorders>
            <w:shd w:val="clear" w:color="auto" w:fill="auto"/>
            <w:noWrap/>
            <w:vAlign w:val="center"/>
          </w:tcPr>
          <w:p w14:paraId="3D814A2A">
            <w:pPr>
              <w:spacing w:line="320" w:lineRule="exact"/>
              <w:jc w:val="both"/>
              <w:rPr>
                <w:rFonts w:ascii="Calibri" w:hAnsi="微软雅黑" w:eastAsia="微软雅黑" w:cs="宋体"/>
                <w:b/>
                <w:bCs/>
                <w:color w:val="000000"/>
                <w:sz w:val="21"/>
                <w:szCs w:val="20"/>
              </w:rPr>
            </w:pPr>
            <w:r>
              <w:rPr>
                <w:rFonts w:hint="eastAsia" w:ascii="Calibri" w:hAnsi="微软雅黑" w:eastAsia="微软雅黑" w:cs="宋体"/>
                <w:b/>
                <w:bCs/>
                <w:color w:val="000000"/>
                <w:sz w:val="21"/>
                <w:szCs w:val="20"/>
              </w:rPr>
              <w:t>1500*1800*1100</w:t>
            </w:r>
          </w:p>
        </w:tc>
        <w:tc>
          <w:tcPr>
            <w:tcW w:w="708" w:type="dxa"/>
            <w:tcBorders>
              <w:top w:val="single" w:color="auto" w:sz="2" w:space="0"/>
            </w:tcBorders>
            <w:shd w:val="clear" w:color="auto" w:fill="auto"/>
            <w:noWrap/>
            <w:vAlign w:val="center"/>
          </w:tcPr>
          <w:p w14:paraId="240703CD">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133</w:t>
            </w:r>
          </w:p>
        </w:tc>
        <w:tc>
          <w:tcPr>
            <w:tcW w:w="709" w:type="dxa"/>
            <w:tcBorders>
              <w:top w:val="single" w:color="auto" w:sz="2" w:space="0"/>
            </w:tcBorders>
            <w:shd w:val="clear" w:color="auto" w:fill="auto"/>
            <w:noWrap/>
            <w:vAlign w:val="center"/>
          </w:tcPr>
          <w:p w14:paraId="3C29A172">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组</w:t>
            </w:r>
          </w:p>
        </w:tc>
        <w:tc>
          <w:tcPr>
            <w:tcW w:w="1134" w:type="dxa"/>
            <w:tcBorders>
              <w:top w:val="single" w:color="auto" w:sz="2" w:space="0"/>
            </w:tcBorders>
            <w:shd w:val="clear" w:color="auto" w:fill="auto"/>
            <w:noWrap/>
            <w:vAlign w:val="center"/>
          </w:tcPr>
          <w:p w14:paraId="24236151">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3000</w:t>
            </w:r>
          </w:p>
        </w:tc>
        <w:tc>
          <w:tcPr>
            <w:tcW w:w="2268" w:type="dxa"/>
            <w:tcBorders>
              <w:top w:val="single" w:color="auto" w:sz="2" w:space="0"/>
            </w:tcBorders>
            <w:shd w:val="clear" w:color="auto" w:fill="auto"/>
            <w:noWrap/>
            <w:vAlign w:val="center"/>
          </w:tcPr>
          <w:p w14:paraId="01E724E0">
            <w:pPr>
              <w:jc w:val="both"/>
              <w:rPr>
                <w:rFonts w:ascii="Calibri" w:hAnsi="微软雅黑" w:eastAsia="微软雅黑" w:cs="宋体"/>
                <w:color w:val="000000"/>
                <w:sz w:val="21"/>
                <w:szCs w:val="22"/>
              </w:rPr>
            </w:pPr>
            <w:r>
              <w:rPr>
                <w:rFonts w:hint="eastAsia" w:ascii="Calibri" w:hAnsi="微软雅黑" w:eastAsia="微软雅黑" w:cs="宋体"/>
                <w:color w:val="000000"/>
                <w:sz w:val="21"/>
                <w:szCs w:val="22"/>
              </w:rPr>
              <w:drawing>
                <wp:inline distT="0" distB="0" distL="0" distR="0">
                  <wp:extent cx="1228725" cy="137160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226185" cy="1369060"/>
                          </a:xfrm>
                          <a:prstGeom prst="rect">
                            <a:avLst/>
                          </a:prstGeom>
                          <a:noFill/>
                          <a:ln w="9525">
                            <a:noFill/>
                          </a:ln>
                        </pic:spPr>
                      </pic:pic>
                    </a:graphicData>
                  </a:graphic>
                </wp:inline>
              </w:drawing>
            </w:r>
          </w:p>
        </w:tc>
        <w:tc>
          <w:tcPr>
            <w:tcW w:w="5340" w:type="dxa"/>
            <w:tcBorders>
              <w:top w:val="single" w:color="auto" w:sz="2" w:space="0"/>
            </w:tcBorders>
            <w:shd w:val="clear" w:color="auto" w:fill="auto"/>
            <w:vAlign w:val="center"/>
          </w:tcPr>
          <w:p w14:paraId="2F96BEE9">
            <w:pPr>
              <w:spacing w:line="320" w:lineRule="exact"/>
              <w:ind w:firstLine="420" w:firstLineChars="200"/>
              <w:rPr>
                <w:rFonts w:ascii="Calibri" w:hAnsi="微软雅黑" w:eastAsia="微软雅黑" w:cs="宋体"/>
                <w:color w:val="000000"/>
                <w:sz w:val="21"/>
                <w:szCs w:val="22"/>
              </w:rPr>
            </w:pPr>
            <w:r>
              <w:rPr>
                <w:rFonts w:hint="eastAsia" w:ascii="Calibri" w:hAnsi="微软雅黑" w:eastAsia="微软雅黑" w:cs="宋体"/>
                <w:color w:val="000000"/>
                <w:sz w:val="21"/>
                <w:szCs w:val="22"/>
              </w:rPr>
              <w:t>1、基材：采用E0级三聚氰胺饰面板。</w:t>
            </w:r>
          </w:p>
          <w:p w14:paraId="5239FAF9">
            <w:pPr>
              <w:spacing w:line="320" w:lineRule="exact"/>
              <w:ind w:firstLine="420" w:firstLineChars="200"/>
              <w:rPr>
                <w:rFonts w:ascii="Calibri" w:hAnsi="微软雅黑" w:eastAsia="微软雅黑" w:cs="宋体"/>
                <w:color w:val="000000"/>
                <w:sz w:val="21"/>
                <w:szCs w:val="22"/>
              </w:rPr>
            </w:pPr>
            <w:r>
              <w:rPr>
                <w:rFonts w:ascii="Calibri" w:hAnsi="微软雅黑" w:eastAsia="微软雅黑" w:cs="宋体"/>
                <w:color w:val="000000"/>
                <w:sz w:val="21"/>
                <w:szCs w:val="22"/>
              </w:rPr>
              <w:t>2</w:t>
            </w:r>
            <w:r>
              <w:rPr>
                <w:rFonts w:hint="eastAsia" w:ascii="Calibri" w:hAnsi="微软雅黑" w:eastAsia="微软雅黑" w:cs="宋体"/>
                <w:color w:val="000000"/>
                <w:sz w:val="21"/>
                <w:szCs w:val="22"/>
              </w:rPr>
              <w:t>、桌面板厚度</w:t>
            </w:r>
            <w:r>
              <w:rPr>
                <w:rFonts w:ascii="Calibri" w:hAnsi="微软雅黑" w:eastAsia="微软雅黑" w:cs="Arial"/>
                <w:color w:val="000000"/>
                <w:sz w:val="21"/>
                <w:szCs w:val="22"/>
              </w:rPr>
              <w:t>≥</w:t>
            </w:r>
            <w:r>
              <w:rPr>
                <w:rFonts w:hint="eastAsia" w:ascii="Calibri" w:hAnsi="微软雅黑" w:eastAsia="微软雅黑" w:cs="宋体"/>
                <w:color w:val="000000"/>
                <w:sz w:val="21"/>
                <w:szCs w:val="22"/>
              </w:rPr>
              <w:t>25mm，其他柜体板材厚度≥15mm，采用同色≥1.0mm厚PVC封边条封边。提供板材及pvc封边条出厂检验报告。</w:t>
            </w:r>
          </w:p>
          <w:p w14:paraId="1B7E6358">
            <w:pPr>
              <w:spacing w:line="320" w:lineRule="exact"/>
              <w:ind w:firstLine="420" w:firstLineChars="200"/>
              <w:rPr>
                <w:rFonts w:ascii="Calibri" w:hAnsi="微软雅黑" w:eastAsia="微软雅黑" w:cs="宋体"/>
                <w:color w:val="000000"/>
                <w:sz w:val="21"/>
                <w:szCs w:val="22"/>
              </w:rPr>
            </w:pPr>
            <w:r>
              <w:rPr>
                <w:rFonts w:ascii="Calibri" w:hAnsi="微软雅黑" w:eastAsia="微软雅黑" w:cs="宋体"/>
                <w:color w:val="000000"/>
                <w:sz w:val="21"/>
                <w:szCs w:val="22"/>
              </w:rPr>
              <w:t>3</w:t>
            </w:r>
            <w:r>
              <w:rPr>
                <w:rFonts w:hint="eastAsia" w:ascii="Calibri" w:hAnsi="微软雅黑" w:eastAsia="微软雅黑" w:cs="宋体"/>
                <w:color w:val="000000"/>
                <w:sz w:val="21"/>
                <w:szCs w:val="22"/>
              </w:rPr>
              <w:t>、屏风采用上玻璃下板结合，铝合金边框，厚度≥20mm，铝材厚度为1.2-2.0mm，不要侧挡板，抽屉滑轨、门铰等五金件采用国内优质五金件，抽屉锁为密码锁。</w:t>
            </w:r>
          </w:p>
        </w:tc>
      </w:tr>
      <w:tr w14:paraId="611DE7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noWrap/>
            <w:vAlign w:val="center"/>
          </w:tcPr>
          <w:p w14:paraId="0EC941BD">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2</w:t>
            </w:r>
          </w:p>
        </w:tc>
        <w:tc>
          <w:tcPr>
            <w:tcW w:w="849" w:type="dxa"/>
            <w:shd w:val="clear" w:color="000000" w:fill="FFFFFF"/>
            <w:noWrap/>
            <w:vAlign w:val="center"/>
          </w:tcPr>
          <w:p w14:paraId="59EB9C8A">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小柜</w:t>
            </w:r>
          </w:p>
        </w:tc>
        <w:tc>
          <w:tcPr>
            <w:tcW w:w="1278" w:type="dxa"/>
            <w:shd w:val="clear" w:color="000000" w:fill="FFFFFF"/>
            <w:noWrap/>
            <w:vAlign w:val="center"/>
          </w:tcPr>
          <w:p w14:paraId="3EE152C5">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600*400*750</w:t>
            </w:r>
          </w:p>
        </w:tc>
        <w:tc>
          <w:tcPr>
            <w:tcW w:w="708" w:type="dxa"/>
            <w:shd w:val="clear" w:color="000000" w:fill="FFFFFF"/>
            <w:noWrap/>
            <w:vAlign w:val="center"/>
          </w:tcPr>
          <w:p w14:paraId="653113F9">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133</w:t>
            </w:r>
          </w:p>
        </w:tc>
        <w:tc>
          <w:tcPr>
            <w:tcW w:w="709" w:type="dxa"/>
            <w:shd w:val="clear" w:color="000000" w:fill="FFFFFF"/>
            <w:noWrap/>
            <w:vAlign w:val="center"/>
          </w:tcPr>
          <w:p w14:paraId="26D83171">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个</w:t>
            </w:r>
          </w:p>
        </w:tc>
        <w:tc>
          <w:tcPr>
            <w:tcW w:w="1134" w:type="dxa"/>
            <w:shd w:val="clear" w:color="000000" w:fill="FFFFFF"/>
            <w:noWrap/>
            <w:vAlign w:val="center"/>
          </w:tcPr>
          <w:p w14:paraId="4EED8ACD">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w:t>
            </w:r>
          </w:p>
        </w:tc>
        <w:tc>
          <w:tcPr>
            <w:tcW w:w="2268" w:type="dxa"/>
            <w:shd w:val="clear" w:color="000000" w:fill="FFFFFF"/>
            <w:noWrap/>
            <w:vAlign w:val="center"/>
          </w:tcPr>
          <w:p w14:paraId="3E6F5912">
            <w:pPr>
              <w:jc w:val="both"/>
              <w:rPr>
                <w:rFonts w:ascii="Calibri" w:hAnsi="微软雅黑" w:eastAsia="微软雅黑" w:cs="宋体"/>
                <w:color w:val="000000"/>
                <w:sz w:val="21"/>
                <w:szCs w:val="22"/>
              </w:rPr>
            </w:pPr>
            <w:r>
              <w:rPr>
                <w:rFonts w:hint="eastAsia" w:ascii="Calibri" w:hAnsi="微软雅黑" w:eastAsia="微软雅黑" w:cs="宋体"/>
                <w:color w:val="000000"/>
                <w:sz w:val="21"/>
                <w:szCs w:val="22"/>
              </w:rPr>
              <w:drawing>
                <wp:inline distT="0" distB="0" distL="0" distR="0">
                  <wp:extent cx="1000125" cy="1057275"/>
                  <wp:effectExtent l="0" t="0" r="9525" b="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004570" cy="1052195"/>
                          </a:xfrm>
                          <a:prstGeom prst="rect">
                            <a:avLst/>
                          </a:prstGeom>
                          <a:noFill/>
                          <a:ln w="9525">
                            <a:noFill/>
                          </a:ln>
                        </pic:spPr>
                      </pic:pic>
                    </a:graphicData>
                  </a:graphic>
                </wp:inline>
              </w:drawing>
            </w:r>
          </w:p>
        </w:tc>
        <w:tc>
          <w:tcPr>
            <w:tcW w:w="5340" w:type="dxa"/>
            <w:shd w:val="clear" w:color="auto" w:fill="auto"/>
            <w:vAlign w:val="center"/>
          </w:tcPr>
          <w:p w14:paraId="6EC12EB0">
            <w:pPr>
              <w:spacing w:line="320" w:lineRule="exact"/>
              <w:ind w:firstLine="420" w:firstLineChars="200"/>
              <w:rPr>
                <w:rFonts w:ascii="Calibri" w:hAnsi="微软雅黑" w:eastAsia="微软雅黑" w:cs="宋体"/>
                <w:color w:val="000000"/>
                <w:sz w:val="21"/>
                <w:szCs w:val="22"/>
              </w:rPr>
            </w:pPr>
            <w:r>
              <w:rPr>
                <w:rFonts w:hint="eastAsia" w:ascii="Calibri" w:hAnsi="微软雅黑" w:eastAsia="微软雅黑" w:cs="宋体"/>
                <w:color w:val="000000"/>
                <w:sz w:val="21"/>
                <w:szCs w:val="22"/>
              </w:rPr>
              <w:t>1、基材：采用E0级三聚氰胺饰面板。</w:t>
            </w:r>
          </w:p>
          <w:p w14:paraId="738235C7">
            <w:pPr>
              <w:spacing w:line="320" w:lineRule="exact"/>
              <w:ind w:firstLine="480" w:firstLineChars="200"/>
              <w:rPr>
                <w:rFonts w:ascii="Calibri" w:hAnsi="微软雅黑" w:eastAsia="微软雅黑" w:cs="宋体"/>
                <w:color w:val="000000"/>
                <w:sz w:val="21"/>
                <w:szCs w:val="22"/>
              </w:rPr>
            </w:pPr>
            <w:r>
              <w:rPr>
                <w:rFonts w:ascii="Segoe UI Symbol" w:hAnsi="Segoe UI Symbol" w:eastAsia="宋体" w:cs="Segoe UI Symbol"/>
                <w:color w:val="C00000"/>
              </w:rPr>
              <w:t>★</w:t>
            </w:r>
            <w:r>
              <w:rPr>
                <w:rFonts w:ascii="Calibri" w:hAnsi="微软雅黑" w:eastAsia="微软雅黑" w:cs="宋体"/>
                <w:color w:val="000000"/>
                <w:sz w:val="21"/>
                <w:szCs w:val="22"/>
              </w:rPr>
              <w:t>2</w:t>
            </w:r>
            <w:r>
              <w:rPr>
                <w:rFonts w:hint="eastAsia" w:ascii="Calibri" w:hAnsi="微软雅黑" w:eastAsia="微软雅黑" w:cs="宋体"/>
                <w:color w:val="000000"/>
                <w:sz w:val="21"/>
                <w:szCs w:val="22"/>
              </w:rPr>
              <w:t>、桌面板厚度</w:t>
            </w:r>
            <w:r>
              <w:rPr>
                <w:rFonts w:ascii="Calibri" w:hAnsi="微软雅黑" w:eastAsia="微软雅黑" w:cs="Arial"/>
                <w:color w:val="000000"/>
                <w:sz w:val="21"/>
                <w:szCs w:val="22"/>
              </w:rPr>
              <w:t>≥</w:t>
            </w:r>
            <w:r>
              <w:rPr>
                <w:rFonts w:hint="eastAsia" w:ascii="Calibri" w:hAnsi="微软雅黑" w:eastAsia="微软雅黑" w:cs="宋体"/>
                <w:color w:val="000000"/>
                <w:sz w:val="21"/>
                <w:szCs w:val="22"/>
              </w:rPr>
              <w:t>25mm，其他柜体板材厚度≥15mm，采用同色≥1.0mm厚PVC封边条封边。提供板材及pvc封边条出厂检验报告。</w:t>
            </w:r>
          </w:p>
          <w:p w14:paraId="50B8EB0B">
            <w:pPr>
              <w:spacing w:line="320" w:lineRule="exact"/>
              <w:ind w:firstLine="420" w:firstLineChars="200"/>
              <w:rPr>
                <w:rFonts w:ascii="Calibri" w:hAnsi="微软雅黑" w:eastAsia="微软雅黑" w:cs="宋体"/>
                <w:color w:val="000000"/>
                <w:sz w:val="21"/>
                <w:szCs w:val="22"/>
              </w:rPr>
            </w:pPr>
            <w:r>
              <w:rPr>
                <w:rFonts w:hint="eastAsia" w:ascii="Calibri" w:hAnsi="微软雅黑" w:eastAsia="微软雅黑" w:cs="宋体"/>
                <w:color w:val="000000"/>
                <w:sz w:val="21"/>
                <w:szCs w:val="22"/>
              </w:rPr>
              <w:t>3、五金件采用国内优质五金件。</w:t>
            </w:r>
          </w:p>
        </w:tc>
      </w:tr>
      <w:tr w14:paraId="7BEFC34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noWrap/>
            <w:vAlign w:val="center"/>
          </w:tcPr>
          <w:p w14:paraId="533C7AEE">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3</w:t>
            </w:r>
          </w:p>
        </w:tc>
        <w:tc>
          <w:tcPr>
            <w:tcW w:w="849" w:type="dxa"/>
            <w:shd w:val="clear" w:color="auto" w:fill="auto"/>
            <w:noWrap/>
            <w:vAlign w:val="center"/>
          </w:tcPr>
          <w:p w14:paraId="5244D4A7">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课桌凳</w:t>
            </w:r>
          </w:p>
        </w:tc>
        <w:tc>
          <w:tcPr>
            <w:tcW w:w="1278" w:type="dxa"/>
            <w:shd w:val="clear" w:color="000000" w:fill="FFFFFF"/>
            <w:noWrap/>
            <w:vAlign w:val="center"/>
          </w:tcPr>
          <w:p w14:paraId="359EDC7E">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常规</w:t>
            </w:r>
          </w:p>
        </w:tc>
        <w:tc>
          <w:tcPr>
            <w:tcW w:w="708" w:type="dxa"/>
            <w:shd w:val="clear" w:color="auto" w:fill="auto"/>
            <w:noWrap/>
            <w:vAlign w:val="center"/>
          </w:tcPr>
          <w:p w14:paraId="2A7D8EBD">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130</w:t>
            </w:r>
          </w:p>
        </w:tc>
        <w:tc>
          <w:tcPr>
            <w:tcW w:w="709" w:type="dxa"/>
            <w:shd w:val="clear" w:color="auto" w:fill="auto"/>
            <w:noWrap/>
            <w:vAlign w:val="center"/>
          </w:tcPr>
          <w:p w14:paraId="2DD9AEA5">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个</w:t>
            </w:r>
          </w:p>
        </w:tc>
        <w:tc>
          <w:tcPr>
            <w:tcW w:w="1134" w:type="dxa"/>
            <w:shd w:val="clear" w:color="auto" w:fill="auto"/>
            <w:noWrap/>
            <w:vAlign w:val="center"/>
          </w:tcPr>
          <w:p w14:paraId="130DBC72">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w:t>
            </w:r>
          </w:p>
        </w:tc>
        <w:tc>
          <w:tcPr>
            <w:tcW w:w="2268" w:type="dxa"/>
            <w:shd w:val="clear" w:color="auto" w:fill="auto"/>
            <w:noWrap/>
            <w:vAlign w:val="center"/>
          </w:tcPr>
          <w:p w14:paraId="40E3025E">
            <w:pPr>
              <w:jc w:val="both"/>
              <w:rPr>
                <w:rFonts w:ascii="Calibri" w:hAnsi="微软雅黑" w:eastAsia="微软雅黑" w:cs="宋体"/>
                <w:color w:val="000000"/>
                <w:sz w:val="21"/>
                <w:szCs w:val="22"/>
              </w:rPr>
            </w:pPr>
            <w:r>
              <w:rPr>
                <w:rFonts w:hint="eastAsia" w:ascii="Calibri" w:hAnsi="微软雅黑" w:eastAsia="微软雅黑" w:cs="宋体"/>
                <w:color w:val="000000"/>
                <w:sz w:val="21"/>
                <w:szCs w:val="22"/>
              </w:rPr>
              <w:drawing>
                <wp:inline distT="0" distB="0" distL="0" distR="0">
                  <wp:extent cx="752475" cy="942975"/>
                  <wp:effectExtent l="0" t="0" r="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0" y="0"/>
                            <a:ext cx="744855" cy="944880"/>
                          </a:xfrm>
                          <a:prstGeom prst="rect">
                            <a:avLst/>
                          </a:prstGeom>
                          <a:noFill/>
                          <a:ln w="9525">
                            <a:noFill/>
                          </a:ln>
                        </pic:spPr>
                      </pic:pic>
                    </a:graphicData>
                  </a:graphic>
                </wp:inline>
              </w:drawing>
            </w:r>
          </w:p>
        </w:tc>
        <w:tc>
          <w:tcPr>
            <w:tcW w:w="5340" w:type="dxa"/>
            <w:shd w:val="clear" w:color="auto" w:fill="auto"/>
            <w:vAlign w:val="center"/>
          </w:tcPr>
          <w:p w14:paraId="50B4497A">
            <w:pPr>
              <w:spacing w:line="320" w:lineRule="exact"/>
              <w:ind w:firstLine="420" w:firstLineChars="200"/>
              <w:rPr>
                <w:rFonts w:ascii="Calibri" w:hAnsi="微软雅黑" w:eastAsia="微软雅黑" w:cs="宋体"/>
                <w:color w:val="000000"/>
                <w:sz w:val="21"/>
                <w:szCs w:val="22"/>
              </w:rPr>
            </w:pPr>
            <w:r>
              <w:rPr>
                <w:rFonts w:hint="eastAsia" w:ascii="Calibri" w:hAnsi="微软雅黑" w:eastAsia="微软雅黑" w:cs="宋体"/>
                <w:color w:val="000000"/>
                <w:sz w:val="21"/>
                <w:szCs w:val="22"/>
              </w:rPr>
              <w:t>1、基材：采用E0级三聚氰胺饰面板。</w:t>
            </w:r>
          </w:p>
          <w:p w14:paraId="08B8A230">
            <w:pPr>
              <w:spacing w:line="320" w:lineRule="exact"/>
              <w:ind w:firstLine="480" w:firstLineChars="200"/>
              <w:rPr>
                <w:rFonts w:ascii="Calibri" w:hAnsi="微软雅黑" w:eastAsia="微软雅黑" w:cs="宋体"/>
                <w:color w:val="000000"/>
                <w:sz w:val="21"/>
                <w:szCs w:val="22"/>
              </w:rPr>
            </w:pPr>
            <w:r>
              <w:rPr>
                <w:rFonts w:ascii="Segoe UI Symbol" w:hAnsi="Segoe UI Symbol" w:eastAsia="宋体" w:cs="Segoe UI Symbol"/>
                <w:color w:val="C00000"/>
              </w:rPr>
              <w:t>★</w:t>
            </w:r>
            <w:r>
              <w:rPr>
                <w:rFonts w:ascii="Calibri" w:hAnsi="微软雅黑" w:eastAsia="微软雅黑" w:cs="宋体"/>
                <w:color w:val="000000"/>
                <w:sz w:val="21"/>
                <w:szCs w:val="22"/>
              </w:rPr>
              <w:t>2</w:t>
            </w:r>
            <w:r>
              <w:rPr>
                <w:rFonts w:hint="eastAsia" w:ascii="Calibri" w:hAnsi="微软雅黑" w:eastAsia="微软雅黑" w:cs="宋体"/>
                <w:color w:val="000000"/>
                <w:sz w:val="21"/>
                <w:szCs w:val="22"/>
              </w:rPr>
              <w:t>、凳面板厚度</w:t>
            </w:r>
            <w:r>
              <w:rPr>
                <w:rFonts w:ascii="Calibri" w:hAnsi="微软雅黑" w:eastAsia="微软雅黑" w:cs="Arial"/>
                <w:color w:val="000000"/>
                <w:sz w:val="21"/>
                <w:szCs w:val="22"/>
              </w:rPr>
              <w:t>≥</w:t>
            </w:r>
            <w:r>
              <w:rPr>
                <w:rFonts w:hint="eastAsia" w:ascii="Calibri" w:hAnsi="微软雅黑" w:eastAsia="微软雅黑" w:cs="宋体"/>
                <w:color w:val="000000"/>
                <w:sz w:val="21"/>
                <w:szCs w:val="22"/>
              </w:rPr>
              <w:t>25mm，采用同色≥1.0mm厚PVC封边条封边。提供板材及pvc封边条出厂检验报告。</w:t>
            </w:r>
          </w:p>
          <w:p w14:paraId="5FDEA86A">
            <w:pPr>
              <w:spacing w:line="320" w:lineRule="exact"/>
              <w:ind w:firstLine="420" w:firstLineChars="200"/>
              <w:rPr>
                <w:rFonts w:ascii="Calibri" w:hAnsi="微软雅黑" w:eastAsia="微软雅黑" w:cs="宋体"/>
                <w:color w:val="000000"/>
                <w:sz w:val="21"/>
                <w:szCs w:val="22"/>
              </w:rPr>
            </w:pPr>
            <w:r>
              <w:rPr>
                <w:rFonts w:ascii="Calibri" w:hAnsi="微软雅黑" w:eastAsia="微软雅黑" w:cs="宋体"/>
                <w:color w:val="000000"/>
                <w:sz w:val="21"/>
                <w:szCs w:val="22"/>
              </w:rPr>
              <w:t>3</w:t>
            </w:r>
            <w:r>
              <w:rPr>
                <w:rFonts w:hint="eastAsia" w:ascii="Calibri" w:hAnsi="微软雅黑" w:eastAsia="微软雅黑" w:cs="宋体"/>
                <w:color w:val="000000"/>
                <w:sz w:val="21"/>
                <w:szCs w:val="22"/>
              </w:rPr>
              <w:t>、凳架采用30方管，壁厚≥1.2mm，凳脚底部装有防滑PP脚垫。整体凳架经过酸洗磷化喷塑工艺。</w:t>
            </w:r>
          </w:p>
        </w:tc>
      </w:tr>
      <w:tr w14:paraId="5864704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noWrap/>
            <w:vAlign w:val="center"/>
          </w:tcPr>
          <w:p w14:paraId="38241DD1">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4</w:t>
            </w:r>
          </w:p>
        </w:tc>
        <w:tc>
          <w:tcPr>
            <w:tcW w:w="849" w:type="dxa"/>
            <w:shd w:val="clear" w:color="000000" w:fill="FFFFFF"/>
            <w:vAlign w:val="center"/>
          </w:tcPr>
          <w:p w14:paraId="5C98A148">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人体工学椅</w:t>
            </w:r>
          </w:p>
        </w:tc>
        <w:tc>
          <w:tcPr>
            <w:tcW w:w="1278" w:type="dxa"/>
            <w:shd w:val="clear" w:color="000000" w:fill="FFFFFF"/>
            <w:noWrap/>
            <w:vAlign w:val="center"/>
          </w:tcPr>
          <w:p w14:paraId="6670367F">
            <w:pPr>
              <w:spacing w:line="320" w:lineRule="exact"/>
              <w:jc w:val="both"/>
              <w:rPr>
                <w:rFonts w:ascii="Calibri" w:hAnsi="微软雅黑" w:eastAsia="微软雅黑" w:cs="宋体"/>
                <w:b/>
                <w:bCs/>
                <w:color w:val="000000"/>
                <w:sz w:val="21"/>
                <w:szCs w:val="22"/>
              </w:rPr>
            </w:pPr>
            <w:r>
              <w:rPr>
                <w:rFonts w:hint="eastAsia" w:ascii="Calibri" w:hAnsi="微软雅黑" w:eastAsia="微软雅黑" w:cs="宋体"/>
                <w:b/>
                <w:bCs/>
                <w:color w:val="000000"/>
                <w:sz w:val="21"/>
                <w:szCs w:val="22"/>
              </w:rPr>
              <w:t>常规</w:t>
            </w:r>
          </w:p>
        </w:tc>
        <w:tc>
          <w:tcPr>
            <w:tcW w:w="708" w:type="dxa"/>
            <w:shd w:val="clear" w:color="auto" w:fill="auto"/>
            <w:noWrap/>
            <w:vAlign w:val="center"/>
          </w:tcPr>
          <w:p w14:paraId="79E7A330">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183</w:t>
            </w:r>
          </w:p>
        </w:tc>
        <w:tc>
          <w:tcPr>
            <w:tcW w:w="709" w:type="dxa"/>
            <w:shd w:val="clear" w:color="auto" w:fill="auto"/>
            <w:noWrap/>
            <w:vAlign w:val="center"/>
          </w:tcPr>
          <w:p w14:paraId="466C6EB5">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把</w:t>
            </w:r>
          </w:p>
        </w:tc>
        <w:tc>
          <w:tcPr>
            <w:tcW w:w="1134" w:type="dxa"/>
            <w:shd w:val="clear" w:color="auto" w:fill="auto"/>
            <w:noWrap/>
            <w:vAlign w:val="center"/>
          </w:tcPr>
          <w:p w14:paraId="48E002C6">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800</w:t>
            </w:r>
          </w:p>
        </w:tc>
        <w:tc>
          <w:tcPr>
            <w:tcW w:w="2268" w:type="dxa"/>
            <w:shd w:val="clear" w:color="auto" w:fill="auto"/>
            <w:noWrap/>
            <w:vAlign w:val="center"/>
          </w:tcPr>
          <w:p w14:paraId="625CC73A">
            <w:pPr>
              <w:jc w:val="both"/>
              <w:rPr>
                <w:rFonts w:ascii="Calibri" w:hAnsi="微软雅黑" w:eastAsia="微软雅黑" w:cs="宋体"/>
                <w:color w:val="000000"/>
                <w:sz w:val="21"/>
                <w:szCs w:val="22"/>
              </w:rPr>
            </w:pPr>
            <w:r>
              <w:rPr>
                <w:rFonts w:hint="eastAsia" w:ascii="Calibri" w:hAnsi="微软雅黑" w:eastAsia="微软雅黑" w:cs="宋体"/>
                <w:color w:val="000000"/>
                <w:sz w:val="21"/>
                <w:szCs w:val="22"/>
              </w:rPr>
              <w:drawing>
                <wp:inline distT="0" distB="0" distL="0" distR="0">
                  <wp:extent cx="1304925" cy="1295400"/>
                  <wp:effectExtent l="0" t="0" r="952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310365" cy="1300800"/>
                          </a:xfrm>
                          <a:prstGeom prst="rect">
                            <a:avLst/>
                          </a:prstGeom>
                          <a:noFill/>
                          <a:ln w="9525">
                            <a:noFill/>
                          </a:ln>
                        </pic:spPr>
                      </pic:pic>
                    </a:graphicData>
                  </a:graphic>
                </wp:inline>
              </w:drawing>
            </w:r>
          </w:p>
        </w:tc>
        <w:tc>
          <w:tcPr>
            <w:tcW w:w="5340" w:type="dxa"/>
            <w:shd w:val="clear" w:color="000000" w:fill="FFFFFF"/>
            <w:vAlign w:val="center"/>
          </w:tcPr>
          <w:p w14:paraId="7BDAE65A">
            <w:pPr>
              <w:spacing w:line="320" w:lineRule="exact"/>
              <w:ind w:firstLine="420" w:firstLineChars="200"/>
              <w:rPr>
                <w:rFonts w:ascii="Calibri" w:hAnsi="微软雅黑" w:eastAsia="微软雅黑" w:cs="宋体"/>
                <w:color w:val="000000"/>
                <w:sz w:val="21"/>
                <w:szCs w:val="22"/>
              </w:rPr>
            </w:pPr>
            <w:r>
              <w:rPr>
                <w:rFonts w:hint="eastAsia" w:ascii="Calibri" w:hAnsi="微软雅黑" w:eastAsia="微软雅黑" w:cs="宋体"/>
                <w:color w:val="000000"/>
                <w:sz w:val="21"/>
                <w:szCs w:val="22"/>
              </w:rPr>
              <w:t>1、椅架：全新尼龙加纤塑胶框架，黑色全新料加纤背框，舒适腰枕可上下调节。</w:t>
            </w:r>
          </w:p>
          <w:p w14:paraId="1232C099">
            <w:pPr>
              <w:spacing w:line="320" w:lineRule="exact"/>
              <w:ind w:firstLine="420" w:firstLineChars="200"/>
              <w:rPr>
                <w:rFonts w:ascii="Calibri" w:hAnsi="微软雅黑" w:eastAsia="微软雅黑" w:cs="宋体"/>
                <w:color w:val="000000"/>
                <w:sz w:val="21"/>
                <w:szCs w:val="22"/>
              </w:rPr>
            </w:pPr>
            <w:r>
              <w:rPr>
                <w:rFonts w:ascii="Calibri" w:hAnsi="微软雅黑" w:eastAsia="微软雅黑" w:cs="宋体"/>
                <w:color w:val="000000"/>
                <w:sz w:val="21"/>
                <w:szCs w:val="22"/>
              </w:rPr>
              <w:t>2</w:t>
            </w:r>
            <w:r>
              <w:rPr>
                <w:rFonts w:hint="eastAsia" w:ascii="Calibri" w:hAnsi="微软雅黑" w:eastAsia="微软雅黑" w:cs="宋体"/>
                <w:color w:val="000000"/>
                <w:sz w:val="21"/>
                <w:szCs w:val="22"/>
              </w:rPr>
              <w:t>、头枕：2D多功能固定棉头枕，定型海绵。</w:t>
            </w:r>
          </w:p>
          <w:p w14:paraId="2B754CC2">
            <w:pPr>
              <w:spacing w:line="320" w:lineRule="exact"/>
              <w:ind w:firstLine="420" w:firstLineChars="200"/>
              <w:rPr>
                <w:rFonts w:ascii="Calibri" w:hAnsi="微软雅黑" w:eastAsia="微软雅黑" w:cs="宋体"/>
                <w:color w:val="000000"/>
                <w:sz w:val="21"/>
                <w:szCs w:val="22"/>
              </w:rPr>
            </w:pPr>
            <w:r>
              <w:rPr>
                <w:rFonts w:ascii="Calibri" w:hAnsi="微软雅黑" w:eastAsia="微软雅黑" w:cs="宋体"/>
                <w:color w:val="000000"/>
                <w:sz w:val="21"/>
                <w:szCs w:val="22"/>
              </w:rPr>
              <w:t>3</w:t>
            </w:r>
            <w:r>
              <w:rPr>
                <w:rFonts w:hint="eastAsia" w:ascii="Calibri" w:hAnsi="微软雅黑" w:eastAsia="微软雅黑" w:cs="宋体"/>
                <w:color w:val="000000"/>
                <w:sz w:val="21"/>
                <w:szCs w:val="22"/>
              </w:rPr>
              <w:t>、扶手：4D-PU联动扶手。</w:t>
            </w:r>
          </w:p>
          <w:p w14:paraId="3EDD7667">
            <w:pPr>
              <w:spacing w:line="320" w:lineRule="exact"/>
              <w:ind w:firstLine="420" w:firstLineChars="200"/>
              <w:rPr>
                <w:rFonts w:ascii="Calibri" w:hAnsi="微软雅黑" w:eastAsia="微软雅黑" w:cs="宋体"/>
                <w:color w:val="000000"/>
                <w:sz w:val="21"/>
                <w:szCs w:val="22"/>
              </w:rPr>
            </w:pPr>
            <w:r>
              <w:rPr>
                <w:rFonts w:hint="eastAsia" w:ascii="Calibri" w:hAnsi="微软雅黑" w:eastAsia="微软雅黑" w:cs="宋体"/>
                <w:color w:val="000000"/>
                <w:sz w:val="21"/>
                <w:szCs w:val="22"/>
              </w:rPr>
              <w:t>4、座包：高密度切割海棉。</w:t>
            </w:r>
          </w:p>
          <w:p w14:paraId="4524DC5B">
            <w:pPr>
              <w:spacing w:line="320" w:lineRule="exact"/>
              <w:ind w:firstLine="420" w:firstLineChars="200"/>
              <w:rPr>
                <w:rFonts w:ascii="Calibri" w:hAnsi="微软雅黑" w:eastAsia="微软雅黑" w:cs="宋体"/>
                <w:color w:val="000000"/>
                <w:sz w:val="21"/>
                <w:szCs w:val="22"/>
              </w:rPr>
            </w:pPr>
            <w:r>
              <w:rPr>
                <w:rFonts w:hint="eastAsia" w:ascii="Calibri" w:hAnsi="微软雅黑" w:eastAsia="微软雅黑" w:cs="宋体"/>
                <w:color w:val="000000"/>
                <w:sz w:val="21"/>
                <w:szCs w:val="22"/>
              </w:rPr>
              <w:t>5、脚踏：全新尼龙加纤塑胶框架，全网双杆抽拉式午休脚踏。</w:t>
            </w:r>
          </w:p>
          <w:p w14:paraId="13E3D51C">
            <w:pPr>
              <w:spacing w:line="320" w:lineRule="exact"/>
              <w:ind w:firstLine="420" w:firstLineChars="200"/>
              <w:rPr>
                <w:rFonts w:ascii="Calibri" w:hAnsi="微软雅黑" w:eastAsia="微软雅黑" w:cs="宋体"/>
                <w:color w:val="000000"/>
                <w:sz w:val="21"/>
                <w:szCs w:val="22"/>
              </w:rPr>
            </w:pPr>
            <w:r>
              <w:rPr>
                <w:rFonts w:hint="eastAsia" w:ascii="Calibri" w:hAnsi="微软雅黑" w:eastAsia="微软雅黑" w:cs="宋体"/>
                <w:color w:val="000000"/>
                <w:sz w:val="21"/>
                <w:szCs w:val="22"/>
              </w:rPr>
              <w:t>6、底盘：2.0厚功能底盘。</w:t>
            </w:r>
          </w:p>
          <w:p w14:paraId="17407747">
            <w:pPr>
              <w:spacing w:line="320" w:lineRule="exact"/>
              <w:ind w:firstLine="480" w:firstLineChars="200"/>
              <w:rPr>
                <w:rFonts w:ascii="Calibri" w:hAnsi="微软雅黑" w:eastAsia="微软雅黑" w:cs="宋体"/>
                <w:color w:val="000000"/>
                <w:sz w:val="21"/>
                <w:szCs w:val="22"/>
              </w:rPr>
            </w:pPr>
            <w:r>
              <w:rPr>
                <w:rFonts w:ascii="Segoe UI Symbol" w:hAnsi="Segoe UI Symbol" w:eastAsia="宋体" w:cs="Segoe UI Symbol"/>
                <w:color w:val="C00000"/>
              </w:rPr>
              <w:t>★</w:t>
            </w:r>
            <w:r>
              <w:rPr>
                <w:rFonts w:hint="eastAsia" w:ascii="Calibri" w:hAnsi="微软雅黑" w:eastAsia="微软雅黑" w:cs="宋体"/>
                <w:color w:val="000000"/>
                <w:sz w:val="21"/>
                <w:szCs w:val="22"/>
              </w:rPr>
              <w:t>7、气杆：100MM缩40MM黑色气杆。提供出厂检验报告。</w:t>
            </w:r>
          </w:p>
          <w:p w14:paraId="772BAD50">
            <w:pPr>
              <w:spacing w:line="320" w:lineRule="exact"/>
              <w:ind w:firstLine="420" w:firstLineChars="200"/>
              <w:rPr>
                <w:rFonts w:ascii="Calibri" w:hAnsi="微软雅黑" w:eastAsia="微软雅黑" w:cs="宋体"/>
                <w:color w:val="000000"/>
                <w:sz w:val="21"/>
                <w:szCs w:val="22"/>
              </w:rPr>
            </w:pPr>
            <w:r>
              <w:rPr>
                <w:rFonts w:hint="eastAsia" w:ascii="Calibri" w:hAnsi="微软雅黑" w:eastAsia="微软雅黑" w:cs="宋体"/>
                <w:color w:val="000000"/>
                <w:sz w:val="21"/>
                <w:szCs w:val="22"/>
              </w:rPr>
              <w:t>8、椅脚：340MM黑色五星脚。</w:t>
            </w:r>
          </w:p>
          <w:p w14:paraId="1C53DD7B">
            <w:pPr>
              <w:spacing w:line="320" w:lineRule="exact"/>
              <w:ind w:firstLine="420" w:firstLineChars="200"/>
              <w:rPr>
                <w:rFonts w:ascii="Calibri" w:hAnsi="微软雅黑" w:eastAsia="微软雅黑" w:cs="宋体"/>
                <w:color w:val="000000"/>
                <w:sz w:val="21"/>
                <w:szCs w:val="22"/>
              </w:rPr>
            </w:pPr>
            <w:r>
              <w:rPr>
                <w:rFonts w:hint="eastAsia" w:ascii="Calibri" w:hAnsi="微软雅黑" w:eastAsia="微软雅黑" w:cs="宋体"/>
                <w:color w:val="000000"/>
                <w:sz w:val="21"/>
                <w:szCs w:val="22"/>
              </w:rPr>
              <w:t>9、椅轮：60mmPU静音防震尼龙轮。</w:t>
            </w:r>
          </w:p>
        </w:tc>
      </w:tr>
      <w:tr w14:paraId="3A19882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noWrap/>
            <w:vAlign w:val="center"/>
          </w:tcPr>
          <w:p w14:paraId="20334CC6">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5</w:t>
            </w:r>
          </w:p>
        </w:tc>
        <w:tc>
          <w:tcPr>
            <w:tcW w:w="849" w:type="dxa"/>
            <w:shd w:val="clear" w:color="auto" w:fill="auto"/>
            <w:noWrap/>
            <w:vAlign w:val="center"/>
          </w:tcPr>
          <w:p w14:paraId="6B1515A1">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更衣柜</w:t>
            </w:r>
          </w:p>
        </w:tc>
        <w:tc>
          <w:tcPr>
            <w:tcW w:w="1278" w:type="dxa"/>
            <w:shd w:val="clear" w:color="auto" w:fill="auto"/>
            <w:noWrap/>
            <w:vAlign w:val="center"/>
          </w:tcPr>
          <w:p w14:paraId="22EBA931">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600*400*1850</w:t>
            </w:r>
          </w:p>
        </w:tc>
        <w:tc>
          <w:tcPr>
            <w:tcW w:w="708" w:type="dxa"/>
            <w:shd w:val="clear" w:color="auto" w:fill="auto"/>
            <w:noWrap/>
            <w:vAlign w:val="center"/>
          </w:tcPr>
          <w:p w14:paraId="45C67F43">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85</w:t>
            </w:r>
          </w:p>
        </w:tc>
        <w:tc>
          <w:tcPr>
            <w:tcW w:w="709" w:type="dxa"/>
            <w:shd w:val="clear" w:color="auto" w:fill="auto"/>
            <w:noWrap/>
            <w:vAlign w:val="center"/>
          </w:tcPr>
          <w:p w14:paraId="6B0D0B99">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个</w:t>
            </w:r>
          </w:p>
        </w:tc>
        <w:tc>
          <w:tcPr>
            <w:tcW w:w="1134" w:type="dxa"/>
            <w:shd w:val="clear" w:color="auto" w:fill="auto"/>
            <w:noWrap/>
            <w:vAlign w:val="center"/>
          </w:tcPr>
          <w:p w14:paraId="6E82D9C0">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1500</w:t>
            </w:r>
          </w:p>
        </w:tc>
        <w:tc>
          <w:tcPr>
            <w:tcW w:w="2268" w:type="dxa"/>
            <w:shd w:val="clear" w:color="auto" w:fill="auto"/>
            <w:noWrap/>
            <w:vAlign w:val="center"/>
          </w:tcPr>
          <w:p w14:paraId="708DAB68">
            <w:pPr>
              <w:jc w:val="both"/>
              <w:rPr>
                <w:rFonts w:ascii="Calibri" w:hAnsi="微软雅黑" w:eastAsia="微软雅黑" w:cs="宋体"/>
                <w:color w:val="000000"/>
                <w:sz w:val="21"/>
                <w:szCs w:val="22"/>
              </w:rPr>
            </w:pPr>
            <w:r>
              <w:rPr>
                <w:rFonts w:hint="eastAsia" w:ascii="Calibri" w:hAnsi="微软雅黑" w:eastAsia="微软雅黑" w:cs="宋体"/>
                <w:color w:val="000000"/>
                <w:sz w:val="21"/>
                <w:szCs w:val="22"/>
              </w:rPr>
              <w:drawing>
                <wp:inline distT="0" distB="0" distL="0" distR="0">
                  <wp:extent cx="600075" cy="1162050"/>
                  <wp:effectExtent l="0" t="0" r="9525" b="0"/>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00075" cy="1162050"/>
                          </a:xfrm>
                          <a:prstGeom prst="rect">
                            <a:avLst/>
                          </a:prstGeom>
                          <a:noFill/>
                          <a:ln w="9525">
                            <a:noFill/>
                          </a:ln>
                        </pic:spPr>
                      </pic:pic>
                    </a:graphicData>
                  </a:graphic>
                </wp:inline>
              </w:drawing>
            </w:r>
          </w:p>
        </w:tc>
        <w:tc>
          <w:tcPr>
            <w:tcW w:w="5340" w:type="dxa"/>
            <w:shd w:val="clear" w:color="auto" w:fill="auto"/>
            <w:vAlign w:val="center"/>
          </w:tcPr>
          <w:p w14:paraId="1A407825">
            <w:pPr>
              <w:spacing w:line="320" w:lineRule="exact"/>
              <w:ind w:firstLine="420" w:firstLineChars="200"/>
              <w:rPr>
                <w:rFonts w:ascii="Calibri" w:hAnsi="微软雅黑" w:eastAsia="微软雅黑" w:cs="宋体"/>
                <w:color w:val="000000"/>
                <w:sz w:val="21"/>
                <w:szCs w:val="22"/>
              </w:rPr>
            </w:pPr>
            <w:r>
              <w:rPr>
                <w:rFonts w:hint="eastAsia" w:ascii="Calibri" w:hAnsi="微软雅黑" w:eastAsia="微软雅黑" w:cs="宋体"/>
                <w:color w:val="000000"/>
                <w:sz w:val="21"/>
                <w:szCs w:val="22"/>
              </w:rPr>
              <w:t>1、基材：采用E0级三聚氰胺饰面板。</w:t>
            </w:r>
          </w:p>
          <w:p w14:paraId="5E8F71E4">
            <w:pPr>
              <w:spacing w:line="320" w:lineRule="exact"/>
              <w:ind w:firstLine="480" w:firstLineChars="200"/>
              <w:rPr>
                <w:rFonts w:ascii="Calibri" w:hAnsi="微软雅黑" w:eastAsia="微软雅黑" w:cs="宋体"/>
                <w:color w:val="000000"/>
                <w:sz w:val="21"/>
                <w:szCs w:val="22"/>
              </w:rPr>
            </w:pPr>
            <w:r>
              <w:rPr>
                <w:rFonts w:ascii="Segoe UI Symbol" w:hAnsi="Segoe UI Symbol" w:eastAsia="宋体" w:cs="Segoe UI Symbol"/>
                <w:color w:val="C00000"/>
              </w:rPr>
              <w:t>★</w:t>
            </w:r>
            <w:r>
              <w:rPr>
                <w:rFonts w:ascii="Calibri" w:hAnsi="微软雅黑" w:eastAsia="微软雅黑" w:cs="宋体"/>
                <w:color w:val="000000"/>
                <w:sz w:val="21"/>
                <w:szCs w:val="22"/>
              </w:rPr>
              <w:t>2</w:t>
            </w:r>
            <w:r>
              <w:rPr>
                <w:rFonts w:hint="eastAsia" w:ascii="Calibri" w:hAnsi="微软雅黑" w:eastAsia="微软雅黑" w:cs="宋体"/>
                <w:color w:val="000000"/>
                <w:sz w:val="21"/>
                <w:szCs w:val="22"/>
              </w:rPr>
              <w:t>、柜体及柜门板材厚度≥15mm，采用同色≥1.0mm厚PVC封边条封边。提供板材及pvc封边条提供出厂检验报告。</w:t>
            </w:r>
          </w:p>
          <w:p w14:paraId="05F599CA">
            <w:pPr>
              <w:spacing w:line="320" w:lineRule="exact"/>
              <w:ind w:firstLine="420" w:firstLineChars="200"/>
              <w:rPr>
                <w:rFonts w:ascii="Calibri" w:hAnsi="微软雅黑" w:eastAsia="微软雅黑" w:cs="宋体"/>
                <w:color w:val="000000"/>
                <w:sz w:val="21"/>
                <w:szCs w:val="22"/>
              </w:rPr>
            </w:pPr>
            <w:r>
              <w:rPr>
                <w:rFonts w:ascii="Calibri" w:hAnsi="微软雅黑" w:eastAsia="微软雅黑" w:cs="宋体"/>
                <w:color w:val="000000"/>
                <w:sz w:val="21"/>
                <w:szCs w:val="22"/>
              </w:rPr>
              <w:t>3</w:t>
            </w:r>
            <w:r>
              <w:rPr>
                <w:rFonts w:hint="eastAsia" w:ascii="Calibri" w:hAnsi="微软雅黑" w:eastAsia="微软雅黑" w:cs="宋体"/>
                <w:color w:val="000000"/>
                <w:sz w:val="21"/>
                <w:szCs w:val="22"/>
              </w:rPr>
              <w:t>、链接件及门铰五金件采用国内优质五金件，拉手采用隐藏式拉手。</w:t>
            </w:r>
          </w:p>
        </w:tc>
      </w:tr>
      <w:tr w14:paraId="4BD523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noWrap/>
            <w:vAlign w:val="center"/>
          </w:tcPr>
          <w:p w14:paraId="00898C6D">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6</w:t>
            </w:r>
          </w:p>
        </w:tc>
        <w:tc>
          <w:tcPr>
            <w:tcW w:w="849" w:type="dxa"/>
            <w:shd w:val="clear" w:color="auto" w:fill="auto"/>
            <w:noWrap/>
            <w:vAlign w:val="center"/>
          </w:tcPr>
          <w:p w14:paraId="37DCEAEB">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茶水柜</w:t>
            </w:r>
          </w:p>
        </w:tc>
        <w:tc>
          <w:tcPr>
            <w:tcW w:w="1278" w:type="dxa"/>
            <w:shd w:val="clear" w:color="auto" w:fill="auto"/>
            <w:noWrap/>
            <w:vAlign w:val="center"/>
          </w:tcPr>
          <w:p w14:paraId="312D117D">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800*400*750</w:t>
            </w:r>
          </w:p>
        </w:tc>
        <w:tc>
          <w:tcPr>
            <w:tcW w:w="708" w:type="dxa"/>
            <w:shd w:val="clear" w:color="auto" w:fill="auto"/>
            <w:noWrap/>
            <w:vAlign w:val="center"/>
          </w:tcPr>
          <w:p w14:paraId="2904BEBB">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38</w:t>
            </w:r>
          </w:p>
        </w:tc>
        <w:tc>
          <w:tcPr>
            <w:tcW w:w="709" w:type="dxa"/>
            <w:shd w:val="clear" w:color="000000" w:fill="FFFFFF"/>
            <w:noWrap/>
            <w:vAlign w:val="center"/>
          </w:tcPr>
          <w:p w14:paraId="3615C900">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个</w:t>
            </w:r>
          </w:p>
        </w:tc>
        <w:tc>
          <w:tcPr>
            <w:tcW w:w="1134" w:type="dxa"/>
            <w:shd w:val="clear" w:color="auto" w:fill="auto"/>
            <w:noWrap/>
            <w:vAlign w:val="center"/>
          </w:tcPr>
          <w:p w14:paraId="7CCCE042">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1500</w:t>
            </w:r>
          </w:p>
        </w:tc>
        <w:tc>
          <w:tcPr>
            <w:tcW w:w="2268" w:type="dxa"/>
            <w:shd w:val="clear" w:color="auto" w:fill="auto"/>
            <w:noWrap/>
            <w:vAlign w:val="center"/>
          </w:tcPr>
          <w:p w14:paraId="37D71AAE">
            <w:pPr>
              <w:jc w:val="both"/>
              <w:rPr>
                <w:rFonts w:ascii="Calibri" w:hAnsi="微软雅黑" w:eastAsia="微软雅黑" w:cs="宋体"/>
                <w:color w:val="000000"/>
                <w:sz w:val="21"/>
                <w:szCs w:val="22"/>
              </w:rPr>
            </w:pPr>
            <w:r>
              <w:rPr>
                <w:rFonts w:hint="eastAsia" w:ascii="Calibri" w:hAnsi="微软雅黑" w:eastAsia="微软雅黑" w:cs="宋体"/>
                <w:color w:val="000000"/>
                <w:sz w:val="21"/>
                <w:szCs w:val="22"/>
              </w:rPr>
              <w:drawing>
                <wp:inline distT="0" distB="0" distL="0" distR="0">
                  <wp:extent cx="781050" cy="1009650"/>
                  <wp:effectExtent l="0" t="0" r="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785495" cy="1010920"/>
                          </a:xfrm>
                          <a:prstGeom prst="rect">
                            <a:avLst/>
                          </a:prstGeom>
                          <a:noFill/>
                          <a:ln w="9525">
                            <a:noFill/>
                          </a:ln>
                        </pic:spPr>
                      </pic:pic>
                    </a:graphicData>
                  </a:graphic>
                </wp:inline>
              </w:drawing>
            </w:r>
          </w:p>
        </w:tc>
        <w:tc>
          <w:tcPr>
            <w:tcW w:w="5340" w:type="dxa"/>
            <w:shd w:val="clear" w:color="auto" w:fill="auto"/>
            <w:vAlign w:val="center"/>
          </w:tcPr>
          <w:p w14:paraId="78491255">
            <w:pPr>
              <w:spacing w:line="320" w:lineRule="exact"/>
              <w:ind w:firstLine="420" w:firstLineChars="200"/>
              <w:rPr>
                <w:rFonts w:ascii="Calibri" w:hAnsi="微软雅黑" w:eastAsia="微软雅黑" w:cs="宋体"/>
                <w:color w:val="000000"/>
                <w:sz w:val="21"/>
                <w:szCs w:val="22"/>
              </w:rPr>
            </w:pPr>
            <w:r>
              <w:rPr>
                <w:rFonts w:hint="eastAsia" w:ascii="Calibri" w:hAnsi="微软雅黑" w:eastAsia="微软雅黑" w:cs="宋体"/>
                <w:color w:val="000000"/>
                <w:sz w:val="21"/>
                <w:szCs w:val="22"/>
              </w:rPr>
              <w:t>1、双门双抽。</w:t>
            </w:r>
          </w:p>
          <w:p w14:paraId="05F27459">
            <w:pPr>
              <w:spacing w:line="320" w:lineRule="exact"/>
              <w:ind w:firstLine="420" w:firstLineChars="200"/>
              <w:rPr>
                <w:rFonts w:ascii="Calibri" w:hAnsi="微软雅黑" w:eastAsia="微软雅黑" w:cs="宋体"/>
                <w:color w:val="000000"/>
                <w:sz w:val="21"/>
                <w:szCs w:val="22"/>
              </w:rPr>
            </w:pPr>
            <w:r>
              <w:rPr>
                <w:rFonts w:hint="eastAsia" w:ascii="Calibri" w:hAnsi="微软雅黑" w:eastAsia="微软雅黑" w:cs="宋体"/>
                <w:color w:val="000000"/>
                <w:sz w:val="21"/>
                <w:szCs w:val="22"/>
              </w:rPr>
              <w:t>2、基材：采用E0级三聚氰胺饰面板。</w:t>
            </w:r>
          </w:p>
          <w:p w14:paraId="6743268D">
            <w:pPr>
              <w:spacing w:line="320" w:lineRule="exact"/>
              <w:ind w:firstLine="480" w:firstLineChars="200"/>
              <w:rPr>
                <w:rFonts w:ascii="Calibri" w:hAnsi="微软雅黑" w:eastAsia="微软雅黑" w:cs="宋体"/>
                <w:color w:val="000000"/>
                <w:sz w:val="21"/>
                <w:szCs w:val="22"/>
              </w:rPr>
            </w:pPr>
            <w:r>
              <w:rPr>
                <w:rFonts w:ascii="Segoe UI Symbol" w:hAnsi="Segoe UI Symbol" w:eastAsia="宋体" w:cs="Segoe UI Symbol"/>
                <w:color w:val="C00000"/>
              </w:rPr>
              <w:t>★</w:t>
            </w:r>
            <w:r>
              <w:rPr>
                <w:rFonts w:ascii="Calibri" w:hAnsi="微软雅黑" w:eastAsia="微软雅黑" w:cs="宋体"/>
                <w:color w:val="000000"/>
                <w:sz w:val="21"/>
                <w:szCs w:val="22"/>
              </w:rPr>
              <w:t>3</w:t>
            </w:r>
            <w:r>
              <w:rPr>
                <w:rFonts w:hint="eastAsia" w:ascii="Calibri" w:hAnsi="微软雅黑" w:eastAsia="微软雅黑" w:cs="宋体"/>
                <w:color w:val="000000"/>
                <w:sz w:val="21"/>
                <w:szCs w:val="22"/>
              </w:rPr>
              <w:t>、柜体及柜门板材厚度≥15mm，采用同色≥1.0mm厚PVC封边条封边。提供板材及pvc封边条提供出厂检验报告。</w:t>
            </w:r>
          </w:p>
          <w:p w14:paraId="52276186">
            <w:pPr>
              <w:spacing w:line="320" w:lineRule="exact"/>
              <w:ind w:firstLine="420" w:firstLineChars="200"/>
              <w:rPr>
                <w:rFonts w:ascii="Calibri" w:hAnsi="微软雅黑" w:eastAsia="微软雅黑" w:cs="宋体"/>
                <w:color w:val="000000"/>
                <w:sz w:val="21"/>
                <w:szCs w:val="22"/>
              </w:rPr>
            </w:pPr>
            <w:r>
              <w:rPr>
                <w:rFonts w:ascii="Calibri" w:hAnsi="微软雅黑" w:eastAsia="微软雅黑" w:cs="宋体"/>
                <w:color w:val="000000"/>
                <w:sz w:val="21"/>
                <w:szCs w:val="22"/>
              </w:rPr>
              <w:t>4</w:t>
            </w:r>
            <w:r>
              <w:rPr>
                <w:rFonts w:hint="eastAsia" w:ascii="Calibri" w:hAnsi="微软雅黑" w:eastAsia="微软雅黑" w:cs="宋体"/>
                <w:color w:val="000000"/>
                <w:sz w:val="21"/>
                <w:szCs w:val="22"/>
              </w:rPr>
              <w:t>、链接件及门铰五金件采用国内优质五金件，铝合金拉手，铝合金门框，钢化玻璃，厚度≥5mm。</w:t>
            </w:r>
          </w:p>
        </w:tc>
      </w:tr>
      <w:tr w14:paraId="12E272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52" w:type="dxa"/>
            <w:shd w:val="clear" w:color="auto" w:fill="auto"/>
            <w:noWrap/>
            <w:vAlign w:val="center"/>
          </w:tcPr>
          <w:p w14:paraId="4AB16D79">
            <w:pPr>
              <w:spacing w:line="320" w:lineRule="exact"/>
              <w:jc w:val="both"/>
              <w:rPr>
                <w:rFonts w:ascii="Calibri" w:hAnsi="微软雅黑" w:eastAsia="微软雅黑" w:cs="宋体"/>
                <w:b/>
                <w:bCs/>
                <w:color w:val="000000"/>
                <w:sz w:val="21"/>
              </w:rPr>
            </w:pPr>
            <w:r>
              <w:rPr>
                <w:rFonts w:ascii="Calibri" w:hAnsi="微软雅黑" w:eastAsia="微软雅黑" w:cs="宋体"/>
                <w:b/>
                <w:bCs/>
                <w:color w:val="000000"/>
                <w:sz w:val="21"/>
              </w:rPr>
              <w:t>7</w:t>
            </w:r>
          </w:p>
        </w:tc>
        <w:tc>
          <w:tcPr>
            <w:tcW w:w="849" w:type="dxa"/>
            <w:shd w:val="clear" w:color="auto" w:fill="auto"/>
            <w:noWrap/>
            <w:vAlign w:val="center"/>
          </w:tcPr>
          <w:p w14:paraId="13C1958C">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沙发</w:t>
            </w:r>
          </w:p>
        </w:tc>
        <w:tc>
          <w:tcPr>
            <w:tcW w:w="1278" w:type="dxa"/>
            <w:shd w:val="clear" w:color="auto" w:fill="auto"/>
            <w:vAlign w:val="center"/>
          </w:tcPr>
          <w:p w14:paraId="0492E67E">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3人位（2180*860*900MM）</w:t>
            </w:r>
          </w:p>
        </w:tc>
        <w:tc>
          <w:tcPr>
            <w:tcW w:w="708" w:type="dxa"/>
            <w:shd w:val="clear" w:color="auto" w:fill="auto"/>
            <w:noWrap/>
            <w:vAlign w:val="center"/>
          </w:tcPr>
          <w:p w14:paraId="12A11FF5">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12</w:t>
            </w:r>
          </w:p>
        </w:tc>
        <w:tc>
          <w:tcPr>
            <w:tcW w:w="709" w:type="dxa"/>
            <w:shd w:val="clear" w:color="auto" w:fill="auto"/>
            <w:noWrap/>
            <w:vAlign w:val="center"/>
          </w:tcPr>
          <w:p w14:paraId="4A53A59D">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节</w:t>
            </w:r>
          </w:p>
        </w:tc>
        <w:tc>
          <w:tcPr>
            <w:tcW w:w="1134" w:type="dxa"/>
            <w:shd w:val="clear" w:color="auto" w:fill="auto"/>
            <w:noWrap/>
            <w:vAlign w:val="center"/>
          </w:tcPr>
          <w:p w14:paraId="060546F0">
            <w:pPr>
              <w:spacing w:line="320" w:lineRule="exact"/>
              <w:jc w:val="both"/>
              <w:rPr>
                <w:rFonts w:ascii="Calibri" w:hAnsi="微软雅黑" w:eastAsia="微软雅黑" w:cs="宋体"/>
                <w:b/>
                <w:bCs/>
                <w:color w:val="000000"/>
                <w:sz w:val="21"/>
              </w:rPr>
            </w:pPr>
            <w:r>
              <w:rPr>
                <w:rFonts w:hint="eastAsia" w:ascii="Calibri" w:hAnsi="微软雅黑" w:eastAsia="微软雅黑" w:cs="宋体"/>
                <w:b/>
                <w:bCs/>
                <w:color w:val="000000"/>
                <w:sz w:val="21"/>
              </w:rPr>
              <w:t>2000</w:t>
            </w:r>
          </w:p>
        </w:tc>
        <w:tc>
          <w:tcPr>
            <w:tcW w:w="2268" w:type="dxa"/>
            <w:shd w:val="clear" w:color="auto" w:fill="auto"/>
            <w:noWrap/>
            <w:vAlign w:val="center"/>
          </w:tcPr>
          <w:p w14:paraId="0F6BD1B7">
            <w:pPr>
              <w:jc w:val="both"/>
              <w:rPr>
                <w:rFonts w:ascii="Calibri" w:hAnsi="微软雅黑" w:eastAsia="微软雅黑" w:cs="宋体"/>
                <w:color w:val="000000"/>
                <w:sz w:val="21"/>
                <w:szCs w:val="22"/>
              </w:rPr>
            </w:pPr>
            <w:r>
              <w:rPr>
                <w:rFonts w:hint="eastAsia" w:ascii="Calibri" w:hAnsi="微软雅黑" w:eastAsia="微软雅黑" w:cs="宋体"/>
                <w:color w:val="000000"/>
                <w:sz w:val="21"/>
                <w:szCs w:val="22"/>
              </w:rPr>
              <w:drawing>
                <wp:inline distT="0" distB="0" distL="0" distR="0">
                  <wp:extent cx="1285875" cy="685800"/>
                  <wp:effectExtent l="0" t="0" r="9525"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0" y="0"/>
                            <a:ext cx="1289539" cy="687754"/>
                          </a:xfrm>
                          <a:prstGeom prst="rect">
                            <a:avLst/>
                          </a:prstGeom>
                          <a:noFill/>
                          <a:ln w="9525">
                            <a:noFill/>
                          </a:ln>
                        </pic:spPr>
                      </pic:pic>
                    </a:graphicData>
                  </a:graphic>
                </wp:inline>
              </w:drawing>
            </w:r>
          </w:p>
        </w:tc>
        <w:tc>
          <w:tcPr>
            <w:tcW w:w="5340" w:type="dxa"/>
            <w:shd w:val="clear" w:color="000000" w:fill="FFFFFF"/>
            <w:vAlign w:val="center"/>
          </w:tcPr>
          <w:p w14:paraId="796EF8E7">
            <w:pPr>
              <w:spacing w:line="320" w:lineRule="exact"/>
              <w:ind w:firstLine="420" w:firstLineChars="200"/>
              <w:rPr>
                <w:rFonts w:ascii="Calibri" w:hAnsi="微软雅黑" w:eastAsia="微软雅黑" w:cs="宋体"/>
                <w:color w:val="000000"/>
                <w:sz w:val="21"/>
                <w:szCs w:val="22"/>
              </w:rPr>
            </w:pPr>
            <w:r>
              <w:rPr>
                <w:rFonts w:hint="eastAsia" w:ascii="Calibri" w:hAnsi="微软雅黑" w:eastAsia="微软雅黑" w:cs="宋体"/>
                <w:color w:val="000000"/>
                <w:sz w:val="21"/>
                <w:szCs w:val="22"/>
              </w:rPr>
              <w:t>1、沙发面料：采用优质西皮，纹理清晰，光泽度好，透气性好，柔软而富有弹性表面具有耐磨耐刮，易于清洁等特点。</w:t>
            </w:r>
          </w:p>
          <w:p w14:paraId="76EF736A">
            <w:pPr>
              <w:spacing w:line="320" w:lineRule="exact"/>
              <w:ind w:firstLine="480" w:firstLineChars="200"/>
              <w:rPr>
                <w:rFonts w:ascii="Calibri" w:hAnsi="微软雅黑" w:eastAsia="微软雅黑" w:cs="宋体"/>
                <w:color w:val="000000"/>
                <w:sz w:val="21"/>
                <w:szCs w:val="22"/>
              </w:rPr>
            </w:pPr>
            <w:r>
              <w:rPr>
                <w:rFonts w:ascii="Segoe UI Symbol" w:hAnsi="Segoe UI Symbol" w:eastAsia="宋体" w:cs="Segoe UI Symbol"/>
                <w:color w:val="C00000"/>
              </w:rPr>
              <w:t>★</w:t>
            </w:r>
            <w:r>
              <w:rPr>
                <w:rFonts w:hint="eastAsia" w:ascii="Calibri" w:hAnsi="微软雅黑" w:eastAsia="微软雅黑" w:cs="宋体"/>
                <w:color w:val="000000"/>
                <w:sz w:val="21"/>
                <w:szCs w:val="22"/>
              </w:rPr>
              <w:t>2、海绵：采用高密度回弹海绵，耐冲击，回弹力强；提供出厂检验报告。</w:t>
            </w:r>
          </w:p>
          <w:p w14:paraId="41302201">
            <w:pPr>
              <w:spacing w:line="320" w:lineRule="exact"/>
              <w:ind w:firstLine="420" w:firstLineChars="200"/>
              <w:rPr>
                <w:rFonts w:ascii="Calibri" w:hAnsi="微软雅黑" w:eastAsia="微软雅黑" w:cs="宋体"/>
                <w:color w:val="000000"/>
                <w:sz w:val="21"/>
                <w:szCs w:val="22"/>
              </w:rPr>
            </w:pPr>
            <w:r>
              <w:rPr>
                <w:rFonts w:hint="eastAsia" w:ascii="Calibri" w:hAnsi="微软雅黑" w:eastAsia="微软雅黑" w:cs="宋体"/>
                <w:color w:val="000000"/>
                <w:sz w:val="21"/>
                <w:szCs w:val="22"/>
              </w:rPr>
              <w:t>3、内部框架：采用实木多层板实木框架，蛇形弹簧及绷带进行支撑，经久耐用。</w:t>
            </w:r>
          </w:p>
          <w:p w14:paraId="3659175F">
            <w:pPr>
              <w:spacing w:line="320" w:lineRule="exact"/>
              <w:ind w:firstLine="420" w:firstLineChars="200"/>
              <w:rPr>
                <w:rFonts w:ascii="Calibri" w:hAnsi="微软雅黑" w:eastAsia="微软雅黑" w:cs="宋体"/>
                <w:color w:val="000000"/>
                <w:sz w:val="21"/>
                <w:szCs w:val="22"/>
              </w:rPr>
            </w:pPr>
            <w:r>
              <w:rPr>
                <w:rFonts w:hint="eastAsia" w:ascii="Calibri" w:hAnsi="微软雅黑" w:eastAsia="微软雅黑" w:cs="宋体"/>
                <w:color w:val="000000"/>
                <w:sz w:val="21"/>
                <w:szCs w:val="22"/>
              </w:rPr>
              <w:t>4、沙发脚：采用优质钢脚。</w:t>
            </w:r>
          </w:p>
        </w:tc>
      </w:tr>
    </w:tbl>
    <w:p w14:paraId="1C8888A0">
      <w:pPr>
        <w:pStyle w:val="3"/>
        <w:jc w:val="both"/>
      </w:pPr>
      <w:r>
        <w:rPr>
          <w:rFonts w:hint="eastAsia"/>
        </w:rPr>
        <w:t>四、商务要求</w:t>
      </w:r>
    </w:p>
    <w:p w14:paraId="3CFCD3BA">
      <w:pPr>
        <w:jc w:val="both"/>
      </w:pPr>
      <w:r>
        <w:rPr>
          <w:rFonts w:hint="eastAsia"/>
        </w:rPr>
        <w:t>（一）交付期：自合同签订之日起10个日历日完成</w:t>
      </w:r>
      <w:r>
        <w:t>项目</w:t>
      </w:r>
      <w:r>
        <w:rPr>
          <w:rFonts w:hint="eastAsia"/>
        </w:rPr>
        <w:t>全部内容</w:t>
      </w:r>
      <w:r>
        <w:t>并</w:t>
      </w:r>
      <w:r>
        <w:rPr>
          <w:rFonts w:hint="eastAsia"/>
        </w:rPr>
        <w:t>经</w:t>
      </w:r>
      <w:r>
        <w:t>采购人验收合格</w:t>
      </w:r>
      <w:r>
        <w:rPr>
          <w:rFonts w:hint="eastAsia"/>
        </w:rPr>
        <w:t>。</w:t>
      </w:r>
    </w:p>
    <w:p w14:paraId="28C5A625">
      <w:pPr>
        <w:jc w:val="both"/>
      </w:pPr>
      <w:r>
        <w:rPr>
          <w:rFonts w:hint="eastAsia"/>
        </w:rPr>
        <w:t>（二）质保期：自验收合格之日起一年。</w:t>
      </w:r>
    </w:p>
    <w:p w14:paraId="220B5AB6">
      <w:pPr>
        <w:pStyle w:val="81"/>
        <w:ind w:firstLine="480"/>
        <w:sectPr>
          <w:footerReference r:id="rId13" w:type="default"/>
          <w:footerReference r:id="rId14" w:type="even"/>
          <w:pgSz w:w="16838" w:h="11906" w:orient="landscape"/>
          <w:pgMar w:top="1418" w:right="1418" w:bottom="1418" w:left="1418" w:header="851" w:footer="992" w:gutter="0"/>
          <w:cols w:space="425" w:num="1"/>
          <w:docGrid w:type="linesAndChars" w:linePitch="460" w:charSpace="0"/>
        </w:sectPr>
      </w:pPr>
    </w:p>
    <w:p w14:paraId="709B31DD">
      <w:pPr>
        <w:keepNext/>
        <w:numPr>
          <w:ilvl w:val="0"/>
          <w:numId w:val="1"/>
        </w:numPr>
        <w:spacing w:before="230" w:beforeLines="50" w:after="230" w:afterLines="50"/>
        <w:jc w:val="center"/>
        <w:outlineLvl w:val="0"/>
        <w:rPr>
          <w:rFonts w:ascii="Calibri" w:hAnsi="Calibri" w:eastAsia="黑体"/>
          <w:bCs/>
          <w:kern w:val="36"/>
          <w:sz w:val="32"/>
          <w:szCs w:val="32"/>
        </w:rPr>
      </w:pPr>
      <w:bookmarkStart w:id="12" w:name="_Toc232607415"/>
      <w:bookmarkStart w:id="13" w:name="_Toc234572937"/>
      <w:r>
        <w:rPr>
          <w:rFonts w:hint="eastAsia" w:ascii="Calibri" w:hAnsi="Calibri" w:eastAsia="黑体"/>
          <w:bCs/>
          <w:kern w:val="36"/>
          <w:sz w:val="32"/>
          <w:szCs w:val="32"/>
        </w:rPr>
        <w:t>第四章　合同草案条款</w:t>
      </w:r>
      <w:bookmarkEnd w:id="12"/>
      <w:bookmarkEnd w:id="13"/>
    </w:p>
    <w:p w14:paraId="353233DE">
      <w:pPr>
        <w:jc w:val="center"/>
        <w:rPr>
          <w:color w:val="C00000"/>
        </w:rPr>
      </w:pPr>
      <w:r>
        <w:rPr>
          <w:rFonts w:hint="eastAsia"/>
          <w:color w:val="C00000"/>
        </w:rPr>
        <w:t>（本合同为中小企业预留合同）</w:t>
      </w:r>
    </w:p>
    <w:p w14:paraId="0CD4CBF2">
      <w:pPr>
        <w:spacing w:before="230" w:beforeLines="50"/>
        <w:ind w:firstLine="480" w:firstLineChars="200"/>
        <w:jc w:val="both"/>
        <w:rPr>
          <w:b/>
        </w:rPr>
      </w:pPr>
      <w:r>
        <w:rPr>
          <w:b/>
        </w:rPr>
        <w:t>甲方（采购人）：</w:t>
      </w:r>
      <w:r>
        <w:rPr>
          <w:color w:val="C00000"/>
        </w:rPr>
        <w:t>_________________</w:t>
      </w:r>
    </w:p>
    <w:p w14:paraId="5AA0C2AD">
      <w:pPr>
        <w:ind w:firstLine="480" w:firstLineChars="200"/>
        <w:jc w:val="both"/>
        <w:rPr>
          <w:b/>
        </w:rPr>
      </w:pPr>
      <w:r>
        <w:rPr>
          <w:b/>
        </w:rPr>
        <w:t>乙方（成交供应商）：</w:t>
      </w:r>
      <w:r>
        <w:rPr>
          <w:color w:val="C00000"/>
        </w:rPr>
        <w:t>_____________</w:t>
      </w:r>
    </w:p>
    <w:p w14:paraId="645956CA">
      <w:pPr>
        <w:spacing w:before="230" w:beforeLines="50"/>
        <w:jc w:val="both"/>
        <w:rPr>
          <w:rFonts w:cs="Calibri Light"/>
          <w:b/>
        </w:rPr>
      </w:pPr>
      <w:r>
        <w:rPr>
          <w:rFonts w:cs="Calibri Light"/>
          <w:b/>
        </w:rPr>
        <w:t>一、供货条件：</w:t>
      </w:r>
    </w:p>
    <w:p w14:paraId="52636B75">
      <w:pPr>
        <w:ind w:firstLine="480" w:firstLineChars="200"/>
        <w:jc w:val="both"/>
      </w:pPr>
      <w:r>
        <w:rPr>
          <w:rFonts w:hint="eastAsia"/>
        </w:rPr>
        <w:t>（一</w:t>
      </w:r>
      <w:r>
        <w:t>）</w:t>
      </w:r>
      <w:r>
        <w:rPr>
          <w:rFonts w:hint="eastAsia"/>
        </w:rPr>
        <w:t>交付期：</w:t>
      </w:r>
      <w:r>
        <w:rPr>
          <w:color w:val="C00000"/>
        </w:rPr>
        <w:t>_________________</w:t>
      </w:r>
    </w:p>
    <w:p w14:paraId="4B1E4CCE">
      <w:pPr>
        <w:ind w:firstLine="480" w:firstLineChars="200"/>
        <w:jc w:val="both"/>
      </w:pPr>
      <w:r>
        <w:rPr>
          <w:rFonts w:hint="eastAsia"/>
        </w:rPr>
        <w:t>（二</w:t>
      </w:r>
      <w:r>
        <w:t>）</w:t>
      </w:r>
      <w:r>
        <w:rPr>
          <w:rFonts w:hint="eastAsia"/>
        </w:rPr>
        <w:t>质保期</w:t>
      </w:r>
      <w:r>
        <w:t>：</w:t>
      </w:r>
      <w:r>
        <w:rPr>
          <w:color w:val="C00000"/>
        </w:rPr>
        <w:t>_________________</w:t>
      </w:r>
    </w:p>
    <w:p w14:paraId="64756ADA">
      <w:pPr>
        <w:spacing w:before="230" w:beforeLines="50"/>
        <w:jc w:val="both"/>
        <w:rPr>
          <w:rFonts w:cs="Calibri Light"/>
          <w:b/>
        </w:rPr>
      </w:pPr>
      <w:r>
        <w:rPr>
          <w:rFonts w:cs="Calibri Light"/>
          <w:b/>
        </w:rPr>
        <w:t>二、合同价款</w:t>
      </w:r>
    </w:p>
    <w:p w14:paraId="64F53157">
      <w:pPr>
        <w:ind w:firstLine="480" w:firstLineChars="200"/>
        <w:jc w:val="both"/>
      </w:pPr>
      <w:r>
        <w:t>（一）本合同项下总价款为人民币_________元（小写，精确到小数点后两位），即__________（大写）。合同履行期间，合同总价固定不变，不受市场价格变化因素的影响。</w:t>
      </w:r>
    </w:p>
    <w:p w14:paraId="2D72C700">
      <w:pPr>
        <w:ind w:firstLine="480" w:firstLineChars="200"/>
        <w:jc w:val="both"/>
      </w:pPr>
      <w:r>
        <w:t>（二）总报价包括完成本项目所需的原材料成本、设计费、运杂费（含保险费用）、安装调试费、售后服务费、备品备件费、人工费、税金及合理利润等全部费用。采购人不再额外承担其他任何费用。</w:t>
      </w:r>
    </w:p>
    <w:p w14:paraId="27491029">
      <w:pPr>
        <w:ind w:firstLine="480" w:firstLineChars="200"/>
        <w:jc w:val="both"/>
      </w:pPr>
      <w:r>
        <w:t>（三）伴随服务（费用包含在总报价内）：全部设备的技术设计、运输、安装调试、摆放位置或地点变更、人员培训、售后服务、含税等费用。</w:t>
      </w:r>
    </w:p>
    <w:p w14:paraId="38FDC179">
      <w:pPr>
        <w:spacing w:before="230" w:beforeLines="50"/>
        <w:jc w:val="both"/>
        <w:rPr>
          <w:rFonts w:cs="Calibri Light"/>
          <w:b/>
        </w:rPr>
      </w:pPr>
      <w:r>
        <w:rPr>
          <w:rFonts w:cs="Calibri Light"/>
          <w:b/>
        </w:rPr>
        <w:t>三、款项结算</w:t>
      </w:r>
    </w:p>
    <w:p w14:paraId="79F40ADB">
      <w:pPr>
        <w:wordWrap w:val="0"/>
        <w:ind w:firstLine="480" w:firstLineChars="200"/>
        <w:jc w:val="both"/>
      </w:pPr>
      <w:r>
        <w:t>（一）付款进度：</w:t>
      </w:r>
      <w:r>
        <w:rPr>
          <w:rFonts w:hint="eastAsia"/>
        </w:rPr>
        <w:t>合同签定后7个工作日内支付合同总价款的40%，经甲方验收合格之日起</w:t>
      </w:r>
      <w:r>
        <w:t>10</w:t>
      </w:r>
      <w:r>
        <w:rPr>
          <w:rFonts w:hint="eastAsia"/>
        </w:rPr>
        <w:t>个</w:t>
      </w:r>
      <w:r>
        <w:t>日历日</w:t>
      </w:r>
      <w:r>
        <w:rPr>
          <w:rFonts w:hint="eastAsia"/>
        </w:rPr>
        <w:t>内，甲方向乙方支付合同总价款剩余的60%。乙方应在甲方支付验收款前向甲方开具合法有效的增值税发票。甲方收到发票并核验无误后支付验收款。乙方未按要求提供发票的，甲方有权顺延付款且不承担违约责任。</w:t>
      </w:r>
    </w:p>
    <w:p w14:paraId="225173D7">
      <w:pPr>
        <w:wordWrap w:val="0"/>
        <w:ind w:firstLine="480" w:firstLineChars="200"/>
        <w:jc w:val="both"/>
      </w:pPr>
      <w:r>
        <w:t>（二）支付方式：银行转账。</w:t>
      </w:r>
    </w:p>
    <w:p w14:paraId="29D5B162">
      <w:pPr>
        <w:wordWrap w:val="0"/>
        <w:ind w:firstLine="480" w:firstLineChars="200"/>
        <w:jc w:val="both"/>
      </w:pPr>
      <w:r>
        <w:t>（三）结算方式：乙方持成交通知书、政府采购合同、发票、政府采购项目验收单，与甲方结算。</w:t>
      </w:r>
    </w:p>
    <w:p w14:paraId="0602D1E0">
      <w:pPr>
        <w:spacing w:before="230" w:beforeLines="50"/>
        <w:jc w:val="both"/>
        <w:rPr>
          <w:rFonts w:cs="Calibri Light"/>
          <w:b/>
        </w:rPr>
      </w:pPr>
      <w:r>
        <w:rPr>
          <w:rFonts w:cs="Calibri Light"/>
          <w:b/>
        </w:rPr>
        <w:t>四、双方的权利和义务</w:t>
      </w:r>
    </w:p>
    <w:p w14:paraId="353A269D">
      <w:pPr>
        <w:wordWrap w:val="0"/>
        <w:ind w:firstLine="480" w:firstLineChars="200"/>
        <w:jc w:val="both"/>
        <w:rPr>
          <w:b/>
          <w:vanish/>
        </w:rPr>
      </w:pPr>
      <w:r>
        <w:rPr>
          <w:b/>
        </w:rPr>
        <w:t>（一）甲方的权利和义务</w:t>
      </w:r>
    </w:p>
    <w:p w14:paraId="12E81D45">
      <w:pPr>
        <w:widowControl w:val="0"/>
        <w:wordWrap w:val="0"/>
        <w:spacing w:line="400" w:lineRule="exact"/>
        <w:ind w:firstLine="480" w:firstLineChars="200"/>
        <w:jc w:val="both"/>
      </w:pPr>
      <w:r>
        <w:rPr>
          <w:rFonts w:hint="eastAsia"/>
        </w:rPr>
        <w:t>1.甲方有权根据谈判文件及乙方响应文件，对乙方提供的货物及服务进行监督、检查和验收。</w:t>
      </w:r>
    </w:p>
    <w:p w14:paraId="6DB79770">
      <w:pPr>
        <w:widowControl w:val="0"/>
        <w:wordWrap w:val="0"/>
        <w:spacing w:line="400" w:lineRule="exact"/>
        <w:ind w:firstLine="480" w:firstLineChars="200"/>
        <w:jc w:val="both"/>
      </w:pPr>
      <w:r>
        <w:rPr>
          <w:rFonts w:hint="eastAsia"/>
        </w:rPr>
        <w:t>2.甲方有权要求乙方按时交付符合质量标准的货物，并提供合同约定的技术服务与培训。</w:t>
      </w:r>
    </w:p>
    <w:p w14:paraId="37398672">
      <w:pPr>
        <w:widowControl w:val="0"/>
        <w:wordWrap w:val="0"/>
        <w:spacing w:line="400" w:lineRule="exact"/>
        <w:ind w:firstLine="480" w:firstLineChars="200"/>
        <w:jc w:val="both"/>
      </w:pPr>
      <w:r>
        <w:rPr>
          <w:rFonts w:hint="eastAsia"/>
        </w:rPr>
        <w:t>3.甲方应按照合同约定的时间和方式，向乙方支付合同款项。</w:t>
      </w:r>
    </w:p>
    <w:p w14:paraId="34E7867A">
      <w:pPr>
        <w:widowControl w:val="0"/>
        <w:wordWrap w:val="0"/>
        <w:ind w:firstLine="480" w:firstLineChars="200"/>
        <w:jc w:val="both"/>
      </w:pPr>
      <w:r>
        <w:rPr>
          <w:rFonts w:hint="eastAsia"/>
        </w:rPr>
        <w:t>4.甲方应为乙方提供必要的现场安装调试条件，包括但不限于提供存放场地等。</w:t>
      </w:r>
    </w:p>
    <w:p w14:paraId="311EBF9A">
      <w:pPr>
        <w:widowControl w:val="0"/>
        <w:wordWrap w:val="0"/>
        <w:ind w:firstLine="480" w:firstLineChars="200"/>
        <w:jc w:val="both"/>
        <w:rPr>
          <w:b/>
        </w:rPr>
      </w:pPr>
      <w:r>
        <w:rPr>
          <w:b/>
        </w:rPr>
        <w:t>（二）乙方的权利和义务</w:t>
      </w:r>
    </w:p>
    <w:p w14:paraId="03A94327">
      <w:pPr>
        <w:widowControl w:val="0"/>
        <w:wordWrap w:val="0"/>
        <w:spacing w:line="400" w:lineRule="exact"/>
        <w:ind w:firstLine="480" w:firstLineChars="200"/>
        <w:jc w:val="both"/>
      </w:pPr>
      <w:r>
        <w:rPr>
          <w:rFonts w:hint="eastAsia"/>
        </w:rPr>
        <w:t>1.乙方有权按照合同约定收取合同款项。</w:t>
      </w:r>
    </w:p>
    <w:p w14:paraId="0F81D83B">
      <w:pPr>
        <w:widowControl w:val="0"/>
        <w:wordWrap w:val="0"/>
        <w:spacing w:line="400" w:lineRule="exact"/>
        <w:ind w:firstLine="480" w:firstLineChars="200"/>
        <w:jc w:val="both"/>
      </w:pPr>
      <w:r>
        <w:rPr>
          <w:rFonts w:hint="eastAsia"/>
        </w:rPr>
        <w:t>2.乙方应保证所供货物均为全新、未使用过的原厂合格产品，且完全符合谈判文件及响应文件中的技术参数、规格和性能要求。</w:t>
      </w:r>
    </w:p>
    <w:p w14:paraId="03511798">
      <w:pPr>
        <w:widowControl w:val="0"/>
        <w:wordWrap w:val="0"/>
        <w:spacing w:line="400" w:lineRule="exact"/>
        <w:ind w:firstLine="480" w:firstLineChars="200"/>
        <w:jc w:val="both"/>
      </w:pPr>
      <w:r>
        <w:rPr>
          <w:rFonts w:hint="eastAsia"/>
        </w:rPr>
        <w:t>3.乙方应按照合同约定的交付期，完成全部货物的供货、安装、调试等全部事项，并确保系统稳定运行。</w:t>
      </w:r>
    </w:p>
    <w:p w14:paraId="5902D29F">
      <w:pPr>
        <w:widowControl w:val="0"/>
        <w:wordWrap w:val="0"/>
        <w:spacing w:line="400" w:lineRule="exact"/>
        <w:ind w:firstLine="480" w:firstLineChars="200"/>
        <w:jc w:val="both"/>
      </w:pPr>
      <w:r>
        <w:rPr>
          <w:rFonts w:hint="eastAsia"/>
        </w:rPr>
        <w:t>4.乙方应提供原厂标准质保服务及谈判文件要求的其他伴随服务（如培训、技术支持等）。</w:t>
      </w:r>
    </w:p>
    <w:p w14:paraId="5C5704A4">
      <w:pPr>
        <w:widowControl w:val="0"/>
        <w:wordWrap w:val="0"/>
        <w:ind w:firstLine="480" w:firstLineChars="200"/>
        <w:jc w:val="both"/>
      </w:pPr>
      <w:r>
        <w:rPr>
          <w:rFonts w:hint="eastAsia"/>
        </w:rPr>
        <w:t>5.乙方保证其提供的货物、技术及服务不侵犯任何第三方的知识产权、商业秘密或其他合法权益，否则乙方应承担全部责任并赔偿甲方因此遭受的全部损失。</w:t>
      </w:r>
    </w:p>
    <w:p w14:paraId="1159E11F">
      <w:pPr>
        <w:spacing w:before="230" w:beforeLines="50"/>
        <w:jc w:val="both"/>
        <w:rPr>
          <w:rFonts w:cs="Calibri Light"/>
          <w:b/>
        </w:rPr>
      </w:pPr>
      <w:r>
        <w:rPr>
          <w:rFonts w:cs="Calibri Light"/>
          <w:b/>
        </w:rPr>
        <w:t>五、知识产权及承诺</w:t>
      </w:r>
    </w:p>
    <w:p w14:paraId="401E1810">
      <w:pPr>
        <w:wordWrap w:val="0"/>
        <w:spacing w:line="400" w:lineRule="exact"/>
        <w:ind w:firstLine="480" w:firstLineChars="200"/>
        <w:jc w:val="both"/>
      </w:pPr>
      <w:r>
        <w:rPr>
          <w:rFonts w:hint="eastAsia"/>
        </w:rPr>
        <w:t>（一）乙方保证所提供的货物或其任何一部分均不会侵犯任何第三方的专利权、商标权、著作权或其他合法权益。如有第三方主张侵权，乙方应负责处理并承担由此产生的一切法律和经济责任，并赔偿甲方因此遭受的全部损失。</w:t>
      </w:r>
    </w:p>
    <w:p w14:paraId="5D8DE152">
      <w:pPr>
        <w:wordWrap w:val="0"/>
        <w:ind w:firstLine="480" w:firstLineChars="200"/>
        <w:jc w:val="both"/>
      </w:pPr>
      <w:r>
        <w:rPr>
          <w:rFonts w:hint="eastAsia"/>
        </w:rPr>
        <w:t>（二）经甲乙双方协商一致，本项目产生的知识产权归甲方拥有。乙方有义务配合甲方办理相关的知识产权登记或备案手续。</w:t>
      </w:r>
    </w:p>
    <w:p w14:paraId="2709F9E1">
      <w:pPr>
        <w:spacing w:before="230" w:beforeLines="50"/>
        <w:jc w:val="both"/>
        <w:rPr>
          <w:rFonts w:cs="Calibri Light"/>
          <w:b/>
        </w:rPr>
      </w:pPr>
      <w:r>
        <w:rPr>
          <w:rFonts w:hint="eastAsia" w:cs="Calibri Light"/>
          <w:b/>
        </w:rPr>
        <w:t>六</w:t>
      </w:r>
      <w:r>
        <w:rPr>
          <w:rFonts w:cs="Calibri Light"/>
          <w:b/>
        </w:rPr>
        <w:t>、包装</w:t>
      </w:r>
      <w:r>
        <w:rPr>
          <w:rFonts w:hint="eastAsia" w:cs="Calibri Light"/>
          <w:b/>
        </w:rPr>
        <w:t>和</w:t>
      </w:r>
      <w:r>
        <w:rPr>
          <w:rFonts w:cs="Calibri Light"/>
          <w:b/>
        </w:rPr>
        <w:t>运输</w:t>
      </w:r>
    </w:p>
    <w:p w14:paraId="44C40694">
      <w:pPr>
        <w:wordWrap w:val="0"/>
        <w:ind w:firstLine="480" w:firstLineChars="200"/>
        <w:jc w:val="both"/>
      </w:pPr>
      <w:r>
        <w:rPr>
          <w:rFonts w:hint="eastAsia"/>
        </w:rPr>
        <w:t>（一）产品及其备附件的包装应为出厂时的原包装，包装内应附有详细的装箱清单、出厂合格证明及其他相关资料。</w:t>
      </w:r>
    </w:p>
    <w:p w14:paraId="2F3D2D70">
      <w:pPr>
        <w:wordWrap w:val="0"/>
        <w:ind w:firstLine="480" w:firstLineChars="200"/>
        <w:jc w:val="both"/>
      </w:pPr>
      <w:r>
        <w:rPr>
          <w:rFonts w:hint="eastAsia"/>
        </w:rPr>
        <w:t>（二）运输由乙方负责，运杂费已包含在合同价款内，包括从产品供应地点运送至交付地点所含的运输费、装卸费、仓储费、保险费等。</w:t>
      </w:r>
    </w:p>
    <w:p w14:paraId="5904FB13">
      <w:pPr>
        <w:wordWrap w:val="0"/>
        <w:ind w:firstLine="480" w:firstLineChars="200"/>
        <w:jc w:val="both"/>
      </w:pPr>
      <w:r>
        <w:rPr>
          <w:rFonts w:hint="eastAsia"/>
        </w:rPr>
        <w:t>（三）运输方式由乙方自行选择，但必须保证按期交付。</w:t>
      </w:r>
    </w:p>
    <w:p w14:paraId="2F20FC7E">
      <w:pPr>
        <w:wordWrap w:val="0"/>
        <w:ind w:firstLine="480" w:firstLineChars="200"/>
        <w:jc w:val="both"/>
      </w:pPr>
      <w:r>
        <w:rPr>
          <w:rFonts w:hint="eastAsia"/>
        </w:rPr>
        <w:t>（四）乙方提供的产品及相关快递服务的包装要求，应该</w:t>
      </w:r>
      <w:r>
        <w:t>严格</w:t>
      </w:r>
      <w:r>
        <w:rPr>
          <w:rFonts w:hint="eastAsia"/>
        </w:rPr>
        <w:t>按照《商品包装政府采购需求标准（试行）》、《快递包装政府采购需求标准（试行）》（财库办〔2020﹞123号）文件执行。</w:t>
      </w:r>
    </w:p>
    <w:p w14:paraId="1F833987">
      <w:pPr>
        <w:wordWrap w:val="0"/>
        <w:ind w:firstLine="480" w:firstLineChars="200"/>
        <w:jc w:val="both"/>
      </w:pPr>
      <w:r>
        <w:rPr>
          <w:rFonts w:hint="eastAsia"/>
        </w:rPr>
        <w:t>（五）所有产品及其备附件到达甲方指定地点后，乙方应按有关技术规程和甲方要求进行存放和保管。</w:t>
      </w:r>
    </w:p>
    <w:p w14:paraId="0842BC06">
      <w:pPr>
        <w:spacing w:before="230" w:beforeLines="50"/>
        <w:jc w:val="both"/>
        <w:rPr>
          <w:rFonts w:cs="Calibri Light"/>
          <w:b/>
        </w:rPr>
      </w:pPr>
      <w:r>
        <w:rPr>
          <w:rFonts w:hint="eastAsia" w:cs="Calibri Light"/>
          <w:b/>
        </w:rPr>
        <w:t>七</w:t>
      </w:r>
      <w:r>
        <w:rPr>
          <w:rFonts w:cs="Calibri Light"/>
          <w:b/>
        </w:rPr>
        <w:t>、验收</w:t>
      </w:r>
    </w:p>
    <w:p w14:paraId="0333ECB4">
      <w:pPr>
        <w:wordWrap w:val="0"/>
        <w:spacing w:line="400" w:lineRule="exact"/>
        <w:ind w:firstLine="480" w:firstLineChars="200"/>
        <w:jc w:val="both"/>
        <w:rPr>
          <w:color w:val="000000" w:themeColor="text1"/>
          <w14:textFill>
            <w14:solidFill>
              <w14:schemeClr w14:val="tx1"/>
            </w14:solidFill>
          </w14:textFill>
        </w:rPr>
      </w:pPr>
      <w:r>
        <w:rPr>
          <w:color w:val="000000" w:themeColor="text1"/>
          <w14:textFill>
            <w14:solidFill>
              <w14:schemeClr w14:val="tx1"/>
            </w14:solidFill>
          </w14:textFill>
        </w:rPr>
        <w:t>（一）</w:t>
      </w:r>
      <w:r>
        <w:rPr>
          <w:rFonts w:hint="eastAsia"/>
          <w:color w:val="000000" w:themeColor="text1"/>
          <w14:textFill>
            <w14:solidFill>
              <w14:schemeClr w14:val="tx1"/>
            </w14:solidFill>
          </w14:textFill>
        </w:rPr>
        <w:t>全部货物送达后，甲乙双方共同开箱清点，核对货物的品牌、型号、数量、外观等。如发现短缺、损坏或不符合合同要求的，甲方有权拒收，乙方应在5个工作日内无条件更换或补足，由此产生的费用由乙方承担。</w:t>
      </w:r>
    </w:p>
    <w:p w14:paraId="7A0C638B">
      <w:pPr>
        <w:wordWrap w:val="0"/>
        <w:spacing w:line="400" w:lineRule="exact"/>
        <w:ind w:firstLine="480" w:firstLineChars="200"/>
        <w:jc w:val="both"/>
        <w:rPr>
          <w:color w:val="000000" w:themeColor="text1"/>
          <w14:textFill>
            <w14:solidFill>
              <w14:schemeClr w14:val="tx1"/>
            </w14:solidFill>
          </w14:textFill>
        </w:rPr>
      </w:pPr>
      <w:r>
        <w:rPr>
          <w:color w:val="000000" w:themeColor="text1"/>
          <w14:textFill>
            <w14:solidFill>
              <w14:schemeClr w14:val="tx1"/>
            </w14:solidFill>
          </w14:textFill>
        </w:rPr>
        <w:t>（二）</w:t>
      </w:r>
      <w:r>
        <w:rPr>
          <w:rFonts w:hint="eastAsia"/>
          <w:color w:val="000000" w:themeColor="text1"/>
          <w14:textFill>
            <w14:solidFill>
              <w14:schemeClr w14:val="tx1"/>
            </w14:solidFill>
          </w14:textFill>
        </w:rPr>
        <w:t>项目安装调试完毕后，乙方向甲方提交书面验收申请及相关竣工资料。甲方应在收到申请后10个工作日内组织最终验收。</w:t>
      </w:r>
      <w:r>
        <w:rPr>
          <w:color w:val="000000" w:themeColor="text1"/>
          <w14:textFill>
            <w14:solidFill>
              <w14:schemeClr w14:val="tx1"/>
            </w14:solidFill>
          </w14:textFill>
        </w:rPr>
        <w:t>验收合格后，</w:t>
      </w:r>
      <w:r>
        <w:rPr>
          <w:rFonts w:hint="eastAsia"/>
          <w:color w:val="000000" w:themeColor="text1"/>
          <w14:textFill>
            <w14:solidFill>
              <w14:schemeClr w14:val="tx1"/>
            </w14:solidFill>
          </w14:textFill>
        </w:rPr>
        <w:t>双方签署</w:t>
      </w:r>
      <w:r>
        <w:rPr>
          <w:color w:val="000000" w:themeColor="text1"/>
          <w14:textFill>
            <w14:solidFill>
              <w14:schemeClr w14:val="tx1"/>
            </w14:solidFill>
          </w14:textFill>
        </w:rPr>
        <w:t>政府采购项目验收单（一式伍份）作为对项目的最终认可。</w:t>
      </w:r>
    </w:p>
    <w:p w14:paraId="4853C781">
      <w:pPr>
        <w:wordWrap w:val="0"/>
        <w:spacing w:line="400" w:lineRule="exact"/>
        <w:ind w:firstLine="480" w:firstLineChars="200"/>
        <w:jc w:val="both"/>
        <w:rPr>
          <w:color w:val="000000" w:themeColor="text1"/>
          <w14:textFill>
            <w14:solidFill>
              <w14:schemeClr w14:val="tx1"/>
            </w14:solidFill>
          </w14:textFill>
        </w:rPr>
      </w:pPr>
      <w:r>
        <w:rPr>
          <w:color w:val="000000" w:themeColor="text1"/>
          <w14:textFill>
            <w14:solidFill>
              <w14:schemeClr w14:val="tx1"/>
            </w14:solidFill>
          </w14:textFill>
        </w:rPr>
        <w:t>（三）乙方向甲方提供实施过程中的所有资料，以便甲方日后管理和维护。</w:t>
      </w:r>
    </w:p>
    <w:p w14:paraId="511981F2">
      <w:pPr>
        <w:wordWrap w:val="0"/>
        <w:spacing w:line="400" w:lineRule="exact"/>
        <w:ind w:firstLine="480" w:firstLineChars="200"/>
        <w:jc w:val="both"/>
        <w:rPr>
          <w:color w:val="000000" w:themeColor="text1"/>
          <w14:textFill>
            <w14:solidFill>
              <w14:schemeClr w14:val="tx1"/>
            </w14:solidFill>
          </w14:textFill>
        </w:rPr>
      </w:pPr>
      <w:r>
        <w:rPr>
          <w:color w:val="000000" w:themeColor="text1"/>
          <w14:textFill>
            <w14:solidFill>
              <w14:schemeClr w14:val="tx1"/>
            </w14:solidFill>
          </w14:textFill>
        </w:rPr>
        <w:t>（四）验收要求：</w:t>
      </w:r>
    </w:p>
    <w:p w14:paraId="5A9AF1D6">
      <w:pPr>
        <w:wordWrap w:val="0"/>
        <w:spacing w:line="400" w:lineRule="exact"/>
        <w:ind w:firstLine="480" w:firstLineChars="20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1.乙方提供货物的品牌、型号、数量、技术参数及功能须完全响应并满足谈判文件要求。</w:t>
      </w:r>
    </w:p>
    <w:p w14:paraId="7CE7B26B">
      <w:pPr>
        <w:wordWrap w:val="0"/>
        <w:spacing w:line="400" w:lineRule="exact"/>
        <w:ind w:firstLine="480" w:firstLineChars="200"/>
        <w:jc w:val="both"/>
        <w:rPr>
          <w:color w:val="000000" w:themeColor="text1"/>
          <w14:textFill>
            <w14:solidFill>
              <w14:schemeClr w14:val="tx1"/>
            </w14:solidFill>
          </w14:textFill>
        </w:rPr>
      </w:pPr>
      <w:r>
        <w:rPr>
          <w:color w:val="000000" w:themeColor="text1"/>
          <w14:textFill>
            <w14:solidFill>
              <w14:schemeClr w14:val="tx1"/>
            </w14:solidFill>
          </w14:textFill>
        </w:rPr>
        <w:t>（五）验收依据：</w:t>
      </w:r>
    </w:p>
    <w:p w14:paraId="5FB4A13D">
      <w:pPr>
        <w:wordWrap w:val="0"/>
        <w:spacing w:line="400" w:lineRule="exact"/>
        <w:ind w:firstLine="480" w:firstLineChars="200"/>
        <w:jc w:val="both"/>
        <w:rPr>
          <w:color w:val="000000" w:themeColor="text1"/>
          <w14:textFill>
            <w14:solidFill>
              <w14:schemeClr w14:val="tx1"/>
            </w14:solidFill>
          </w14:textFill>
        </w:rPr>
      </w:pPr>
      <w:r>
        <w:rPr>
          <w:color w:val="000000" w:themeColor="text1"/>
          <w14:textFill>
            <w14:solidFill>
              <w14:schemeClr w14:val="tx1"/>
            </w14:solidFill>
          </w14:textFill>
        </w:rPr>
        <w:t>1．谈判文件、响应文件、澄清表（函）；</w:t>
      </w:r>
    </w:p>
    <w:p w14:paraId="2F9A906E">
      <w:pPr>
        <w:wordWrap w:val="0"/>
        <w:spacing w:line="400" w:lineRule="exact"/>
        <w:ind w:firstLine="480" w:firstLineChars="200"/>
        <w:jc w:val="both"/>
        <w:rPr>
          <w:color w:val="000000" w:themeColor="text1"/>
          <w14:textFill>
            <w14:solidFill>
              <w14:schemeClr w14:val="tx1"/>
            </w14:solidFill>
          </w14:textFill>
        </w:rPr>
      </w:pPr>
      <w:r>
        <w:rPr>
          <w:color w:val="000000" w:themeColor="text1"/>
          <w14:textFill>
            <w14:solidFill>
              <w14:schemeClr w14:val="tx1"/>
            </w14:solidFill>
          </w14:textFill>
        </w:rPr>
        <w:t>2．本合同及其附件；</w:t>
      </w:r>
    </w:p>
    <w:p w14:paraId="57A39BAF">
      <w:pPr>
        <w:wordWrap w:val="0"/>
        <w:spacing w:line="400" w:lineRule="exact"/>
        <w:ind w:firstLine="480" w:firstLineChars="200"/>
        <w:jc w:val="both"/>
        <w:rPr>
          <w:color w:val="000000" w:themeColor="text1"/>
          <w14:textFill>
            <w14:solidFill>
              <w14:schemeClr w14:val="tx1"/>
            </w14:solidFill>
          </w14:textFill>
        </w:rPr>
      </w:pPr>
      <w:r>
        <w:rPr>
          <w:color w:val="000000" w:themeColor="text1"/>
          <w14:textFill>
            <w14:solidFill>
              <w14:schemeClr w14:val="tx1"/>
            </w14:solidFill>
          </w14:textFill>
        </w:rPr>
        <w:t>3．国家相应的标准、规范。</w:t>
      </w:r>
    </w:p>
    <w:p w14:paraId="3A986C9B">
      <w:pPr>
        <w:spacing w:before="230" w:beforeLines="50"/>
        <w:jc w:val="both"/>
        <w:rPr>
          <w:rFonts w:cs="Calibri Light"/>
          <w:b/>
        </w:rPr>
      </w:pPr>
      <w:r>
        <w:rPr>
          <w:rFonts w:hint="eastAsia" w:cs="Calibri Light"/>
          <w:b/>
        </w:rPr>
        <w:t>八</w:t>
      </w:r>
      <w:r>
        <w:rPr>
          <w:rFonts w:cs="Calibri Light"/>
          <w:b/>
        </w:rPr>
        <w:t>、违约责任</w:t>
      </w:r>
    </w:p>
    <w:p w14:paraId="048B3C98">
      <w:pPr>
        <w:wordWrap w:val="0"/>
        <w:ind w:firstLine="480" w:firstLineChars="200"/>
        <w:jc w:val="both"/>
      </w:pPr>
      <w:r>
        <w:t>（一）违约责任：</w:t>
      </w:r>
    </w:p>
    <w:p w14:paraId="6CA0553A">
      <w:pPr>
        <w:wordWrap w:val="0"/>
        <w:spacing w:line="400" w:lineRule="exact"/>
        <w:ind w:firstLine="480" w:firstLineChars="200"/>
        <w:jc w:val="both"/>
      </w:pPr>
      <w:r>
        <w:rPr>
          <w:rFonts w:hint="eastAsia"/>
        </w:rPr>
        <w:t>1.若乙方未能按合同约定的时间交付货物或完成安装调试，每逾期一天，应按合同总价款的0.05%向甲方支付违约金；逾期超过15天的，甲方有权单方解除合同，乙方除退还已收款项外，还应向甲方支付合同总价款20%的违约金。违约金不足以弥补甲方实际损失的，乙方还应就不足部分予以赔偿。</w:t>
      </w:r>
    </w:p>
    <w:p w14:paraId="5DF2933F">
      <w:pPr>
        <w:wordWrap w:val="0"/>
        <w:spacing w:line="400" w:lineRule="exact"/>
        <w:ind w:firstLine="480" w:firstLineChars="200"/>
        <w:jc w:val="both"/>
      </w:pPr>
      <w:r>
        <w:rPr>
          <w:rFonts w:hint="eastAsia"/>
        </w:rPr>
        <w:t>2.若乙方交付的货物不符合合同约定的质量标准，甲方有权拒收，并要求乙方在7日内无条件更换合格产品，由此产生的全部费用由乙方承担，且交付期不予顺延。</w:t>
      </w:r>
    </w:p>
    <w:p w14:paraId="3E07B76C">
      <w:pPr>
        <w:wordWrap w:val="0"/>
        <w:spacing w:line="400" w:lineRule="exact"/>
        <w:ind w:firstLine="480" w:firstLineChars="200"/>
        <w:jc w:val="both"/>
      </w:pPr>
      <w:r>
        <w:rPr>
          <w:rFonts w:hint="eastAsia"/>
        </w:rPr>
        <w:t>3.乙方违反本合同其他约定的，应赔偿由此给甲方造成的一切损失。</w:t>
      </w:r>
    </w:p>
    <w:p w14:paraId="4914746A">
      <w:pPr>
        <w:wordWrap w:val="0"/>
        <w:ind w:firstLine="480" w:firstLineChars="200"/>
        <w:jc w:val="both"/>
      </w:pPr>
      <w:r>
        <w:rPr>
          <w:rFonts w:hint="eastAsia"/>
        </w:rPr>
        <w:t>4.若甲方未能按合同约定支付款项，每逾期一天，应按逾期支付金额的0.05%向乙方支付违约金。但违约金总额不超过合同总价款的5%。</w:t>
      </w:r>
    </w:p>
    <w:p w14:paraId="30C2D99B">
      <w:pPr>
        <w:wordWrap w:val="0"/>
        <w:ind w:firstLine="480" w:firstLineChars="200"/>
        <w:jc w:val="both"/>
      </w:pPr>
      <w:r>
        <w:t>（二）</w:t>
      </w:r>
      <w:r>
        <w:rPr>
          <w:rFonts w:hint="eastAsia"/>
        </w:rPr>
        <w:t>若谈判文件或响应文件中包含其他实质性义务，任何一方未履行或履行不当的，视为违约，应按相应约定承担责任。双方可在签订合同时，就特定违约情形的违约责任在本条款后进行补充约定。</w:t>
      </w:r>
    </w:p>
    <w:p w14:paraId="3E22D3A5">
      <w:pPr>
        <w:wordWrap w:val="0"/>
        <w:ind w:firstLine="480" w:firstLineChars="200"/>
        <w:jc w:val="both"/>
      </w:pPr>
      <w:r>
        <w:t>（三）未按合同要求提供货物或货物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591E2D98">
      <w:pPr>
        <w:spacing w:before="230" w:beforeLines="50"/>
        <w:jc w:val="both"/>
        <w:rPr>
          <w:rFonts w:cs="Calibri Light"/>
          <w:b/>
        </w:rPr>
      </w:pPr>
      <w:r>
        <w:rPr>
          <w:rFonts w:hint="eastAsia" w:cs="Calibri Light"/>
          <w:b/>
        </w:rPr>
        <w:t>九</w:t>
      </w:r>
      <w:r>
        <w:rPr>
          <w:rFonts w:cs="Calibri Light"/>
          <w:b/>
        </w:rPr>
        <w:t>、合同的变更和修改、中止和终止</w:t>
      </w:r>
    </w:p>
    <w:p w14:paraId="75C7F316">
      <w:pPr>
        <w:wordWrap w:val="0"/>
        <w:ind w:firstLine="480" w:firstLineChars="200"/>
        <w:jc w:val="both"/>
      </w:pPr>
      <w: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14:paraId="12C58F27">
      <w:pPr>
        <w:wordWrap w:val="0"/>
        <w:ind w:firstLine="480" w:firstLineChars="200"/>
        <w:jc w:val="both"/>
      </w:pPr>
      <w:r>
        <w:t>（二）甲方因乙方不履约或乙方其他原因而解除合同的，乙方须返还甲方全部费用、赔偿甲方由此产生的损失并承担其他相关责任，相应责任承担方式按照本合同约定执行。</w:t>
      </w:r>
    </w:p>
    <w:p w14:paraId="40117DE5">
      <w:pPr>
        <w:wordWrap w:val="0"/>
        <w:ind w:firstLine="480" w:firstLineChars="200"/>
        <w:jc w:val="both"/>
      </w:pPr>
      <w:r>
        <w:t>（三）乙方因甲方不履约或甲方其他原因而解除合同的，乙方不予返还甲方已付乙方已提供相应服务的费用款项，甲方赔偿乙方由此产生的损失并承担其他相关责任。</w:t>
      </w:r>
    </w:p>
    <w:p w14:paraId="7A1792E7">
      <w:pPr>
        <w:spacing w:before="230" w:beforeLines="50"/>
        <w:jc w:val="both"/>
        <w:rPr>
          <w:rFonts w:cs="Calibri Light"/>
          <w:b/>
        </w:rPr>
      </w:pPr>
      <w:r>
        <w:rPr>
          <w:rFonts w:hint="eastAsia" w:cs="Calibri Light"/>
          <w:b/>
        </w:rPr>
        <w:t>十</w:t>
      </w:r>
      <w:r>
        <w:rPr>
          <w:rFonts w:cs="Calibri Light"/>
          <w:b/>
        </w:rPr>
        <w:t>、保密条款</w:t>
      </w:r>
    </w:p>
    <w:p w14:paraId="756BAA84">
      <w:pPr>
        <w:wordWrap w:val="0"/>
        <w:ind w:firstLine="480" w:firstLineChars="200"/>
        <w:jc w:val="both"/>
      </w:pPr>
      <w:r>
        <w:t>（一）乙方应遵守国家有关保密的法律法规和行业规定，并对甲方提供的资料负有保密义务。</w:t>
      </w:r>
    </w:p>
    <w:p w14:paraId="3E797ADF">
      <w:pPr>
        <w:wordWrap w:val="0"/>
        <w:ind w:firstLine="480" w:firstLineChars="200"/>
        <w:jc w:val="both"/>
      </w:pPr>
      <w:r>
        <w:t>（二）本条款为独立条款，本合同的无效、变更、解除和终止均不影响本条款的效力。</w:t>
      </w:r>
    </w:p>
    <w:p w14:paraId="556B8CA9">
      <w:pPr>
        <w:spacing w:before="230" w:beforeLines="50"/>
        <w:jc w:val="both"/>
        <w:rPr>
          <w:rFonts w:cs="Calibri Light"/>
          <w:b/>
        </w:rPr>
      </w:pPr>
      <w:r>
        <w:rPr>
          <w:rFonts w:cs="Calibri Light"/>
          <w:b/>
        </w:rPr>
        <w:t>十</w:t>
      </w:r>
      <w:r>
        <w:rPr>
          <w:rFonts w:hint="eastAsia" w:cs="Calibri Light"/>
          <w:b/>
        </w:rPr>
        <w:t>一</w:t>
      </w:r>
      <w:r>
        <w:rPr>
          <w:rFonts w:cs="Calibri Light"/>
          <w:b/>
        </w:rPr>
        <w:t>、争议解决</w:t>
      </w:r>
    </w:p>
    <w:p w14:paraId="1A000C75">
      <w:pPr>
        <w:wordWrap w:val="0"/>
        <w:ind w:firstLine="480" w:firstLineChars="200"/>
        <w:jc w:val="both"/>
      </w:pPr>
      <w:r>
        <w:t>（一）本合同适用法律为中华人民共和国法律。</w:t>
      </w:r>
    </w:p>
    <w:p w14:paraId="0EEAAEE9">
      <w:pPr>
        <w:wordWrap w:val="0"/>
        <w:ind w:firstLine="480" w:firstLineChars="200"/>
        <w:jc w:val="both"/>
      </w:pPr>
      <w:r>
        <w:t>（二）凡与本合同有关的一切争议，双方应通过友好协商解决。如协商后仍不能达成协议时，按下列第2种方式解决。</w:t>
      </w:r>
    </w:p>
    <w:p w14:paraId="5C44E248">
      <w:pPr>
        <w:wordWrap w:val="0"/>
        <w:ind w:firstLine="480" w:firstLineChars="200"/>
        <w:jc w:val="both"/>
      </w:pPr>
      <w:r>
        <w:t>1．提交西安仲裁委员会。</w:t>
      </w:r>
    </w:p>
    <w:p w14:paraId="59A9C27D">
      <w:pPr>
        <w:wordWrap w:val="0"/>
        <w:ind w:firstLine="480" w:firstLineChars="200"/>
        <w:jc w:val="both"/>
      </w:pPr>
      <w:r>
        <w:t>2．依法向甲方所在地有管辖权的人民法院提起诉讼。</w:t>
      </w:r>
    </w:p>
    <w:p w14:paraId="6097298C">
      <w:pPr>
        <w:spacing w:before="230" w:beforeLines="50"/>
        <w:jc w:val="both"/>
        <w:rPr>
          <w:rFonts w:cs="Calibri Light"/>
          <w:b/>
        </w:rPr>
      </w:pPr>
      <w:r>
        <w:rPr>
          <w:rFonts w:cs="Calibri Light"/>
          <w:b/>
        </w:rPr>
        <w:t>十</w:t>
      </w:r>
      <w:r>
        <w:rPr>
          <w:rFonts w:hint="eastAsia" w:cs="Calibri Light"/>
          <w:b/>
        </w:rPr>
        <w:t>二</w:t>
      </w:r>
      <w:r>
        <w:rPr>
          <w:rFonts w:cs="Calibri Light"/>
          <w:b/>
        </w:rPr>
        <w:t>、不可抗力</w:t>
      </w:r>
    </w:p>
    <w:p w14:paraId="2221CE88">
      <w:pPr>
        <w:wordWrap w:val="0"/>
        <w:ind w:firstLine="480" w:firstLineChars="200"/>
        <w:jc w:val="both"/>
      </w:pPr>
      <w: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05FCF5C0">
      <w:pPr>
        <w:wordWrap w:val="0"/>
        <w:ind w:firstLine="480" w:firstLineChars="200"/>
        <w:jc w:val="both"/>
      </w:pPr>
      <w: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546C7F05">
      <w:pPr>
        <w:wordWrap w:val="0"/>
        <w:ind w:firstLine="480" w:firstLineChars="200"/>
        <w:jc w:val="both"/>
      </w:pPr>
      <w:r>
        <w:t>（三）当不可抗力发生后，如果服务并未因此中断或受到影响的，则就本合同执行来说，视为不可抗力未发生。</w:t>
      </w:r>
    </w:p>
    <w:p w14:paraId="6151CC77">
      <w:pPr>
        <w:spacing w:before="230" w:beforeLines="50"/>
        <w:jc w:val="both"/>
        <w:rPr>
          <w:rFonts w:cs="Calibri Light"/>
          <w:b/>
        </w:rPr>
      </w:pPr>
      <w:r>
        <w:rPr>
          <w:rFonts w:cs="Calibri Light"/>
          <w:b/>
        </w:rPr>
        <w:t>十</w:t>
      </w:r>
      <w:r>
        <w:rPr>
          <w:rFonts w:hint="eastAsia" w:cs="Calibri Light"/>
          <w:b/>
        </w:rPr>
        <w:t>三</w:t>
      </w:r>
      <w:r>
        <w:rPr>
          <w:rFonts w:cs="Calibri Light"/>
          <w:b/>
        </w:rPr>
        <w:t>、合同生效及其他</w:t>
      </w:r>
    </w:p>
    <w:p w14:paraId="1A1DCF6B">
      <w:pPr>
        <w:wordWrap w:val="0"/>
        <w:spacing w:line="400" w:lineRule="exact"/>
        <w:ind w:firstLine="480" w:firstLineChars="200"/>
        <w:jc w:val="both"/>
      </w:pPr>
      <w:r>
        <w:rPr>
          <w:rFonts w:hint="eastAsia"/>
        </w:rPr>
        <w:t>（一）本合同自签订之日起生效。</w:t>
      </w:r>
    </w:p>
    <w:p w14:paraId="04AAFBB7">
      <w:pPr>
        <w:wordWrap w:val="0"/>
        <w:spacing w:line="400" w:lineRule="exact"/>
        <w:ind w:firstLine="480" w:firstLineChars="200"/>
        <w:jc w:val="both"/>
      </w:pPr>
      <w:r>
        <w:rPr>
          <w:rFonts w:hint="eastAsia"/>
        </w:rPr>
        <w:t>（二）合同一式伍份，甲方执叁份、乙方执贰份。</w:t>
      </w:r>
    </w:p>
    <w:p w14:paraId="43187513">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（三）本合同未尽事宜，可由双方在签订合同时协商一致后，作为合同附件或签署补充协议，与本合同具有同等法律效力。</w:t>
      </w:r>
    </w:p>
    <w:p w14:paraId="6FD31474"/>
    <w:p w14:paraId="0FC4A7EB">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14:paraId="066AACEE">
      <w:pPr>
        <w:pStyle w:val="2"/>
        <w:spacing w:before="230" w:after="230"/>
      </w:pPr>
      <w:bookmarkStart w:id="14" w:name="_Toc234572938"/>
      <w:r>
        <w:rPr>
          <w:rFonts w:hint="eastAsia"/>
        </w:rPr>
        <w:t>第五章　响应文件构成及格式</w:t>
      </w:r>
      <w:bookmarkEnd w:id="14"/>
    </w:p>
    <w:p w14:paraId="4578CFAC">
      <w:pPr>
        <w:jc w:val="center"/>
        <w:rPr>
          <w:rFonts w:cstheme="minorHAnsi"/>
          <w:sz w:val="36"/>
          <w:szCs w:val="36"/>
        </w:rPr>
      </w:pPr>
    </w:p>
    <w:p w14:paraId="46C3CF94">
      <w:pPr>
        <w:jc w:val="center"/>
        <w:rPr>
          <w:rFonts w:cstheme="minorHAnsi"/>
          <w:sz w:val="36"/>
          <w:szCs w:val="36"/>
        </w:rPr>
      </w:pPr>
    </w:p>
    <w:p w14:paraId="60FF2F4A">
      <w:pPr>
        <w:jc w:val="center"/>
        <w:rPr>
          <w:rFonts w:cstheme="minorHAnsi"/>
          <w:sz w:val="36"/>
          <w:szCs w:val="36"/>
        </w:rPr>
      </w:pPr>
    </w:p>
    <w:p w14:paraId="38C61182">
      <w:pPr>
        <w:jc w:val="center"/>
        <w:rPr>
          <w:rFonts w:cstheme="minorHAnsi"/>
          <w:b/>
          <w:color w:val="C00000"/>
          <w:sz w:val="44"/>
          <w:szCs w:val="44"/>
        </w:rPr>
      </w:pPr>
      <w:r>
        <w:rPr>
          <w:rFonts w:hint="eastAsia" w:cstheme="minorHAnsi"/>
          <w:b/>
          <w:color w:val="C00000"/>
          <w:sz w:val="44"/>
          <w:szCs w:val="44"/>
        </w:rPr>
        <w:t>［</w:t>
      </w:r>
      <w:r>
        <w:rPr>
          <w:rFonts w:cstheme="minorHAnsi"/>
          <w:b/>
          <w:color w:val="C00000"/>
          <w:sz w:val="44"/>
          <w:szCs w:val="44"/>
        </w:rPr>
        <w:t>项目名称</w:t>
      </w:r>
      <w:r>
        <w:rPr>
          <w:rFonts w:hint="eastAsia" w:cstheme="minorHAnsi"/>
          <w:b/>
          <w:color w:val="C00000"/>
          <w:sz w:val="44"/>
          <w:szCs w:val="44"/>
        </w:rPr>
        <w:t>］</w:t>
      </w:r>
    </w:p>
    <w:p w14:paraId="219A8A16">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响应文</w:t>
      </w:r>
      <w:r>
        <w:rPr>
          <w:rFonts w:ascii="华文中宋" w:hAnsi="华文中宋" w:eastAsia="华文中宋" w:cstheme="minorHAnsi"/>
          <w:spacing w:val="0"/>
          <w:kern w:val="0"/>
          <w:sz w:val="96"/>
          <w:szCs w:val="96"/>
          <w:fitText w:val="5778" w:id="-1540037120"/>
        </w:rPr>
        <w:t>件</w:t>
      </w:r>
    </w:p>
    <w:p w14:paraId="40B02A03">
      <w:pPr>
        <w:jc w:val="center"/>
        <w:rPr>
          <w:rFonts w:cstheme="minorHAnsi"/>
          <w:sz w:val="36"/>
          <w:szCs w:val="36"/>
        </w:rPr>
      </w:pPr>
      <w:r>
        <w:rPr>
          <w:rFonts w:cstheme="minorHAnsi"/>
          <w:sz w:val="36"/>
          <w:szCs w:val="36"/>
        </w:rPr>
        <w:t>（项目编号：</w:t>
      </w:r>
      <w:r>
        <w:rPr>
          <w:rFonts w:cstheme="minorHAnsi"/>
          <w:color w:val="C00000"/>
          <w:sz w:val="36"/>
          <w:szCs w:val="36"/>
        </w:rPr>
        <w:t>［项目编号］</w:t>
      </w:r>
      <w:r>
        <w:rPr>
          <w:rFonts w:cstheme="minorHAnsi"/>
          <w:sz w:val="36"/>
          <w:szCs w:val="36"/>
        </w:rPr>
        <w:t>）</w:t>
      </w:r>
    </w:p>
    <w:p w14:paraId="41487B86">
      <w:pPr>
        <w:jc w:val="center"/>
        <w:rPr>
          <w:rFonts w:cstheme="minorHAnsi"/>
          <w:sz w:val="36"/>
          <w:szCs w:val="36"/>
        </w:rPr>
      </w:pPr>
    </w:p>
    <w:p w14:paraId="7EB6821B">
      <w:pPr>
        <w:jc w:val="center"/>
        <w:rPr>
          <w:rFonts w:cstheme="minorHAnsi"/>
          <w:sz w:val="36"/>
          <w:szCs w:val="36"/>
        </w:rPr>
      </w:pPr>
    </w:p>
    <w:p w14:paraId="14B793A2">
      <w:pPr>
        <w:jc w:val="center"/>
        <w:rPr>
          <w:rFonts w:cstheme="minorHAnsi"/>
          <w:sz w:val="36"/>
        </w:rPr>
      </w:pPr>
    </w:p>
    <w:p w14:paraId="2F202CD7">
      <w:pPr>
        <w:jc w:val="center"/>
        <w:rPr>
          <w:rFonts w:cstheme="minorHAnsi"/>
          <w:sz w:val="36"/>
        </w:rPr>
      </w:pPr>
    </w:p>
    <w:p w14:paraId="0064FA05">
      <w:pPr>
        <w:jc w:val="center"/>
        <w:rPr>
          <w:rFonts w:cstheme="minorHAnsi"/>
          <w:sz w:val="36"/>
        </w:rPr>
      </w:pPr>
    </w:p>
    <w:p w14:paraId="61A75A0F">
      <w:pPr>
        <w:jc w:val="center"/>
        <w:rPr>
          <w:rFonts w:cstheme="minorHAnsi"/>
          <w:sz w:val="36"/>
        </w:rPr>
      </w:pPr>
    </w:p>
    <w:p w14:paraId="6C36D1BB">
      <w:pPr>
        <w:ind w:firstLine="1684" w:firstLineChars="468"/>
        <w:rPr>
          <w:rFonts w:cstheme="minorHAnsi"/>
          <w:sz w:val="36"/>
          <w:u w:val="single"/>
        </w:rPr>
      </w:pPr>
      <w:r>
        <w:rPr>
          <w:rFonts w:cstheme="minorHAnsi"/>
          <w:sz w:val="36"/>
        </w:rPr>
        <w:t>供应商：__________________</w:t>
      </w:r>
    </w:p>
    <w:p w14:paraId="0CF59C1C">
      <w:pPr>
        <w:ind w:firstLine="1684" w:firstLineChars="468"/>
        <w:rPr>
          <w:rFonts w:cstheme="minorHAnsi"/>
          <w:color w:val="C00000"/>
          <w:sz w:val="36"/>
        </w:rPr>
      </w:pPr>
      <w:r>
        <w:rPr>
          <w:rFonts w:cstheme="minorHAnsi"/>
          <w:sz w:val="36"/>
        </w:rPr>
        <w:t>采购包：__________________</w:t>
      </w:r>
    </w:p>
    <w:p w14:paraId="6ACD5E92">
      <w:pPr>
        <w:ind w:firstLine="1684" w:firstLineChars="468"/>
        <w:rPr>
          <w:rFonts w:cstheme="minorHAnsi"/>
          <w:sz w:val="36"/>
          <w:u w:val="single"/>
        </w:rPr>
      </w:pPr>
      <w:r>
        <w:rPr>
          <w:rFonts w:cstheme="minorHAnsi"/>
          <w:sz w:val="36"/>
        </w:rPr>
        <w:t>时　间：__________________</w:t>
      </w:r>
    </w:p>
    <w:p w14:paraId="63B1F57B">
      <w:pPr>
        <w:ind w:firstLine="200"/>
        <w:rPr>
          <w:rFonts w:cstheme="minorHAnsi"/>
          <w:sz w:val="36"/>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谈判邀请函自行填写</w:t>
      </w:r>
      <w:r>
        <w:rPr>
          <w:rFonts w:cstheme="minorHAnsi"/>
          <w:sz w:val="28"/>
          <w:szCs w:val="28"/>
        </w:rPr>
        <w:t>。</w:t>
      </w:r>
      <w:r>
        <w:rPr>
          <w:rFonts w:cstheme="minorHAnsi"/>
          <w:sz w:val="36"/>
        </w:rPr>
        <w:br w:type="page"/>
      </w:r>
    </w:p>
    <w:p w14:paraId="3D2365FF">
      <w:pPr>
        <w:jc w:val="center"/>
        <w:rPr>
          <w:sz w:val="36"/>
          <w:szCs w:val="36"/>
        </w:rPr>
      </w:pPr>
    </w:p>
    <w:p w14:paraId="120CBA36">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0D50638A">
      <w:pPr>
        <w:jc w:val="center"/>
        <w:rPr>
          <w:rFonts w:asciiTheme="minorEastAsia" w:hAnsiTheme="minorEastAsia"/>
          <w:sz w:val="30"/>
          <w:szCs w:val="30"/>
        </w:rPr>
      </w:pPr>
    </w:p>
    <w:p w14:paraId="60076844">
      <w:pPr>
        <w:jc w:val="center"/>
        <w:rPr>
          <w:rFonts w:asciiTheme="minorEastAsia" w:hAnsiTheme="minorEastAsia"/>
          <w:sz w:val="30"/>
          <w:szCs w:val="30"/>
        </w:rPr>
      </w:pPr>
    </w:p>
    <w:p w14:paraId="1737EF5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响应</w:t>
      </w:r>
      <w:r>
        <w:rPr>
          <w:rFonts w:cstheme="minorHAnsi"/>
          <w:sz w:val="28"/>
          <w:szCs w:val="28"/>
        </w:rPr>
        <w:t>函</w:t>
      </w:r>
      <w:r>
        <w:rPr>
          <w:rFonts w:cstheme="minorHAnsi"/>
          <w:sz w:val="28"/>
          <w:szCs w:val="28"/>
        </w:rPr>
        <w:tab/>
      </w:r>
      <w:r>
        <w:rPr>
          <w:rFonts w:cstheme="minorHAnsi"/>
          <w:sz w:val="28"/>
          <w:szCs w:val="28"/>
        </w:rPr>
        <w:t>X</w:t>
      </w:r>
    </w:p>
    <w:p w14:paraId="57E4BE81">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第一次报价表</w:t>
      </w:r>
      <w:r>
        <w:rPr>
          <w:rFonts w:cstheme="minorHAnsi"/>
          <w:sz w:val="28"/>
          <w:szCs w:val="28"/>
        </w:rPr>
        <w:tab/>
      </w:r>
      <w:r>
        <w:rPr>
          <w:rFonts w:cstheme="minorHAnsi"/>
          <w:sz w:val="28"/>
          <w:szCs w:val="28"/>
        </w:rPr>
        <w:t>X</w:t>
      </w:r>
    </w:p>
    <w:p w14:paraId="7D6D5106">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65CA3E2D">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1AC02CE0">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响应方案</w:t>
      </w:r>
      <w:r>
        <w:rPr>
          <w:rFonts w:cstheme="minorHAnsi"/>
          <w:sz w:val="28"/>
          <w:szCs w:val="28"/>
        </w:rPr>
        <w:tab/>
      </w:r>
      <w:r>
        <w:rPr>
          <w:rFonts w:cstheme="minorHAnsi"/>
          <w:sz w:val="28"/>
          <w:szCs w:val="28"/>
        </w:rPr>
        <w:t>X</w:t>
      </w:r>
    </w:p>
    <w:p w14:paraId="59864FC3">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10AEC322">
      <w:pPr>
        <w:tabs>
          <w:tab w:val="right" w:leader="hyphen" w:pos="8504"/>
        </w:tabs>
        <w:spacing w:line="360" w:lineRule="auto"/>
        <w:rPr>
          <w:rFonts w:cstheme="minorHAnsi"/>
          <w:sz w:val="28"/>
          <w:szCs w:val="28"/>
        </w:rPr>
      </w:pPr>
    </w:p>
    <w:p w14:paraId="1B80BA48">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14:paraId="34772836">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响应函</w:t>
      </w:r>
    </w:p>
    <w:p w14:paraId="5A4E611A">
      <w:pPr>
        <w:jc w:val="both"/>
        <w:rPr>
          <w:rFonts w:cstheme="minorHAnsi"/>
          <w:color w:val="000000"/>
        </w:rPr>
      </w:pPr>
      <w:r>
        <w:rPr>
          <w:rFonts w:hint="eastAsia"/>
        </w:rPr>
        <w:t>西安市市级单位政府采购中心</w:t>
      </w:r>
      <w:r>
        <w:rPr>
          <w:rFonts w:hint="eastAsia" w:cstheme="minorHAnsi"/>
          <w:color w:val="000000"/>
        </w:rPr>
        <w:t>：</w:t>
      </w:r>
    </w:p>
    <w:p w14:paraId="0BF01936">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的谈判文件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（项目未划分采购包时留空或填写“/”，全文同）的采购</w:t>
      </w:r>
      <w:r>
        <w:rPr>
          <w:rFonts w:cstheme="minorHAnsi"/>
          <w:color w:val="000000"/>
        </w:rPr>
        <w:t>活动。</w:t>
      </w:r>
      <w:r>
        <w:rPr>
          <w:rFonts w:hint="eastAsia" w:cstheme="minorHAnsi"/>
          <w:color w:val="000000"/>
        </w:rPr>
        <w:t>为此，我方郑重声明以下诸点，并负法律责任。</w:t>
      </w:r>
    </w:p>
    <w:p w14:paraId="1503DC46">
      <w:pPr>
        <w:ind w:firstLine="567"/>
        <w:jc w:val="both"/>
        <w:rPr>
          <w:rFonts w:cstheme="minorHAnsi"/>
          <w:color w:val="000000"/>
        </w:rPr>
      </w:pPr>
      <w:r>
        <w:rPr>
          <w:rFonts w:hint="eastAsia" w:cstheme="minorHAnsi"/>
          <w:color w:val="000000"/>
        </w:rPr>
        <w:t>1．我方已详细阅读了谈判文件，完全理解并同意谈判文件的所有事项及内容。</w:t>
      </w:r>
    </w:p>
    <w:p w14:paraId="502630FC">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西安市）上发布的关于本项目的有关变更公告（包括但不限于对谈判文件做出的修改或澄清、答疑纪要，以及项目暂停、重启、延期、终止等）。</w:t>
      </w:r>
    </w:p>
    <w:p w14:paraId="64321F4B">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4A419C33">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45041FB7">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549D0279">
      <w:pPr>
        <w:ind w:firstLine="567"/>
        <w:jc w:val="both"/>
        <w:rPr>
          <w:rFonts w:cstheme="minorHAnsi"/>
          <w:color w:val="000000"/>
        </w:rPr>
      </w:pPr>
      <w:r>
        <w:rPr>
          <w:rFonts w:cstheme="minorHAnsi"/>
          <w:color w:val="000000"/>
        </w:rPr>
        <w:t>7</w:t>
      </w:r>
      <w:r>
        <w:rPr>
          <w:rFonts w:hint="eastAsia" w:cstheme="minorHAnsi"/>
          <w:color w:val="000000"/>
        </w:rPr>
        <w:t>．我方响应文件在谈判之日起</w:t>
      </w:r>
      <w:r>
        <w:rPr>
          <w:rFonts w:cstheme="minorHAnsi"/>
          <w:color w:val="C00000"/>
        </w:rPr>
        <w:t>［___］个日历日</w:t>
      </w:r>
      <w:r>
        <w:rPr>
          <w:rFonts w:hint="eastAsia" w:cstheme="minorHAnsi"/>
          <w:color w:val="000000"/>
        </w:rPr>
        <w:t>（应不少于90个日历日）内有效。</w:t>
      </w:r>
    </w:p>
    <w:p w14:paraId="2674B6FF">
      <w:pPr>
        <w:ind w:firstLine="567"/>
        <w:jc w:val="both"/>
        <w:rPr>
          <w:rFonts w:cstheme="minorHAnsi"/>
          <w:color w:val="000000"/>
        </w:rPr>
      </w:pPr>
      <w:r>
        <w:rPr>
          <w:rFonts w:cstheme="minorHAnsi"/>
          <w:color w:val="000000"/>
        </w:rPr>
        <w:t>8</w:t>
      </w:r>
      <w:r>
        <w:rPr>
          <w:rFonts w:hint="eastAsia" w:cstheme="minorHAnsi"/>
          <w:color w:val="000000"/>
        </w:rPr>
        <w:t>．若我方成交，我方承诺：</w:t>
      </w:r>
    </w:p>
    <w:p w14:paraId="669D22B6">
      <w:pPr>
        <w:ind w:firstLine="567"/>
        <w:jc w:val="both"/>
        <w:rPr>
          <w:rFonts w:cstheme="minorHAnsi"/>
          <w:color w:val="000000"/>
        </w:rPr>
      </w:pPr>
      <w:r>
        <w:rPr>
          <w:rFonts w:hint="eastAsia" w:cstheme="minorHAnsi"/>
          <w:color w:val="000000"/>
        </w:rPr>
        <w:t>（1）将成交文件有效期延长至合同执行完毕；</w:t>
      </w:r>
    </w:p>
    <w:p w14:paraId="3549844C">
      <w:pPr>
        <w:ind w:firstLine="567"/>
        <w:jc w:val="both"/>
        <w:rPr>
          <w:rFonts w:cstheme="minorHAnsi"/>
          <w:color w:val="000000"/>
        </w:rPr>
      </w:pPr>
      <w:r>
        <w:rPr>
          <w:rFonts w:hint="eastAsia" w:cstheme="minorHAnsi"/>
          <w:color w:val="000000"/>
        </w:rPr>
        <w:t>（2）收到成交通知书后提交纸质响应文件一正两副，并按时足额交纳履约保证金；</w:t>
      </w:r>
    </w:p>
    <w:p w14:paraId="60652BD4">
      <w:pPr>
        <w:ind w:firstLine="567"/>
        <w:jc w:val="both"/>
        <w:rPr>
          <w:rFonts w:cstheme="minorHAnsi"/>
          <w:color w:val="000000"/>
        </w:rPr>
      </w:pPr>
      <w:r>
        <w:rPr>
          <w:rFonts w:hint="eastAsia" w:cstheme="minorHAnsi"/>
          <w:color w:val="000000"/>
        </w:rPr>
        <w:t>（3）遵照谈判文件中的要求，完成本项目的合同责任和义务。</w:t>
      </w:r>
    </w:p>
    <w:p w14:paraId="244F4427">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75368BA3">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4897D9E9">
      <w:pPr>
        <w:ind w:firstLine="567"/>
        <w:jc w:val="both"/>
        <w:rPr>
          <w:color w:val="000000"/>
        </w:rPr>
      </w:pPr>
      <w:r>
        <w:rPr>
          <w:rFonts w:hint="eastAsia"/>
          <w:color w:val="000000"/>
        </w:rPr>
        <w:t>（2）联系</w:t>
      </w:r>
      <w:r>
        <w:rPr>
          <w:color w:val="000000"/>
        </w:rPr>
        <w:t>电话：</w:t>
      </w:r>
    </w:p>
    <w:p w14:paraId="048F967E">
      <w:pPr>
        <w:ind w:firstLine="567"/>
        <w:jc w:val="both"/>
        <w:rPr>
          <w:color w:val="000000"/>
        </w:rPr>
      </w:pPr>
      <w:r>
        <w:rPr>
          <w:color w:val="000000"/>
        </w:rPr>
        <w:t>（</w:t>
      </w:r>
      <w:r>
        <w:rPr>
          <w:rFonts w:hint="eastAsia"/>
          <w:color w:val="000000"/>
        </w:rPr>
        <w:t>3</w:t>
      </w:r>
      <w:r>
        <w:rPr>
          <w:color w:val="000000"/>
        </w:rPr>
        <w:t>）通讯地址：</w:t>
      </w:r>
    </w:p>
    <w:p w14:paraId="138D00E5">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5D405F22">
      <w:pPr>
        <w:ind w:firstLine="567"/>
        <w:jc w:val="both"/>
      </w:pPr>
      <w:r>
        <w:t>（</w:t>
      </w:r>
      <w:r>
        <w:rPr>
          <w:rFonts w:hint="eastAsia"/>
        </w:rPr>
        <w:t>5</w:t>
      </w:r>
      <w:r>
        <w:t>）电子邮箱：</w:t>
      </w:r>
    </w:p>
    <w:p w14:paraId="6BFF3E77">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14:paraId="363F39B9">
      <w:pPr>
        <w:ind w:firstLine="567"/>
        <w:jc w:val="both"/>
      </w:pPr>
      <w:r>
        <w:t>日</w:t>
      </w:r>
      <w:r>
        <w:rPr>
          <w:rFonts w:hint="eastAsia"/>
        </w:rPr>
        <w:t>　</w:t>
      </w:r>
      <w:r>
        <w:t>期：　　年　月　日</w:t>
      </w:r>
    </w:p>
    <w:p w14:paraId="098E7857">
      <w:pPr>
        <w:jc w:val="both"/>
      </w:pPr>
    </w:p>
    <w:p w14:paraId="39AB650B">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14:paraId="79170807">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第一次报价</w:t>
      </w:r>
      <w:r>
        <w:rPr>
          <w:rFonts w:ascii="Calibri" w:hAnsi="Calibri" w:eastAsia="黑体"/>
          <w:kern w:val="32"/>
          <w:sz w:val="32"/>
        </w:rPr>
        <w:t>表</w:t>
      </w:r>
    </w:p>
    <w:p w14:paraId="7A022D50">
      <w:pPr>
        <w:pStyle w:val="40"/>
        <w:jc w:val="center"/>
        <w:rPr>
          <w:rFonts w:asciiTheme="minorHAnsi" w:hAnsiTheme="minorHAnsi" w:eastAsiaTheme="minorEastAsia"/>
          <w:b/>
          <w:color w:val="C00000"/>
          <w:sz w:val="24"/>
          <w:szCs w:val="24"/>
        </w:rPr>
      </w:pPr>
    </w:p>
    <w:tbl>
      <w:tblPr>
        <w:tblStyle w:val="24"/>
        <w:tblW w:w="90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911"/>
        <w:gridCol w:w="2912"/>
      </w:tblGrid>
      <w:tr w14:paraId="5EE4C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tl2br w:val="single" w:color="auto" w:sz="2" w:space="0"/>
            </w:tcBorders>
          </w:tcPr>
          <w:p w14:paraId="1C2DB71B">
            <w:pPr>
              <w:spacing w:line="440" w:lineRule="exact"/>
              <w:ind w:right="280"/>
              <w:jc w:val="right"/>
              <w:rPr>
                <w:rFonts w:cstheme="minorHAnsi"/>
                <w:b/>
                <w:color w:val="000000"/>
              </w:rPr>
            </w:pPr>
            <w:r>
              <w:rPr>
                <w:rFonts w:cstheme="minorHAnsi"/>
                <w:b/>
                <w:color w:val="000000"/>
              </w:rPr>
              <w:t>报价内容</w:t>
            </w:r>
          </w:p>
          <w:p w14:paraId="20D63677">
            <w:pPr>
              <w:rPr>
                <w:rFonts w:cstheme="minorHAnsi"/>
                <w:color w:val="000000"/>
              </w:rPr>
            </w:pPr>
          </w:p>
          <w:p w14:paraId="54F43AC9">
            <w:pPr>
              <w:spacing w:line="440" w:lineRule="exact"/>
              <w:ind w:right="1540" w:firstLine="120" w:firstLineChars="50"/>
              <w:rPr>
                <w:rFonts w:cstheme="minorHAnsi"/>
                <w:b/>
                <w:color w:val="000000"/>
              </w:rPr>
            </w:pPr>
            <w:r>
              <w:rPr>
                <w:rFonts w:cstheme="minorHAnsi"/>
                <w:b/>
                <w:color w:val="000000"/>
              </w:rPr>
              <w:t>项目</w:t>
            </w:r>
            <w:r>
              <w:rPr>
                <w:rFonts w:hint="eastAsia" w:cstheme="minorHAnsi"/>
                <w:b/>
                <w:color w:val="000000"/>
              </w:rPr>
              <w:t>\采购包</w:t>
            </w:r>
          </w:p>
        </w:tc>
        <w:tc>
          <w:tcPr>
            <w:tcW w:w="2911" w:type="dxa"/>
            <w:tcBorders>
              <w:top w:val="single" w:color="auto" w:sz="2" w:space="0"/>
            </w:tcBorders>
            <w:shd w:val="clear" w:color="auto" w:fill="F1F1F1" w:themeFill="background1" w:themeFillShade="F2"/>
            <w:vAlign w:val="center"/>
          </w:tcPr>
          <w:p w14:paraId="25DC6CB0">
            <w:pPr>
              <w:jc w:val="center"/>
              <w:rPr>
                <w:rFonts w:cstheme="minorHAnsi"/>
                <w:b/>
              </w:rPr>
            </w:pPr>
            <w:r>
              <w:rPr>
                <w:rFonts w:cstheme="minorHAnsi"/>
                <w:b/>
              </w:rPr>
              <w:t>A</w:t>
            </w:r>
          </w:p>
        </w:tc>
        <w:tc>
          <w:tcPr>
            <w:tcW w:w="2912" w:type="dxa"/>
            <w:tcBorders>
              <w:top w:val="single" w:color="auto" w:sz="2" w:space="0"/>
              <w:right w:val="single" w:color="auto" w:sz="2" w:space="0"/>
            </w:tcBorders>
            <w:shd w:val="clear" w:color="auto" w:fill="F1F1F1" w:themeFill="background1" w:themeFillShade="F2"/>
            <w:vAlign w:val="center"/>
          </w:tcPr>
          <w:p w14:paraId="50BC325C">
            <w:pPr>
              <w:jc w:val="center"/>
              <w:rPr>
                <w:rFonts w:cstheme="minorHAnsi"/>
                <w:b/>
              </w:rPr>
            </w:pPr>
            <w:r>
              <w:rPr>
                <w:rFonts w:cstheme="minorHAnsi"/>
                <w:b/>
              </w:rPr>
              <w:t>B</w:t>
            </w:r>
          </w:p>
        </w:tc>
      </w:tr>
      <w:tr w14:paraId="6306A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left w:val="single" w:color="auto" w:sz="2" w:space="0"/>
              <w:tl2br w:val="single" w:color="auto" w:sz="2" w:space="0"/>
            </w:tcBorders>
          </w:tcPr>
          <w:p w14:paraId="08E00952">
            <w:pPr>
              <w:spacing w:line="440" w:lineRule="exact"/>
              <w:ind w:right="280"/>
              <w:jc w:val="right"/>
              <w:rPr>
                <w:rFonts w:cstheme="minorHAnsi"/>
                <w:b/>
                <w:color w:val="000000"/>
              </w:rPr>
            </w:pPr>
          </w:p>
        </w:tc>
        <w:tc>
          <w:tcPr>
            <w:tcW w:w="2911" w:type="dxa"/>
            <w:vAlign w:val="center"/>
          </w:tcPr>
          <w:p w14:paraId="3D6D6613">
            <w:pPr>
              <w:spacing w:line="440" w:lineRule="exact"/>
              <w:jc w:val="center"/>
              <w:rPr>
                <w:b/>
              </w:rPr>
            </w:pPr>
            <w:r>
              <w:rPr>
                <w:b/>
              </w:rPr>
              <w:t>谈判报价（元）</w:t>
            </w:r>
          </w:p>
        </w:tc>
        <w:tc>
          <w:tcPr>
            <w:tcW w:w="2912" w:type="dxa"/>
            <w:tcBorders>
              <w:right w:val="single" w:color="auto" w:sz="2" w:space="0"/>
            </w:tcBorders>
            <w:vAlign w:val="center"/>
          </w:tcPr>
          <w:p w14:paraId="5DBE27B8">
            <w:pPr>
              <w:jc w:val="center"/>
              <w:rPr>
                <w:b/>
              </w:rPr>
            </w:pPr>
            <w:r>
              <w:rPr>
                <w:b/>
              </w:rPr>
              <w:t>交付期</w:t>
            </w:r>
          </w:p>
        </w:tc>
      </w:tr>
      <w:tr w14:paraId="5D1BF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left w:val="single" w:color="auto" w:sz="2" w:space="0"/>
            </w:tcBorders>
            <w:vAlign w:val="center"/>
          </w:tcPr>
          <w:p w14:paraId="7B02B392">
            <w:pPr>
              <w:spacing w:line="440" w:lineRule="exact"/>
              <w:jc w:val="center"/>
              <w:rPr>
                <w:rFonts w:cstheme="minorHAnsi"/>
                <w:color w:val="C00000"/>
                <w:sz w:val="21"/>
                <w:szCs w:val="21"/>
              </w:rPr>
            </w:pPr>
            <w:r>
              <w:rPr>
                <w:rFonts w:cstheme="minorHAnsi"/>
                <w:color w:val="C00000"/>
                <w:sz w:val="21"/>
                <w:szCs w:val="21"/>
              </w:rPr>
              <w:t>［项目名称］</w:t>
            </w:r>
          </w:p>
          <w:p w14:paraId="11EFA3FA">
            <w:pPr>
              <w:spacing w:line="440" w:lineRule="exact"/>
              <w:jc w:val="center"/>
              <w:rPr>
                <w:rFonts w:cstheme="minorHAnsi"/>
                <w:color w:val="000000"/>
              </w:rPr>
            </w:pPr>
            <w:r>
              <w:rPr>
                <w:rFonts w:hint="eastAsia" w:cstheme="minorHAnsi"/>
                <w:color w:val="C00000"/>
                <w:sz w:val="21"/>
                <w:szCs w:val="21"/>
              </w:rPr>
              <w:t>采购包</w:t>
            </w:r>
            <w:r>
              <w:rPr>
                <w:rFonts w:cstheme="minorHAnsi"/>
                <w:color w:val="C00000"/>
                <w:sz w:val="21"/>
                <w:szCs w:val="21"/>
              </w:rPr>
              <w:t>［___］</w:t>
            </w:r>
          </w:p>
        </w:tc>
        <w:tc>
          <w:tcPr>
            <w:tcW w:w="2911" w:type="dxa"/>
            <w:vAlign w:val="center"/>
          </w:tcPr>
          <w:p w14:paraId="0F0AEFC1">
            <w:pPr>
              <w:spacing w:line="440" w:lineRule="exact"/>
              <w:jc w:val="center"/>
              <w:rPr>
                <w:rFonts w:cstheme="minorHAnsi"/>
                <w:color w:val="000000"/>
              </w:rPr>
            </w:pPr>
          </w:p>
        </w:tc>
        <w:tc>
          <w:tcPr>
            <w:tcW w:w="2912" w:type="dxa"/>
            <w:tcBorders>
              <w:right w:val="single" w:color="auto" w:sz="2" w:space="0"/>
            </w:tcBorders>
            <w:vAlign w:val="center"/>
          </w:tcPr>
          <w:p w14:paraId="5BA82839">
            <w:pPr>
              <w:spacing w:line="440" w:lineRule="exact"/>
              <w:jc w:val="center"/>
              <w:rPr>
                <w:rFonts w:cstheme="minorHAnsi"/>
                <w:color w:val="000000"/>
              </w:rPr>
            </w:pPr>
          </w:p>
        </w:tc>
      </w:tr>
    </w:tbl>
    <w:p w14:paraId="24C5DF27">
      <w:r>
        <w:rPr>
          <w:rFonts w:cstheme="minorHAnsi"/>
          <w:color w:val="000000"/>
        </w:rPr>
        <w:t>供应商：（</w:t>
      </w:r>
      <w:r>
        <w:rPr>
          <w:rFonts w:cstheme="minorHAnsi"/>
          <w:i/>
          <w:color w:val="7030A0"/>
        </w:rPr>
        <w:t>供应商全称并加盖公章</w:t>
      </w:r>
      <w:r>
        <w:rPr>
          <w:rFonts w:cstheme="minorHAnsi"/>
          <w:color w:val="000000"/>
        </w:rPr>
        <w:t>）</w:t>
      </w:r>
    </w:p>
    <w:p w14:paraId="1C1FD881">
      <w:pPr>
        <w:spacing w:before="230" w:beforeLines="50"/>
        <w:rPr>
          <w:kern w:val="24"/>
        </w:rPr>
      </w:pPr>
    </w:p>
    <w:p w14:paraId="6F5CB488">
      <w:pPr>
        <w:ind w:firstLine="480" w:firstLineChars="200"/>
        <w:jc w:val="both"/>
        <w:rPr>
          <w:kern w:val="24"/>
        </w:rPr>
      </w:pPr>
      <w:r>
        <w:rPr>
          <w:rFonts w:hint="eastAsia"/>
          <w:kern w:val="24"/>
        </w:rPr>
        <w:t>〖注〗以下情况按无效响应处理：</w:t>
      </w:r>
    </w:p>
    <w:p w14:paraId="5286B8A5">
      <w:pPr>
        <w:ind w:firstLine="480" w:firstLineChars="200"/>
        <w:jc w:val="both"/>
        <w:rPr>
          <w:kern w:val="24"/>
        </w:rPr>
      </w:pPr>
      <w:r>
        <w:rPr>
          <w:rFonts w:hint="eastAsia"/>
          <w:kern w:val="24"/>
        </w:rPr>
        <w:t>1．A栏未按阿拉伯小写金额样式填写，B栏未填写交付期。</w:t>
      </w:r>
    </w:p>
    <w:p w14:paraId="156679DF">
      <w:pPr>
        <w:ind w:firstLine="480" w:firstLineChars="200"/>
        <w:jc w:val="both"/>
        <w:rPr>
          <w:kern w:val="24"/>
        </w:rPr>
      </w:pPr>
      <w:r>
        <w:rPr>
          <w:rFonts w:hint="eastAsia"/>
          <w:kern w:val="24"/>
        </w:rPr>
        <w:t>2．本表A栏值与分项报价表中的“合计”值不一致的。</w:t>
      </w:r>
    </w:p>
    <w:p w14:paraId="29FF9FA0">
      <w:pPr>
        <w:ind w:firstLine="480" w:firstLineChars="200"/>
        <w:jc w:val="both"/>
        <w:rPr>
          <w:kern w:val="24"/>
        </w:rPr>
      </w:pPr>
      <w:r>
        <w:rPr>
          <w:rFonts w:hint="eastAsia"/>
          <w:kern w:val="24"/>
        </w:rPr>
        <w:t>3．谈判报价超过本采购包/项目预算的。</w:t>
      </w:r>
    </w:p>
    <w:p w14:paraId="60CE0BFD">
      <w:pPr>
        <w:pStyle w:val="40"/>
        <w:ind w:firstLine="560" w:firstLineChars="200"/>
        <w:jc w:val="both"/>
        <w:rPr>
          <w:rFonts w:hAnsi="华文仿宋"/>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14:paraId="6BC3AD40">
      <w:pPr>
        <w:pStyle w:val="49"/>
      </w:pPr>
      <w:r>
        <w:rPr>
          <w:rFonts w:hint="eastAsia"/>
        </w:rPr>
        <w:t>分项报价</w:t>
      </w:r>
      <w:r>
        <w:t>表</w:t>
      </w:r>
    </w:p>
    <w:p w14:paraId="4CDA7133">
      <w:pPr>
        <w:pStyle w:val="40"/>
        <w:jc w:val="both"/>
        <w:rPr>
          <w:rFonts w:asciiTheme="minorHAnsi" w:hAnsiTheme="minorHAnsi" w:eastAsiaTheme="minorEastAsia"/>
          <w:vanish/>
          <w:color w:val="00B050"/>
          <w:sz w:val="24"/>
          <w:szCs w:val="24"/>
        </w:rPr>
      </w:pPr>
      <w:r>
        <w:rPr>
          <w:rFonts w:asciiTheme="minorHAnsi" w:hAnsiTheme="minorHAnsi" w:eastAsiaTheme="minorEastAsia"/>
          <w:sz w:val="24"/>
          <w:szCs w:val="24"/>
        </w:rPr>
        <w:t>采购包：</w:t>
      </w:r>
      <w:r>
        <w:rPr>
          <w:rFonts w:asciiTheme="minorHAnsi" w:hAnsiTheme="minorHAnsi" w:eastAsiaTheme="minorEastAsia" w:cstheme="minorHAnsi"/>
          <w:color w:val="C00000"/>
          <w:sz w:val="24"/>
          <w:szCs w:val="24"/>
        </w:rPr>
        <w:t>第［___］包</w:t>
      </w:r>
    </w:p>
    <w:tbl>
      <w:tblPr>
        <w:tblStyle w:val="24"/>
        <w:tblW w:w="15797"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5"/>
        <w:gridCol w:w="1558"/>
        <w:gridCol w:w="1332"/>
        <w:gridCol w:w="1332"/>
        <w:gridCol w:w="1332"/>
        <w:gridCol w:w="3673"/>
        <w:gridCol w:w="993"/>
        <w:gridCol w:w="1364"/>
        <w:gridCol w:w="1754"/>
        <w:gridCol w:w="1754"/>
      </w:tblGrid>
      <w:tr w14:paraId="2D2999C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D8D8D8" w:themeFill="background1" w:themeFillShade="D9"/>
            <w:noWrap/>
            <w:tcMar>
              <w:top w:w="20" w:type="dxa"/>
              <w:left w:w="20" w:type="dxa"/>
              <w:bottom w:w="0" w:type="dxa"/>
              <w:right w:w="20" w:type="dxa"/>
            </w:tcMar>
            <w:vAlign w:val="center"/>
          </w:tcPr>
          <w:p w14:paraId="7335A297">
            <w:pPr>
              <w:spacing w:line="320" w:lineRule="exact"/>
              <w:jc w:val="center"/>
              <w:rPr>
                <w:rFonts w:cs="Calibri Light"/>
                <w:b/>
                <w:bCs/>
                <w:sz w:val="21"/>
                <w:szCs w:val="21"/>
              </w:rPr>
            </w:pPr>
            <w:r>
              <w:rPr>
                <w:rFonts w:cs="Calibri Light"/>
                <w:b/>
                <w:bCs/>
                <w:sz w:val="21"/>
                <w:szCs w:val="21"/>
              </w:rPr>
              <w:t>一</w:t>
            </w:r>
          </w:p>
        </w:tc>
        <w:tc>
          <w:tcPr>
            <w:tcW w:w="15092" w:type="dxa"/>
            <w:gridSpan w:val="9"/>
            <w:shd w:val="clear" w:color="auto" w:fill="D8D8D8" w:themeFill="background1" w:themeFillShade="D9"/>
          </w:tcPr>
          <w:p w14:paraId="6BAB7EBA">
            <w:pPr>
              <w:spacing w:line="320" w:lineRule="exact"/>
              <w:jc w:val="center"/>
              <w:rPr>
                <w:rFonts w:cs="Calibri Light"/>
                <w:b/>
                <w:bCs/>
                <w:sz w:val="21"/>
                <w:szCs w:val="21"/>
              </w:rPr>
            </w:pPr>
            <w:r>
              <w:rPr>
                <w:rFonts w:cs="Calibri Light"/>
                <w:b/>
                <w:bCs/>
                <w:sz w:val="21"/>
                <w:szCs w:val="21"/>
              </w:rPr>
              <w:t>产品购置费</w:t>
            </w:r>
          </w:p>
        </w:tc>
      </w:tr>
      <w:tr w14:paraId="55174FF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1F1F1" w:themeFill="background1" w:themeFillShade="F2"/>
            <w:noWrap/>
            <w:tcMar>
              <w:top w:w="20" w:type="dxa"/>
              <w:left w:w="20" w:type="dxa"/>
              <w:bottom w:w="0" w:type="dxa"/>
              <w:right w:w="20" w:type="dxa"/>
            </w:tcMar>
            <w:vAlign w:val="center"/>
          </w:tcPr>
          <w:p w14:paraId="2FFD835F">
            <w:pPr>
              <w:spacing w:line="320" w:lineRule="exact"/>
              <w:jc w:val="center"/>
              <w:rPr>
                <w:rFonts w:cs="Calibri Light"/>
                <w:b/>
                <w:sz w:val="21"/>
                <w:szCs w:val="21"/>
              </w:rPr>
            </w:pPr>
            <w:r>
              <w:rPr>
                <w:rFonts w:cs="Calibri Light"/>
                <w:b/>
                <w:sz w:val="21"/>
                <w:szCs w:val="21"/>
              </w:rPr>
              <w:t>序号</w:t>
            </w:r>
          </w:p>
        </w:tc>
        <w:tc>
          <w:tcPr>
            <w:tcW w:w="1558" w:type="dxa"/>
            <w:shd w:val="clear" w:color="auto" w:fill="F1F1F1" w:themeFill="background1" w:themeFillShade="F2"/>
            <w:noWrap/>
            <w:tcMar>
              <w:top w:w="20" w:type="dxa"/>
              <w:left w:w="20" w:type="dxa"/>
              <w:bottom w:w="0" w:type="dxa"/>
              <w:right w:w="20" w:type="dxa"/>
            </w:tcMar>
            <w:vAlign w:val="center"/>
          </w:tcPr>
          <w:p w14:paraId="2BA594B3">
            <w:pPr>
              <w:spacing w:line="320" w:lineRule="exact"/>
              <w:jc w:val="center"/>
              <w:rPr>
                <w:rFonts w:cs="Calibri Light"/>
                <w:b/>
                <w:sz w:val="21"/>
                <w:szCs w:val="21"/>
              </w:rPr>
            </w:pPr>
            <w:r>
              <w:rPr>
                <w:rFonts w:cs="Calibri Light"/>
                <w:b/>
                <w:sz w:val="21"/>
                <w:szCs w:val="21"/>
              </w:rPr>
              <w:t>标的名称</w:t>
            </w:r>
          </w:p>
          <w:p w14:paraId="0A4671EB">
            <w:pPr>
              <w:spacing w:line="320" w:lineRule="exact"/>
              <w:jc w:val="center"/>
              <w:rPr>
                <w:rFonts w:cs="Calibri Light"/>
                <w:b/>
                <w:sz w:val="21"/>
                <w:szCs w:val="21"/>
              </w:rPr>
            </w:pPr>
            <w:r>
              <w:rPr>
                <w:rFonts w:hint="eastAsia" w:cs="Calibri Light"/>
                <w:b/>
                <w:sz w:val="21"/>
                <w:szCs w:val="21"/>
              </w:rPr>
              <w:t>（产品名称）</w:t>
            </w:r>
          </w:p>
        </w:tc>
        <w:tc>
          <w:tcPr>
            <w:tcW w:w="1332" w:type="dxa"/>
            <w:shd w:val="clear" w:color="auto" w:fill="F1F1F1" w:themeFill="background1" w:themeFillShade="F2"/>
            <w:noWrap/>
            <w:tcMar>
              <w:top w:w="20" w:type="dxa"/>
              <w:left w:w="20" w:type="dxa"/>
              <w:bottom w:w="0" w:type="dxa"/>
              <w:right w:w="20" w:type="dxa"/>
            </w:tcMar>
            <w:vAlign w:val="center"/>
          </w:tcPr>
          <w:p w14:paraId="4B8D0482">
            <w:pPr>
              <w:spacing w:line="320" w:lineRule="exact"/>
              <w:jc w:val="center"/>
              <w:rPr>
                <w:rFonts w:cs="Calibri Light"/>
                <w:b/>
                <w:sz w:val="21"/>
                <w:szCs w:val="21"/>
              </w:rPr>
            </w:pPr>
            <w:r>
              <w:rPr>
                <w:rFonts w:cs="Calibri Light"/>
                <w:b/>
                <w:sz w:val="21"/>
                <w:szCs w:val="21"/>
              </w:rPr>
              <w:t>品牌</w:t>
            </w:r>
          </w:p>
        </w:tc>
        <w:tc>
          <w:tcPr>
            <w:tcW w:w="1332" w:type="dxa"/>
            <w:shd w:val="clear" w:color="auto" w:fill="F1F1F1" w:themeFill="background1" w:themeFillShade="F2"/>
            <w:tcMar>
              <w:top w:w="20" w:type="dxa"/>
              <w:left w:w="20" w:type="dxa"/>
              <w:bottom w:w="0" w:type="dxa"/>
              <w:right w:w="20" w:type="dxa"/>
            </w:tcMar>
            <w:vAlign w:val="center"/>
          </w:tcPr>
          <w:p w14:paraId="7BF2DBA5">
            <w:pPr>
              <w:spacing w:line="320" w:lineRule="exact"/>
              <w:jc w:val="center"/>
              <w:rPr>
                <w:rFonts w:cs="Calibri Light"/>
                <w:b/>
                <w:sz w:val="21"/>
                <w:szCs w:val="21"/>
              </w:rPr>
            </w:pPr>
            <w:r>
              <w:rPr>
                <w:rFonts w:cs="Calibri Light"/>
                <w:b/>
                <w:sz w:val="21"/>
                <w:szCs w:val="21"/>
              </w:rPr>
              <w:t>型号</w:t>
            </w:r>
          </w:p>
        </w:tc>
        <w:tc>
          <w:tcPr>
            <w:tcW w:w="1332" w:type="dxa"/>
            <w:shd w:val="clear" w:color="auto" w:fill="F1F1F1" w:themeFill="background1" w:themeFillShade="F2"/>
            <w:vAlign w:val="center"/>
          </w:tcPr>
          <w:p w14:paraId="2EE142C7">
            <w:pPr>
              <w:spacing w:line="320" w:lineRule="exact"/>
              <w:jc w:val="center"/>
              <w:rPr>
                <w:rFonts w:cs="Calibri Light"/>
                <w:b/>
                <w:sz w:val="21"/>
                <w:szCs w:val="21"/>
              </w:rPr>
            </w:pPr>
            <w:r>
              <w:rPr>
                <w:rFonts w:cs="Calibri Light"/>
                <w:b/>
                <w:sz w:val="21"/>
                <w:szCs w:val="21"/>
              </w:rPr>
              <w:t>规格</w:t>
            </w:r>
          </w:p>
        </w:tc>
        <w:tc>
          <w:tcPr>
            <w:tcW w:w="3673" w:type="dxa"/>
            <w:shd w:val="clear" w:color="auto" w:fill="F1F1F1" w:themeFill="background1" w:themeFillShade="F2"/>
            <w:noWrap/>
            <w:tcMar>
              <w:top w:w="20" w:type="dxa"/>
              <w:left w:w="20" w:type="dxa"/>
              <w:bottom w:w="0" w:type="dxa"/>
              <w:right w:w="20" w:type="dxa"/>
            </w:tcMar>
            <w:vAlign w:val="center"/>
          </w:tcPr>
          <w:p w14:paraId="12CB8D42">
            <w:pPr>
              <w:spacing w:line="320" w:lineRule="exact"/>
              <w:jc w:val="center"/>
              <w:rPr>
                <w:rFonts w:cs="Calibri Light"/>
                <w:b/>
                <w:sz w:val="21"/>
                <w:szCs w:val="21"/>
              </w:rPr>
            </w:pPr>
            <w:r>
              <w:rPr>
                <w:rFonts w:cs="Calibri Light"/>
                <w:b/>
                <w:sz w:val="21"/>
                <w:szCs w:val="21"/>
              </w:rPr>
              <w:t>制造商</w:t>
            </w:r>
          </w:p>
        </w:tc>
        <w:tc>
          <w:tcPr>
            <w:tcW w:w="993" w:type="dxa"/>
            <w:shd w:val="clear" w:color="auto" w:fill="F1F1F1" w:themeFill="background1" w:themeFillShade="F2"/>
            <w:noWrap/>
            <w:tcMar>
              <w:top w:w="20" w:type="dxa"/>
              <w:left w:w="20" w:type="dxa"/>
              <w:bottom w:w="0" w:type="dxa"/>
              <w:right w:w="20" w:type="dxa"/>
            </w:tcMar>
            <w:vAlign w:val="center"/>
          </w:tcPr>
          <w:p w14:paraId="25F6E2F6">
            <w:pPr>
              <w:spacing w:line="320" w:lineRule="exact"/>
              <w:jc w:val="center"/>
              <w:rPr>
                <w:rFonts w:cs="Calibri Light"/>
                <w:b/>
                <w:sz w:val="21"/>
                <w:szCs w:val="21"/>
              </w:rPr>
            </w:pPr>
            <w:r>
              <w:rPr>
                <w:rFonts w:cs="Calibri Light"/>
                <w:b/>
                <w:sz w:val="21"/>
                <w:szCs w:val="21"/>
              </w:rPr>
              <w:t>数量</w:t>
            </w:r>
          </w:p>
        </w:tc>
        <w:tc>
          <w:tcPr>
            <w:tcW w:w="1364" w:type="dxa"/>
            <w:shd w:val="clear" w:color="auto" w:fill="F1F1F1" w:themeFill="background1" w:themeFillShade="F2"/>
            <w:vAlign w:val="center"/>
          </w:tcPr>
          <w:p w14:paraId="0B6DC3DF">
            <w:pPr>
              <w:spacing w:line="320" w:lineRule="exact"/>
              <w:jc w:val="center"/>
              <w:rPr>
                <w:rFonts w:cs="Calibri Light"/>
                <w:b/>
                <w:sz w:val="21"/>
                <w:szCs w:val="21"/>
              </w:rPr>
            </w:pPr>
            <w:r>
              <w:rPr>
                <w:rFonts w:hint="eastAsia" w:cs="Calibri Light"/>
                <w:b/>
                <w:sz w:val="21"/>
                <w:szCs w:val="21"/>
              </w:rPr>
              <w:t>单价</w:t>
            </w:r>
            <w:r>
              <w:rPr>
                <w:rFonts w:cs="Calibri Light"/>
                <w:b/>
                <w:sz w:val="21"/>
                <w:szCs w:val="21"/>
              </w:rPr>
              <w:t>限价</w:t>
            </w:r>
          </w:p>
        </w:tc>
        <w:tc>
          <w:tcPr>
            <w:tcW w:w="1754" w:type="dxa"/>
            <w:shd w:val="clear" w:color="auto" w:fill="F1F1F1" w:themeFill="background1" w:themeFillShade="F2"/>
            <w:vAlign w:val="center"/>
          </w:tcPr>
          <w:p w14:paraId="16CAEA7A">
            <w:pPr>
              <w:spacing w:line="320" w:lineRule="exact"/>
              <w:jc w:val="center"/>
              <w:rPr>
                <w:rFonts w:cs="Calibri Light"/>
                <w:b/>
                <w:sz w:val="21"/>
                <w:szCs w:val="21"/>
              </w:rPr>
            </w:pPr>
            <w:r>
              <w:rPr>
                <w:rFonts w:cs="Calibri Light"/>
                <w:b/>
                <w:sz w:val="21"/>
                <w:szCs w:val="21"/>
              </w:rPr>
              <w:t>单价</w:t>
            </w:r>
          </w:p>
        </w:tc>
        <w:tc>
          <w:tcPr>
            <w:tcW w:w="1754" w:type="dxa"/>
            <w:shd w:val="clear" w:color="auto" w:fill="F1F1F1" w:themeFill="background1" w:themeFillShade="F2"/>
            <w:vAlign w:val="center"/>
          </w:tcPr>
          <w:p w14:paraId="0D0006F3">
            <w:pPr>
              <w:spacing w:line="320" w:lineRule="exact"/>
              <w:jc w:val="center"/>
              <w:rPr>
                <w:rFonts w:cs="Calibri Light"/>
                <w:b/>
                <w:sz w:val="21"/>
                <w:szCs w:val="21"/>
              </w:rPr>
            </w:pPr>
            <w:r>
              <w:rPr>
                <w:rFonts w:cs="Calibri Light"/>
                <w:b/>
                <w:sz w:val="21"/>
                <w:szCs w:val="21"/>
              </w:rPr>
              <w:t>总价</w:t>
            </w:r>
          </w:p>
        </w:tc>
      </w:tr>
      <w:tr w14:paraId="6E6DB1D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7A62F58A">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4172AE49">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679509CC">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5BA5CACC">
            <w:pPr>
              <w:spacing w:line="320" w:lineRule="exact"/>
              <w:jc w:val="center"/>
              <w:rPr>
                <w:rFonts w:cs="Calibri Light"/>
                <w:bCs/>
                <w:sz w:val="21"/>
                <w:szCs w:val="21"/>
              </w:rPr>
            </w:pPr>
          </w:p>
        </w:tc>
        <w:tc>
          <w:tcPr>
            <w:tcW w:w="1332" w:type="dxa"/>
            <w:shd w:val="clear" w:color="auto" w:fill="FFFFFF" w:themeFill="background1"/>
            <w:vAlign w:val="center"/>
          </w:tcPr>
          <w:p w14:paraId="0261DF56">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7FC196F1">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40C89E4E">
            <w:pPr>
              <w:spacing w:line="320" w:lineRule="exact"/>
              <w:jc w:val="center"/>
              <w:rPr>
                <w:rFonts w:cs="Calibri Light"/>
                <w:bCs/>
                <w:sz w:val="21"/>
                <w:szCs w:val="21"/>
              </w:rPr>
            </w:pPr>
          </w:p>
        </w:tc>
        <w:tc>
          <w:tcPr>
            <w:tcW w:w="1364" w:type="dxa"/>
            <w:shd w:val="clear" w:color="auto" w:fill="FFFFFF" w:themeFill="background1"/>
            <w:vAlign w:val="center"/>
          </w:tcPr>
          <w:p w14:paraId="6B6DDF64">
            <w:pPr>
              <w:spacing w:line="320" w:lineRule="exact"/>
              <w:jc w:val="center"/>
              <w:rPr>
                <w:rFonts w:cs="Calibri Light"/>
                <w:bCs/>
                <w:sz w:val="21"/>
                <w:szCs w:val="21"/>
              </w:rPr>
            </w:pPr>
          </w:p>
        </w:tc>
        <w:tc>
          <w:tcPr>
            <w:tcW w:w="1754" w:type="dxa"/>
            <w:shd w:val="clear" w:color="auto" w:fill="FFFFFF" w:themeFill="background1"/>
          </w:tcPr>
          <w:p w14:paraId="5B155202">
            <w:pPr>
              <w:spacing w:line="320" w:lineRule="exact"/>
              <w:jc w:val="center"/>
              <w:rPr>
                <w:rFonts w:cs="Calibri Light"/>
                <w:bCs/>
                <w:sz w:val="21"/>
                <w:szCs w:val="21"/>
              </w:rPr>
            </w:pPr>
          </w:p>
        </w:tc>
        <w:tc>
          <w:tcPr>
            <w:tcW w:w="1754" w:type="dxa"/>
            <w:shd w:val="clear" w:color="auto" w:fill="FFFFFF" w:themeFill="background1"/>
            <w:vAlign w:val="center"/>
          </w:tcPr>
          <w:p w14:paraId="711FDCFC">
            <w:pPr>
              <w:spacing w:line="320" w:lineRule="exact"/>
              <w:jc w:val="center"/>
              <w:rPr>
                <w:rFonts w:cs="Calibri Light"/>
                <w:bCs/>
                <w:sz w:val="21"/>
                <w:szCs w:val="21"/>
              </w:rPr>
            </w:pPr>
          </w:p>
        </w:tc>
      </w:tr>
      <w:tr w14:paraId="5994295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014CA6E1">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74AABF81">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5581B9CA">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6CC15E69">
            <w:pPr>
              <w:spacing w:line="320" w:lineRule="exact"/>
              <w:jc w:val="center"/>
              <w:rPr>
                <w:rFonts w:cs="Calibri Light"/>
                <w:bCs/>
                <w:sz w:val="21"/>
                <w:szCs w:val="21"/>
              </w:rPr>
            </w:pPr>
          </w:p>
        </w:tc>
        <w:tc>
          <w:tcPr>
            <w:tcW w:w="1332" w:type="dxa"/>
            <w:shd w:val="clear" w:color="auto" w:fill="FFFFFF" w:themeFill="background1"/>
            <w:vAlign w:val="center"/>
          </w:tcPr>
          <w:p w14:paraId="514FCECA">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7DBD03E8">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574BC408">
            <w:pPr>
              <w:spacing w:line="320" w:lineRule="exact"/>
              <w:jc w:val="center"/>
              <w:rPr>
                <w:rFonts w:cs="Calibri Light"/>
                <w:bCs/>
                <w:sz w:val="21"/>
                <w:szCs w:val="21"/>
              </w:rPr>
            </w:pPr>
          </w:p>
        </w:tc>
        <w:tc>
          <w:tcPr>
            <w:tcW w:w="1364" w:type="dxa"/>
            <w:shd w:val="clear" w:color="auto" w:fill="FFFFFF" w:themeFill="background1"/>
            <w:vAlign w:val="center"/>
          </w:tcPr>
          <w:p w14:paraId="10AC3E5A">
            <w:pPr>
              <w:spacing w:line="320" w:lineRule="exact"/>
              <w:jc w:val="center"/>
              <w:rPr>
                <w:rFonts w:cs="Calibri Light"/>
                <w:bCs/>
                <w:sz w:val="21"/>
                <w:szCs w:val="21"/>
              </w:rPr>
            </w:pPr>
          </w:p>
        </w:tc>
        <w:tc>
          <w:tcPr>
            <w:tcW w:w="1754" w:type="dxa"/>
            <w:shd w:val="clear" w:color="auto" w:fill="FFFFFF" w:themeFill="background1"/>
          </w:tcPr>
          <w:p w14:paraId="56277605">
            <w:pPr>
              <w:spacing w:line="320" w:lineRule="exact"/>
              <w:jc w:val="center"/>
              <w:rPr>
                <w:rFonts w:cs="Calibri Light"/>
                <w:bCs/>
                <w:sz w:val="21"/>
                <w:szCs w:val="21"/>
              </w:rPr>
            </w:pPr>
          </w:p>
        </w:tc>
        <w:tc>
          <w:tcPr>
            <w:tcW w:w="1754" w:type="dxa"/>
            <w:shd w:val="clear" w:color="auto" w:fill="FFFFFF" w:themeFill="background1"/>
            <w:vAlign w:val="center"/>
          </w:tcPr>
          <w:p w14:paraId="3AE0B533">
            <w:pPr>
              <w:spacing w:line="320" w:lineRule="exact"/>
              <w:jc w:val="center"/>
              <w:rPr>
                <w:rFonts w:cs="Calibri Light"/>
                <w:bCs/>
                <w:sz w:val="21"/>
                <w:szCs w:val="21"/>
              </w:rPr>
            </w:pPr>
          </w:p>
        </w:tc>
      </w:tr>
      <w:tr w14:paraId="22C15A8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2402B0D8">
            <w:pPr>
              <w:spacing w:line="320" w:lineRule="exact"/>
              <w:jc w:val="center"/>
              <w:rPr>
                <w:rFonts w:cs="Calibri Light"/>
                <w:bCs/>
                <w:sz w:val="21"/>
                <w:szCs w:val="21"/>
              </w:rPr>
            </w:pPr>
            <w:r>
              <w:rPr>
                <w:rFonts w:hint="eastAsia" w:cs="Calibri Light"/>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164717D4">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4069CCD3">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35E385F5">
            <w:pPr>
              <w:spacing w:line="320" w:lineRule="exact"/>
              <w:jc w:val="center"/>
              <w:rPr>
                <w:rFonts w:cs="Calibri Light"/>
                <w:bCs/>
                <w:sz w:val="21"/>
                <w:szCs w:val="21"/>
              </w:rPr>
            </w:pPr>
          </w:p>
        </w:tc>
        <w:tc>
          <w:tcPr>
            <w:tcW w:w="1332" w:type="dxa"/>
            <w:shd w:val="clear" w:color="auto" w:fill="FFFFFF" w:themeFill="background1"/>
            <w:vAlign w:val="center"/>
          </w:tcPr>
          <w:p w14:paraId="7496D088">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58CAEB04">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7BA6CACC">
            <w:pPr>
              <w:spacing w:line="320" w:lineRule="exact"/>
              <w:jc w:val="center"/>
              <w:rPr>
                <w:rFonts w:cs="Calibri Light"/>
                <w:bCs/>
                <w:sz w:val="21"/>
                <w:szCs w:val="21"/>
              </w:rPr>
            </w:pPr>
          </w:p>
        </w:tc>
        <w:tc>
          <w:tcPr>
            <w:tcW w:w="1364" w:type="dxa"/>
            <w:shd w:val="clear" w:color="auto" w:fill="FFFFFF" w:themeFill="background1"/>
            <w:vAlign w:val="center"/>
          </w:tcPr>
          <w:p w14:paraId="48BEE5DA">
            <w:pPr>
              <w:spacing w:line="320" w:lineRule="exact"/>
              <w:jc w:val="center"/>
              <w:rPr>
                <w:rFonts w:cs="Calibri Light"/>
                <w:bCs/>
                <w:sz w:val="21"/>
                <w:szCs w:val="21"/>
              </w:rPr>
            </w:pPr>
          </w:p>
        </w:tc>
        <w:tc>
          <w:tcPr>
            <w:tcW w:w="1754" w:type="dxa"/>
            <w:shd w:val="clear" w:color="auto" w:fill="FFFFFF" w:themeFill="background1"/>
          </w:tcPr>
          <w:p w14:paraId="47531DC5">
            <w:pPr>
              <w:spacing w:line="320" w:lineRule="exact"/>
              <w:jc w:val="center"/>
              <w:rPr>
                <w:rFonts w:cs="Calibri Light"/>
                <w:bCs/>
                <w:sz w:val="21"/>
                <w:szCs w:val="21"/>
              </w:rPr>
            </w:pPr>
          </w:p>
        </w:tc>
        <w:tc>
          <w:tcPr>
            <w:tcW w:w="1754" w:type="dxa"/>
            <w:shd w:val="clear" w:color="auto" w:fill="FFFFFF" w:themeFill="background1"/>
            <w:vAlign w:val="center"/>
          </w:tcPr>
          <w:p w14:paraId="5E84ABD8">
            <w:pPr>
              <w:spacing w:line="320" w:lineRule="exact"/>
              <w:jc w:val="center"/>
              <w:rPr>
                <w:rFonts w:cs="Calibri Light"/>
                <w:bCs/>
                <w:sz w:val="21"/>
                <w:szCs w:val="21"/>
              </w:rPr>
            </w:pPr>
          </w:p>
        </w:tc>
      </w:tr>
      <w:tr w14:paraId="481820D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D8D8D8" w:themeFill="background1" w:themeFillShade="D9"/>
            <w:noWrap/>
            <w:tcMar>
              <w:top w:w="20" w:type="dxa"/>
              <w:left w:w="20" w:type="dxa"/>
              <w:bottom w:w="0" w:type="dxa"/>
              <w:right w:w="20" w:type="dxa"/>
            </w:tcMar>
            <w:vAlign w:val="center"/>
          </w:tcPr>
          <w:p w14:paraId="6EBADDCF">
            <w:pPr>
              <w:spacing w:line="320" w:lineRule="exact"/>
              <w:jc w:val="center"/>
              <w:rPr>
                <w:rFonts w:cs="Calibri Light"/>
                <w:b/>
                <w:bCs/>
                <w:sz w:val="21"/>
                <w:szCs w:val="21"/>
              </w:rPr>
            </w:pPr>
            <w:r>
              <w:rPr>
                <w:rFonts w:cs="Calibri Light"/>
                <w:b/>
                <w:bCs/>
                <w:sz w:val="21"/>
                <w:szCs w:val="21"/>
              </w:rPr>
              <w:t>二</w:t>
            </w:r>
          </w:p>
        </w:tc>
        <w:tc>
          <w:tcPr>
            <w:tcW w:w="15092" w:type="dxa"/>
            <w:gridSpan w:val="9"/>
            <w:shd w:val="clear" w:color="auto" w:fill="D8D8D8" w:themeFill="background1" w:themeFillShade="D9"/>
          </w:tcPr>
          <w:p w14:paraId="11DC3634">
            <w:pPr>
              <w:spacing w:line="320" w:lineRule="exact"/>
              <w:jc w:val="center"/>
              <w:rPr>
                <w:rFonts w:cs="Calibri Light"/>
                <w:b/>
                <w:bCs/>
                <w:sz w:val="21"/>
                <w:szCs w:val="21"/>
              </w:rPr>
            </w:pPr>
            <w:r>
              <w:rPr>
                <w:rFonts w:cs="Calibri Light"/>
                <w:b/>
                <w:bCs/>
                <w:sz w:val="21"/>
                <w:szCs w:val="21"/>
              </w:rPr>
              <w:t>其他费用</w:t>
            </w:r>
          </w:p>
        </w:tc>
      </w:tr>
      <w:tr w14:paraId="09580A9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1F1F1" w:themeFill="background1" w:themeFillShade="F2"/>
            <w:noWrap/>
            <w:tcMar>
              <w:top w:w="20" w:type="dxa"/>
              <w:left w:w="20" w:type="dxa"/>
              <w:bottom w:w="0" w:type="dxa"/>
              <w:right w:w="20" w:type="dxa"/>
            </w:tcMar>
            <w:vAlign w:val="center"/>
          </w:tcPr>
          <w:p w14:paraId="60B18C0F">
            <w:pPr>
              <w:spacing w:line="320" w:lineRule="exact"/>
              <w:jc w:val="center"/>
              <w:rPr>
                <w:rFonts w:cs="Calibri Light"/>
                <w:b/>
                <w:bCs/>
                <w:sz w:val="21"/>
                <w:szCs w:val="21"/>
              </w:rPr>
            </w:pPr>
            <w:r>
              <w:rPr>
                <w:rFonts w:cs="Calibri Light"/>
                <w:b/>
                <w:bCs/>
                <w:sz w:val="21"/>
                <w:szCs w:val="21"/>
              </w:rPr>
              <w:t>序号</w:t>
            </w:r>
          </w:p>
        </w:tc>
        <w:tc>
          <w:tcPr>
            <w:tcW w:w="1558" w:type="dxa"/>
            <w:shd w:val="clear" w:color="auto" w:fill="F1F1F1" w:themeFill="background1" w:themeFillShade="F2"/>
            <w:noWrap/>
            <w:tcMar>
              <w:top w:w="20" w:type="dxa"/>
              <w:left w:w="20" w:type="dxa"/>
              <w:bottom w:w="0" w:type="dxa"/>
              <w:right w:w="20" w:type="dxa"/>
            </w:tcMar>
            <w:vAlign w:val="center"/>
          </w:tcPr>
          <w:p w14:paraId="16570A1F">
            <w:pPr>
              <w:spacing w:line="320" w:lineRule="exact"/>
              <w:jc w:val="center"/>
              <w:rPr>
                <w:rFonts w:cs="Calibri Light"/>
                <w:b/>
                <w:sz w:val="21"/>
                <w:szCs w:val="21"/>
              </w:rPr>
            </w:pPr>
            <w:r>
              <w:rPr>
                <w:rFonts w:cs="Calibri Light"/>
                <w:b/>
                <w:sz w:val="21"/>
                <w:szCs w:val="21"/>
              </w:rPr>
              <w:t>费用名称</w:t>
            </w:r>
          </w:p>
        </w:tc>
        <w:tc>
          <w:tcPr>
            <w:tcW w:w="7669" w:type="dxa"/>
            <w:gridSpan w:val="4"/>
            <w:shd w:val="clear" w:color="auto" w:fill="F1F1F1" w:themeFill="background1" w:themeFillShade="F2"/>
            <w:noWrap/>
            <w:tcMar>
              <w:top w:w="20" w:type="dxa"/>
              <w:left w:w="20" w:type="dxa"/>
              <w:bottom w:w="0" w:type="dxa"/>
              <w:right w:w="20" w:type="dxa"/>
            </w:tcMar>
            <w:vAlign w:val="center"/>
          </w:tcPr>
          <w:p w14:paraId="242C059B">
            <w:pPr>
              <w:spacing w:line="320" w:lineRule="exact"/>
              <w:jc w:val="center"/>
              <w:rPr>
                <w:rFonts w:cs="Calibri Light"/>
                <w:b/>
                <w:bCs/>
                <w:sz w:val="21"/>
                <w:szCs w:val="21"/>
              </w:rPr>
            </w:pPr>
            <w:r>
              <w:rPr>
                <w:rFonts w:cs="Calibri Light"/>
                <w:b/>
                <w:bCs/>
                <w:sz w:val="21"/>
                <w:szCs w:val="21"/>
              </w:rPr>
              <w:t>费用描述</w:t>
            </w:r>
          </w:p>
        </w:tc>
        <w:tc>
          <w:tcPr>
            <w:tcW w:w="993" w:type="dxa"/>
            <w:shd w:val="clear" w:color="auto" w:fill="F1F1F1" w:themeFill="background1" w:themeFillShade="F2"/>
            <w:noWrap/>
            <w:tcMar>
              <w:top w:w="20" w:type="dxa"/>
              <w:left w:w="20" w:type="dxa"/>
              <w:bottom w:w="0" w:type="dxa"/>
              <w:right w:w="20" w:type="dxa"/>
            </w:tcMar>
            <w:vAlign w:val="center"/>
          </w:tcPr>
          <w:p w14:paraId="47DFC394">
            <w:pPr>
              <w:spacing w:line="320" w:lineRule="exact"/>
              <w:jc w:val="center"/>
              <w:rPr>
                <w:rFonts w:cs="Calibri Light"/>
                <w:b/>
                <w:bCs/>
                <w:sz w:val="21"/>
                <w:szCs w:val="21"/>
              </w:rPr>
            </w:pPr>
            <w:r>
              <w:rPr>
                <w:rFonts w:cs="Calibri Light"/>
                <w:b/>
                <w:bCs/>
                <w:sz w:val="21"/>
                <w:szCs w:val="21"/>
              </w:rPr>
              <w:t>数量</w:t>
            </w:r>
          </w:p>
        </w:tc>
        <w:tc>
          <w:tcPr>
            <w:tcW w:w="3118" w:type="dxa"/>
            <w:gridSpan w:val="2"/>
            <w:shd w:val="clear" w:color="auto" w:fill="F1F1F1" w:themeFill="background1" w:themeFillShade="F2"/>
            <w:vAlign w:val="center"/>
          </w:tcPr>
          <w:p w14:paraId="5BFD8F53">
            <w:pPr>
              <w:spacing w:line="320" w:lineRule="exact"/>
              <w:jc w:val="center"/>
              <w:rPr>
                <w:rFonts w:cs="Calibri Light"/>
                <w:b/>
                <w:bCs/>
                <w:sz w:val="21"/>
                <w:szCs w:val="21"/>
              </w:rPr>
            </w:pPr>
            <w:r>
              <w:rPr>
                <w:rFonts w:cs="Calibri Light"/>
                <w:b/>
                <w:bCs/>
                <w:sz w:val="21"/>
                <w:szCs w:val="21"/>
              </w:rPr>
              <w:t>单价</w:t>
            </w:r>
          </w:p>
        </w:tc>
        <w:tc>
          <w:tcPr>
            <w:tcW w:w="1754" w:type="dxa"/>
            <w:shd w:val="clear" w:color="auto" w:fill="F1F1F1" w:themeFill="background1" w:themeFillShade="F2"/>
            <w:vAlign w:val="center"/>
          </w:tcPr>
          <w:p w14:paraId="4AED36B1">
            <w:pPr>
              <w:spacing w:line="320" w:lineRule="exact"/>
              <w:jc w:val="center"/>
              <w:rPr>
                <w:rFonts w:cs="Calibri Light"/>
                <w:b/>
                <w:bCs/>
                <w:sz w:val="21"/>
                <w:szCs w:val="21"/>
              </w:rPr>
            </w:pPr>
            <w:r>
              <w:rPr>
                <w:rFonts w:cs="Calibri Light"/>
                <w:b/>
                <w:bCs/>
                <w:sz w:val="21"/>
                <w:szCs w:val="21"/>
              </w:rPr>
              <w:t>总价</w:t>
            </w:r>
          </w:p>
        </w:tc>
      </w:tr>
      <w:tr w14:paraId="4E57E41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119AA749">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751054FD">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0E9953F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2B36ED7E">
            <w:pPr>
              <w:spacing w:line="320" w:lineRule="exact"/>
              <w:jc w:val="center"/>
              <w:rPr>
                <w:rFonts w:cs="Calibri Light"/>
                <w:bCs/>
                <w:sz w:val="21"/>
                <w:szCs w:val="21"/>
              </w:rPr>
            </w:pPr>
          </w:p>
        </w:tc>
        <w:tc>
          <w:tcPr>
            <w:tcW w:w="3118" w:type="dxa"/>
            <w:gridSpan w:val="2"/>
            <w:shd w:val="clear" w:color="auto" w:fill="FFFFFF" w:themeFill="background1"/>
            <w:vAlign w:val="center"/>
          </w:tcPr>
          <w:p w14:paraId="5613C90A">
            <w:pPr>
              <w:spacing w:line="320" w:lineRule="exact"/>
              <w:jc w:val="center"/>
              <w:rPr>
                <w:rFonts w:cs="Calibri Light"/>
                <w:bCs/>
                <w:sz w:val="21"/>
                <w:szCs w:val="21"/>
              </w:rPr>
            </w:pPr>
          </w:p>
        </w:tc>
        <w:tc>
          <w:tcPr>
            <w:tcW w:w="1754" w:type="dxa"/>
            <w:shd w:val="clear" w:color="auto" w:fill="FFFFFF" w:themeFill="background1"/>
            <w:vAlign w:val="center"/>
          </w:tcPr>
          <w:p w14:paraId="789D872E">
            <w:pPr>
              <w:spacing w:line="320" w:lineRule="exact"/>
              <w:jc w:val="center"/>
              <w:rPr>
                <w:rFonts w:cs="Calibri Light"/>
                <w:bCs/>
                <w:sz w:val="21"/>
                <w:szCs w:val="21"/>
              </w:rPr>
            </w:pPr>
          </w:p>
        </w:tc>
      </w:tr>
      <w:tr w14:paraId="009817E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1CD58A31">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472332BF">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2C5EA50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45EDB6A3">
            <w:pPr>
              <w:spacing w:line="320" w:lineRule="exact"/>
              <w:jc w:val="center"/>
              <w:rPr>
                <w:rFonts w:cs="Calibri Light"/>
                <w:bCs/>
                <w:sz w:val="21"/>
                <w:szCs w:val="21"/>
              </w:rPr>
            </w:pPr>
          </w:p>
        </w:tc>
        <w:tc>
          <w:tcPr>
            <w:tcW w:w="3118" w:type="dxa"/>
            <w:gridSpan w:val="2"/>
            <w:shd w:val="clear" w:color="auto" w:fill="FFFFFF" w:themeFill="background1"/>
            <w:vAlign w:val="center"/>
          </w:tcPr>
          <w:p w14:paraId="3BF151AB">
            <w:pPr>
              <w:spacing w:line="320" w:lineRule="exact"/>
              <w:jc w:val="center"/>
              <w:rPr>
                <w:rFonts w:cs="Calibri Light"/>
                <w:bCs/>
                <w:sz w:val="21"/>
                <w:szCs w:val="21"/>
              </w:rPr>
            </w:pPr>
          </w:p>
        </w:tc>
        <w:tc>
          <w:tcPr>
            <w:tcW w:w="1754" w:type="dxa"/>
            <w:shd w:val="clear" w:color="auto" w:fill="FFFFFF" w:themeFill="background1"/>
            <w:vAlign w:val="center"/>
          </w:tcPr>
          <w:p w14:paraId="3381409A">
            <w:pPr>
              <w:spacing w:line="320" w:lineRule="exact"/>
              <w:jc w:val="center"/>
              <w:rPr>
                <w:rFonts w:cs="Calibri Light"/>
                <w:bCs/>
                <w:sz w:val="21"/>
                <w:szCs w:val="21"/>
              </w:rPr>
            </w:pPr>
          </w:p>
        </w:tc>
      </w:tr>
      <w:tr w14:paraId="4D98C0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65D9EF74">
            <w:pPr>
              <w:spacing w:line="320" w:lineRule="exact"/>
              <w:jc w:val="center"/>
              <w:rPr>
                <w:rFonts w:cs="Calibri Light"/>
                <w:bCs/>
                <w:sz w:val="21"/>
                <w:szCs w:val="21"/>
              </w:rPr>
            </w:pPr>
            <w:r>
              <w:rPr>
                <w:rFonts w:hint="eastAsia" w:cs="Calibri Light"/>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74C41C9D">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228AB8C9">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3EDFB356">
            <w:pPr>
              <w:spacing w:line="320" w:lineRule="exact"/>
              <w:jc w:val="center"/>
              <w:rPr>
                <w:rFonts w:cs="Calibri Light"/>
                <w:bCs/>
                <w:sz w:val="21"/>
                <w:szCs w:val="21"/>
              </w:rPr>
            </w:pPr>
          </w:p>
        </w:tc>
        <w:tc>
          <w:tcPr>
            <w:tcW w:w="3118" w:type="dxa"/>
            <w:gridSpan w:val="2"/>
            <w:shd w:val="clear" w:color="auto" w:fill="FFFFFF" w:themeFill="background1"/>
            <w:vAlign w:val="center"/>
          </w:tcPr>
          <w:p w14:paraId="55396A9E">
            <w:pPr>
              <w:spacing w:line="320" w:lineRule="exact"/>
              <w:jc w:val="center"/>
              <w:rPr>
                <w:rFonts w:cs="Calibri Light"/>
                <w:bCs/>
                <w:sz w:val="21"/>
                <w:szCs w:val="21"/>
              </w:rPr>
            </w:pPr>
          </w:p>
        </w:tc>
        <w:tc>
          <w:tcPr>
            <w:tcW w:w="1754" w:type="dxa"/>
            <w:shd w:val="clear" w:color="auto" w:fill="FFFFFF" w:themeFill="background1"/>
            <w:vAlign w:val="center"/>
          </w:tcPr>
          <w:p w14:paraId="5886FCB0">
            <w:pPr>
              <w:spacing w:line="320" w:lineRule="exact"/>
              <w:jc w:val="center"/>
              <w:rPr>
                <w:rFonts w:cs="Calibri Light"/>
                <w:bCs/>
                <w:sz w:val="21"/>
                <w:szCs w:val="21"/>
              </w:rPr>
            </w:pPr>
          </w:p>
        </w:tc>
      </w:tr>
      <w:tr w14:paraId="0DBD70E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14043" w:type="dxa"/>
            <w:gridSpan w:val="9"/>
            <w:shd w:val="clear" w:color="auto" w:fill="auto"/>
            <w:vAlign w:val="center"/>
          </w:tcPr>
          <w:p w14:paraId="4845091D">
            <w:pPr>
              <w:spacing w:line="320" w:lineRule="exact"/>
              <w:jc w:val="center"/>
              <w:rPr>
                <w:rFonts w:cs="Calibri Light"/>
                <w:b/>
                <w:bCs/>
                <w:sz w:val="21"/>
                <w:szCs w:val="21"/>
              </w:rPr>
            </w:pPr>
            <w:r>
              <w:rPr>
                <w:rFonts w:cs="Calibri Light"/>
                <w:b/>
                <w:bCs/>
                <w:sz w:val="21"/>
                <w:szCs w:val="21"/>
              </w:rPr>
              <w:t>合计</w:t>
            </w:r>
          </w:p>
        </w:tc>
        <w:tc>
          <w:tcPr>
            <w:tcW w:w="1754" w:type="dxa"/>
            <w:shd w:val="clear" w:color="auto" w:fill="auto"/>
            <w:vAlign w:val="center"/>
          </w:tcPr>
          <w:p w14:paraId="5416E78A">
            <w:pPr>
              <w:spacing w:line="320" w:lineRule="exact"/>
              <w:jc w:val="center"/>
              <w:rPr>
                <w:rFonts w:cs="Calibri Light"/>
                <w:b/>
                <w:bCs/>
                <w:sz w:val="21"/>
                <w:szCs w:val="21"/>
              </w:rPr>
            </w:pPr>
          </w:p>
        </w:tc>
      </w:tr>
    </w:tbl>
    <w:p w14:paraId="37A00FC0">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2F953CCA">
      <w:pPr>
        <w:tabs>
          <w:tab w:val="right" w:pos="9070"/>
        </w:tabs>
        <w:spacing w:line="440" w:lineRule="exact"/>
        <w:jc w:val="both"/>
        <w:rPr>
          <w:rFonts w:cs="Calibri Light"/>
          <w:bCs/>
        </w:rPr>
      </w:pPr>
      <w:r>
        <w:rPr>
          <w:rFonts w:cs="Calibri Light"/>
        </w:rPr>
        <w:t>说明</w:t>
      </w:r>
      <w:r>
        <w:rPr>
          <w:rFonts w:cs="Calibri Light"/>
          <w:bCs/>
        </w:rPr>
        <w:t>：1．</w:t>
      </w:r>
      <w:r>
        <w:rPr>
          <w:rFonts w:hint="eastAsia" w:cs="Calibri Light"/>
          <w:bCs/>
        </w:rPr>
        <w:t>供应商</w:t>
      </w:r>
      <w:r>
        <w:rPr>
          <w:rFonts w:cs="Calibri Light"/>
          <w:bCs/>
        </w:rPr>
        <w:t>应依据第三章「采购内容」逐项填写。</w:t>
      </w:r>
    </w:p>
    <w:p w14:paraId="0B49CCA8">
      <w:pPr>
        <w:tabs>
          <w:tab w:val="right" w:pos="9070"/>
        </w:tabs>
        <w:spacing w:line="440" w:lineRule="exact"/>
        <w:ind w:firstLine="720" w:firstLineChars="300"/>
        <w:jc w:val="both"/>
        <w:rPr>
          <w:rFonts w:cs="Calibri Light"/>
          <w:bCs/>
        </w:rPr>
      </w:pPr>
      <w:r>
        <w:rPr>
          <w:rFonts w:cs="Calibri Light"/>
          <w:bCs/>
        </w:rPr>
        <w:t>2．总价</w:t>
      </w:r>
      <w:r>
        <w:rPr>
          <w:rFonts w:hint="eastAsia" w:cs="Calibri Light"/>
          <w:bCs/>
        </w:rPr>
        <w:t>＝</w:t>
      </w:r>
      <w:r>
        <w:rPr>
          <w:rFonts w:cs="Calibri Light"/>
          <w:bCs/>
        </w:rPr>
        <w:t>单价</w:t>
      </w:r>
      <w:r>
        <w:rPr>
          <w:rFonts w:hint="eastAsia" w:cs="Calibri Light"/>
          <w:bCs/>
        </w:rPr>
        <w:t>×</w:t>
      </w:r>
      <w:r>
        <w:rPr>
          <w:rFonts w:cs="Calibri Light"/>
          <w:bCs/>
        </w:rPr>
        <w:t>数量；合计</w:t>
      </w:r>
      <w:r>
        <w:rPr>
          <w:rFonts w:hint="eastAsia" w:cs="Calibri Light"/>
          <w:bCs/>
        </w:rPr>
        <w:t>＝</w:t>
      </w:r>
      <w:r>
        <w:rPr>
          <w:rFonts w:cs="Calibri Light"/>
          <w:bCs/>
        </w:rPr>
        <w:t>总价的算术和。</w:t>
      </w:r>
    </w:p>
    <w:p w14:paraId="293CF025">
      <w:pPr>
        <w:tabs>
          <w:tab w:val="right" w:pos="9070"/>
        </w:tabs>
        <w:spacing w:line="440" w:lineRule="exact"/>
        <w:ind w:firstLine="720" w:firstLineChars="300"/>
        <w:jc w:val="both"/>
        <w:rPr>
          <w:rFonts w:cs="Calibri Light"/>
        </w:rPr>
      </w:pPr>
      <w:r>
        <w:rPr>
          <w:rFonts w:cs="Calibri Light"/>
          <w:bCs/>
        </w:rPr>
        <w:t>3．表格空</w:t>
      </w:r>
      <w:r>
        <w:rPr>
          <w:rFonts w:cs="Calibri Light"/>
        </w:rPr>
        <w:t>间不足时，可自行扩展。</w:t>
      </w:r>
    </w:p>
    <w:p w14:paraId="2A992698">
      <w:pPr>
        <w:tabs>
          <w:tab w:val="right" w:pos="9070"/>
        </w:tabs>
        <w:spacing w:line="440" w:lineRule="exact"/>
        <w:ind w:firstLine="720" w:firstLineChars="300"/>
        <w:jc w:val="both"/>
        <w:rPr>
          <w:rFonts w:cs="Calibri Light"/>
        </w:rPr>
      </w:pPr>
      <w:r>
        <w:rPr>
          <w:rFonts w:hint="eastAsia" w:cs="Calibri Light"/>
        </w:rPr>
        <w:t>4</w:t>
      </w:r>
      <w:r>
        <w:rPr>
          <w:rFonts w:cs="Calibri Light"/>
          <w:bCs/>
        </w:rPr>
        <w:t>．单价报价不得超过单价限价，否则按无效响应处理</w:t>
      </w:r>
      <w:r>
        <w:rPr>
          <w:rFonts w:hint="eastAsia" w:cs="Calibri Light"/>
          <w:bCs/>
        </w:rPr>
        <w:t>。</w:t>
      </w:r>
    </w:p>
    <w:p w14:paraId="2D4F2EEF">
      <w:pPr>
        <w:tabs>
          <w:tab w:val="right" w:pos="9070"/>
        </w:tabs>
        <w:spacing w:line="440" w:lineRule="exact"/>
        <w:jc w:val="both"/>
        <w:sectPr>
          <w:footerReference r:id="rId23" w:type="default"/>
          <w:footerReference r:id="rId24" w:type="even"/>
          <w:pgSz w:w="16838" w:h="11906" w:orient="landscape"/>
          <w:pgMar w:top="1418" w:right="1418" w:bottom="1418" w:left="1418" w:header="851" w:footer="992" w:gutter="0"/>
          <w:cols w:space="425" w:num="1"/>
          <w:docGrid w:type="linesAndChars" w:linePitch="460" w:charSpace="0"/>
        </w:sectPr>
      </w:pPr>
      <w:r>
        <w:br w:type="page"/>
      </w:r>
    </w:p>
    <w:p w14:paraId="085D907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087C9D8C">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2FB4B5B0">
      <w:pPr>
        <w:keepNext/>
        <w:spacing w:before="120" w:after="60"/>
        <w:outlineLvl w:val="3"/>
        <w:rPr>
          <w:b/>
          <w:kern w:val="28"/>
        </w:rPr>
      </w:pPr>
      <w:r>
        <w:rPr>
          <w:b/>
          <w:kern w:val="28"/>
        </w:rPr>
        <w:t>1．有效的注册登记证明文件</w:t>
      </w:r>
    </w:p>
    <w:p w14:paraId="42AAF2C2">
      <w:pPr>
        <w:ind w:firstLine="480" w:firstLineChars="200"/>
        <w:jc w:val="both"/>
        <w:rPr>
          <w:rFonts w:cstheme="minorHAnsi"/>
          <w:color w:val="000000"/>
          <w:kern w:val="24"/>
        </w:rPr>
      </w:pPr>
    </w:p>
    <w:p w14:paraId="332FE3CE">
      <w:pPr>
        <w:ind w:firstLine="480" w:firstLineChars="200"/>
        <w:jc w:val="both"/>
        <w:rPr>
          <w:rFonts w:cstheme="minorHAnsi"/>
          <w:color w:val="000000"/>
          <w:kern w:val="24"/>
        </w:rPr>
      </w:pPr>
    </w:p>
    <w:p w14:paraId="4F431BD1">
      <w:pPr>
        <w:ind w:firstLine="480" w:firstLineChars="200"/>
        <w:jc w:val="both"/>
        <w:rPr>
          <w:rFonts w:cstheme="minorHAnsi"/>
          <w:color w:val="000000"/>
          <w:kern w:val="24"/>
        </w:rPr>
      </w:pPr>
    </w:p>
    <w:p w14:paraId="5C8F13CA">
      <w:pPr>
        <w:keepNext/>
        <w:spacing w:before="120" w:after="60"/>
        <w:outlineLvl w:val="3"/>
        <w:rPr>
          <w:b/>
          <w:kern w:val="28"/>
        </w:rPr>
      </w:pPr>
      <w:r>
        <w:rPr>
          <w:b/>
          <w:kern w:val="28"/>
        </w:rPr>
        <w:t>2．财务状况报告</w:t>
      </w:r>
    </w:p>
    <w:p w14:paraId="77F717AD">
      <w:pPr>
        <w:ind w:firstLine="480" w:firstLineChars="200"/>
        <w:jc w:val="both"/>
        <w:rPr>
          <w:rFonts w:cstheme="minorHAnsi"/>
          <w:i/>
          <w:color w:val="7030A0"/>
          <w:kern w:val="24"/>
        </w:rPr>
      </w:pPr>
      <w:r>
        <w:rPr>
          <w:rFonts w:cstheme="minorHAnsi"/>
          <w:i/>
          <w:color w:val="7030A0"/>
          <w:kern w:val="24"/>
        </w:rPr>
        <w:t>说明：两种形式任选一种，其中采用第二种形式的须按下方给定格式</w:t>
      </w:r>
      <w:r>
        <w:rPr>
          <w:rFonts w:hint="eastAsia" w:cstheme="minorHAnsi"/>
          <w:i/>
          <w:color w:val="7030A0"/>
          <w:kern w:val="24"/>
        </w:rPr>
        <w:t>自行</w:t>
      </w:r>
      <w:r>
        <w:rPr>
          <w:rFonts w:cstheme="minorHAnsi"/>
          <w:i/>
          <w:color w:val="7030A0"/>
          <w:kern w:val="24"/>
        </w:rPr>
        <w:t>填写基本存款账户信息。</w:t>
      </w:r>
    </w:p>
    <w:p w14:paraId="5D544C3F">
      <w:pPr>
        <w:spacing w:before="230" w:beforeLines="50"/>
        <w:jc w:val="center"/>
        <w:rPr>
          <w:rFonts w:cs="Calibri Light"/>
          <w:b/>
          <w:color w:val="1F4E79"/>
          <w:sz w:val="28"/>
        </w:rPr>
      </w:pPr>
      <w:r>
        <w:rPr>
          <w:rFonts w:cs="Calibri Light"/>
          <w:b/>
          <w:color w:val="1F4E79"/>
          <w:sz w:val="28"/>
        </w:rPr>
        <w:t>『基本存款账户信息』（格式）</w:t>
      </w:r>
    </w:p>
    <w:p w14:paraId="3062E7C6">
      <w:pPr>
        <w:ind w:firstLine="480" w:firstLineChars="200"/>
        <w:jc w:val="both"/>
        <w:rPr>
          <w:rFonts w:cstheme="minorHAnsi"/>
          <w:color w:val="000000"/>
          <w:kern w:val="24"/>
        </w:rPr>
      </w:pPr>
      <w:r>
        <w:rPr>
          <w:rFonts w:cstheme="minorHAnsi"/>
          <w:color w:val="000000"/>
          <w:kern w:val="24"/>
        </w:rPr>
        <w:t>账户名称：</w:t>
      </w:r>
    </w:p>
    <w:p w14:paraId="5D627377">
      <w:pPr>
        <w:ind w:firstLine="480" w:firstLineChars="200"/>
        <w:jc w:val="both"/>
        <w:rPr>
          <w:rFonts w:cstheme="minorHAnsi"/>
          <w:color w:val="000000"/>
          <w:kern w:val="24"/>
        </w:rPr>
      </w:pPr>
      <w:r>
        <w:rPr>
          <w:rFonts w:cstheme="minorHAnsi"/>
          <w:color w:val="000000"/>
          <w:kern w:val="24"/>
        </w:rPr>
        <w:t>账户号码：</w:t>
      </w:r>
    </w:p>
    <w:p w14:paraId="24F48296">
      <w:pPr>
        <w:ind w:firstLine="480" w:firstLineChars="200"/>
        <w:jc w:val="both"/>
        <w:rPr>
          <w:rFonts w:cstheme="minorHAnsi"/>
          <w:color w:val="000000"/>
          <w:kern w:val="24"/>
        </w:rPr>
      </w:pPr>
      <w:r>
        <w:rPr>
          <w:rFonts w:cstheme="minorHAnsi"/>
          <w:color w:val="000000"/>
          <w:kern w:val="24"/>
        </w:rPr>
        <w:t>开户银行：</w:t>
      </w:r>
    </w:p>
    <w:p w14:paraId="53426C9D">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364D9EC0">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5ACFEBD0">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75967003">
      <w:pPr>
        <w:ind w:firstLine="480" w:firstLineChars="200"/>
        <w:jc w:val="both"/>
        <w:rPr>
          <w:rFonts w:cstheme="minorHAnsi"/>
          <w:color w:val="000000"/>
          <w:kern w:val="24"/>
        </w:rPr>
      </w:pPr>
      <w:r>
        <w:rPr>
          <w:rFonts w:cstheme="minorHAnsi"/>
          <w:color w:val="000000"/>
          <w:kern w:val="24"/>
        </w:rPr>
        <w:t>日期：　　年　月　日</w:t>
      </w:r>
    </w:p>
    <w:p w14:paraId="025ED593">
      <w:pPr>
        <w:ind w:firstLine="480" w:firstLineChars="200"/>
        <w:jc w:val="both"/>
        <w:rPr>
          <w:rFonts w:cstheme="minorHAnsi"/>
          <w:color w:val="000000"/>
          <w:kern w:val="24"/>
        </w:rPr>
      </w:pPr>
    </w:p>
    <w:p w14:paraId="0B341E5B">
      <w:pPr>
        <w:ind w:firstLine="480" w:firstLineChars="200"/>
        <w:jc w:val="both"/>
        <w:rPr>
          <w:rFonts w:cstheme="minorHAnsi"/>
          <w:color w:val="000000"/>
          <w:kern w:val="24"/>
        </w:rPr>
      </w:pPr>
    </w:p>
    <w:p w14:paraId="697D3424">
      <w:pPr>
        <w:keepNext/>
        <w:spacing w:before="120" w:after="60"/>
        <w:outlineLvl w:val="3"/>
        <w:rPr>
          <w:b/>
          <w:kern w:val="28"/>
        </w:rPr>
      </w:pPr>
      <w:r>
        <w:rPr>
          <w:b/>
          <w:kern w:val="28"/>
        </w:rPr>
        <w:t>3．社会保障资金缴纳证明</w:t>
      </w:r>
    </w:p>
    <w:p w14:paraId="03464AEC">
      <w:pPr>
        <w:ind w:firstLine="480" w:firstLineChars="200"/>
        <w:jc w:val="both"/>
        <w:rPr>
          <w:rFonts w:cstheme="minorHAnsi"/>
          <w:color w:val="000000"/>
          <w:kern w:val="24"/>
        </w:rPr>
      </w:pPr>
    </w:p>
    <w:p w14:paraId="3AB501F9">
      <w:pPr>
        <w:ind w:firstLine="480" w:firstLineChars="200"/>
        <w:jc w:val="both"/>
        <w:rPr>
          <w:rFonts w:cstheme="minorHAnsi"/>
          <w:color w:val="000000"/>
          <w:kern w:val="24"/>
        </w:rPr>
      </w:pPr>
    </w:p>
    <w:p w14:paraId="4D1976D0">
      <w:pPr>
        <w:ind w:firstLine="480" w:firstLineChars="200"/>
        <w:jc w:val="both"/>
        <w:rPr>
          <w:rFonts w:cstheme="minorHAnsi"/>
          <w:color w:val="000000"/>
          <w:kern w:val="24"/>
        </w:rPr>
      </w:pPr>
    </w:p>
    <w:p w14:paraId="64EFF3BC">
      <w:pPr>
        <w:keepNext/>
        <w:spacing w:before="120" w:after="60"/>
        <w:outlineLvl w:val="3"/>
        <w:rPr>
          <w:b/>
          <w:kern w:val="28"/>
        </w:rPr>
      </w:pPr>
      <w:r>
        <w:rPr>
          <w:b/>
          <w:kern w:val="28"/>
        </w:rPr>
        <w:t>4．税收缴纳证明</w:t>
      </w:r>
    </w:p>
    <w:p w14:paraId="64665BE5">
      <w:pPr>
        <w:ind w:firstLine="480" w:firstLineChars="200"/>
        <w:jc w:val="both"/>
        <w:rPr>
          <w:rFonts w:cstheme="minorHAnsi"/>
          <w:color w:val="000000"/>
          <w:kern w:val="24"/>
        </w:rPr>
      </w:pPr>
    </w:p>
    <w:p w14:paraId="45E04FE9">
      <w:pPr>
        <w:ind w:firstLine="480" w:firstLineChars="200"/>
        <w:jc w:val="both"/>
        <w:rPr>
          <w:rFonts w:cstheme="minorHAnsi"/>
          <w:color w:val="000000"/>
          <w:kern w:val="24"/>
        </w:rPr>
      </w:pPr>
    </w:p>
    <w:p w14:paraId="7A02CD3A">
      <w:pPr>
        <w:keepNext/>
        <w:spacing w:before="120" w:after="60"/>
        <w:outlineLvl w:val="3"/>
        <w:rPr>
          <w:b/>
          <w:kern w:val="28"/>
        </w:rPr>
      </w:pPr>
      <w:r>
        <w:rPr>
          <w:b/>
          <w:kern w:val="28"/>
        </w:rPr>
        <w:t>5．无重大违法记录声明</w:t>
      </w:r>
    </w:p>
    <w:p w14:paraId="588818F7">
      <w:pPr>
        <w:ind w:firstLine="480" w:firstLineChars="200"/>
        <w:jc w:val="both"/>
        <w:rPr>
          <w:rFonts w:cstheme="minorHAnsi"/>
          <w:i/>
          <w:color w:val="7030A0"/>
          <w:kern w:val="24"/>
        </w:rPr>
      </w:pPr>
      <w:r>
        <w:rPr>
          <w:rFonts w:cstheme="minorHAnsi"/>
          <w:i/>
          <w:color w:val="7030A0"/>
          <w:kern w:val="24"/>
        </w:rPr>
        <w:t>说明：按下方给定格式进行填写</w:t>
      </w:r>
    </w:p>
    <w:p w14:paraId="78328EF9">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46A3DF17">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17B26048">
      <w:pPr>
        <w:spacing w:before="230" w:beforeLines="50"/>
        <w:jc w:val="center"/>
        <w:rPr>
          <w:rFonts w:cs="Calibri Light"/>
          <w:b/>
          <w:color w:val="1F4E79"/>
          <w:sz w:val="28"/>
        </w:rPr>
      </w:pPr>
      <w:r>
        <w:rPr>
          <w:rFonts w:cs="Calibri Light"/>
          <w:b/>
          <w:color w:val="1F4E79"/>
          <w:sz w:val="28"/>
        </w:rPr>
        <w:t>『无重大违法记录声明』（格式）</w:t>
      </w:r>
    </w:p>
    <w:p w14:paraId="3124655A">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5C50F434">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的供应商，在此郑重声明：</w:t>
      </w:r>
    </w:p>
    <w:p w14:paraId="28B545CF">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4D43E4A6">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40A794F6">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780A8757">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46F71CFA">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111F6CC7">
      <w:pPr>
        <w:ind w:firstLine="480" w:firstLineChars="200"/>
        <w:jc w:val="both"/>
        <w:rPr>
          <w:rFonts w:cstheme="minorHAnsi"/>
          <w:color w:val="000000"/>
          <w:kern w:val="24"/>
        </w:rPr>
      </w:pPr>
      <w:r>
        <w:rPr>
          <w:rFonts w:cstheme="minorHAnsi"/>
          <w:color w:val="000000"/>
          <w:kern w:val="24"/>
        </w:rPr>
        <w:t>特此声明。</w:t>
      </w:r>
    </w:p>
    <w:p w14:paraId="7D9CCC7B">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35D81C0">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54747FE">
      <w:pPr>
        <w:tabs>
          <w:tab w:val="center" w:pos="6663"/>
        </w:tabs>
        <w:spacing w:line="400" w:lineRule="exact"/>
        <w:rPr>
          <w:rFonts w:cs="Calibri Light"/>
        </w:rPr>
      </w:pPr>
      <w:r>
        <w:rPr>
          <w:rFonts w:cs="Calibri Light"/>
        </w:rPr>
        <w:br w:type="page"/>
      </w:r>
    </w:p>
    <w:p w14:paraId="0AA19951">
      <w:pPr>
        <w:keepNext/>
        <w:spacing w:before="120" w:after="60"/>
        <w:outlineLvl w:val="3"/>
        <w:rPr>
          <w:b/>
          <w:kern w:val="28"/>
        </w:rPr>
      </w:pPr>
      <w:r>
        <w:rPr>
          <w:b/>
          <w:kern w:val="28"/>
        </w:rPr>
        <w:t>6．法定代表人（负责人）委托授权书\身份证明</w:t>
      </w:r>
    </w:p>
    <w:p w14:paraId="2D45784B">
      <w:pPr>
        <w:ind w:firstLine="480" w:firstLineChars="200"/>
        <w:rPr>
          <w:rFonts w:cstheme="minorHAnsi"/>
          <w:color w:val="000000"/>
          <w:kern w:val="24"/>
        </w:rPr>
      </w:pPr>
      <w:r>
        <w:rPr>
          <w:rFonts w:cstheme="minorHAnsi"/>
          <w:i/>
          <w:color w:val="7030A0"/>
        </w:rPr>
        <w:t>说明：按下方给定格式进行填写（二选一）。</w:t>
      </w:r>
      <w:r>
        <w:rPr>
          <w:i/>
          <w:color w:val="7030A0"/>
        </w:rPr>
        <w:t>法定代表人（负责人）亲自参加谈判时，提供法定代表人（负责人）身份证明；法定代表人（负责人）委托授权代表参加谈判时，提供法定代表人（负责人）委托授权书。</w:t>
      </w:r>
    </w:p>
    <w:p w14:paraId="5D24AA37">
      <w:pPr>
        <w:spacing w:before="230" w:beforeLines="50"/>
        <w:jc w:val="center"/>
        <w:rPr>
          <w:rFonts w:cs="Calibri Light"/>
          <w:b/>
          <w:color w:val="1F4E79"/>
          <w:sz w:val="28"/>
        </w:rPr>
      </w:pPr>
      <w:r>
        <w:rPr>
          <w:rFonts w:cs="Calibri Light"/>
          <w:b/>
          <w:color w:val="1F4E79"/>
          <w:sz w:val="28"/>
        </w:rPr>
        <w:t>『法定代表人（负责人）身份证明』（格式）</w:t>
      </w:r>
    </w:p>
    <w:p w14:paraId="62A2D912">
      <w:r>
        <w:t>西安市市级单位政府采购中心</w:t>
      </w:r>
      <w:r>
        <w:rPr>
          <w:rFonts w:cstheme="minorHAnsi"/>
          <w:color w:val="000000"/>
        </w:rPr>
        <w:t>：</w:t>
      </w:r>
    </w:p>
    <w:p w14:paraId="1C6E6042">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50D3375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516F79D9">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3CA26AAD">
            <w:pPr>
              <w:ind w:firstLine="7" w:firstLineChars="3"/>
              <w:jc w:val="center"/>
              <w:rPr>
                <w:rFonts w:cstheme="minorHAnsi"/>
                <w:color w:val="000000"/>
              </w:rPr>
            </w:pPr>
            <w:r>
              <w:rPr>
                <w:rFonts w:cstheme="minorHAnsi"/>
                <w:color w:val="000000"/>
              </w:rPr>
              <w:t>身份证正反面（扫描件）</w:t>
            </w:r>
          </w:p>
          <w:p w14:paraId="3DE33774">
            <w:pPr>
              <w:ind w:firstLine="7" w:firstLineChars="3"/>
              <w:jc w:val="center"/>
              <w:rPr>
                <w:rFonts w:cstheme="minorHAnsi"/>
                <w:color w:val="000000"/>
              </w:rPr>
            </w:pPr>
            <w:r>
              <w:rPr>
                <w:rFonts w:cstheme="minorHAnsi"/>
                <w:color w:val="000000"/>
              </w:rPr>
              <w:t>或护照资料页（扫描件）</w:t>
            </w:r>
          </w:p>
        </w:tc>
      </w:tr>
    </w:tbl>
    <w:p w14:paraId="51FF6C35">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4EE71867">
      <w:pPr>
        <w:ind w:firstLine="480" w:firstLineChars="200"/>
        <w:rPr>
          <w:rFonts w:eastAsiaTheme="majorEastAsia" w:cstheme="minorHAnsi"/>
          <w:color w:val="000000"/>
        </w:rPr>
      </w:pPr>
      <w:r>
        <w:rPr>
          <w:rFonts w:eastAsiaTheme="majorEastAsia" w:cstheme="minorHAnsi"/>
          <w:color w:val="000000"/>
        </w:rPr>
        <w:t>日期：　　　年　月　日</w:t>
      </w:r>
    </w:p>
    <w:p w14:paraId="129FF785">
      <w:pPr>
        <w:ind w:firstLine="480" w:firstLineChars="200"/>
        <w:rPr>
          <w:rFonts w:ascii="黑体" w:hAnsi="黑体" w:cstheme="minorHAnsi"/>
        </w:rPr>
      </w:pPr>
      <w:r>
        <w:rPr>
          <w:rFonts w:ascii="黑体" w:hAnsi="黑体" w:cstheme="minorHAnsi"/>
        </w:rPr>
        <w:br w:type="page"/>
      </w:r>
    </w:p>
    <w:p w14:paraId="1DE76377">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50DF7DE8">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7AF63194">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政府采购活动，以我方名义签署、澄清、确认、递交、撤回、修改响应文件，签订合同和全权处理一切与之有关的事宜，其法律后果由我方承担。</w:t>
      </w:r>
    </w:p>
    <w:p w14:paraId="5109859C">
      <w:pPr>
        <w:ind w:firstLine="480" w:firstLineChars="200"/>
        <w:jc w:val="both"/>
        <w:rPr>
          <w:rFonts w:ascii="Calibri" w:hAnsi="Calibri" w:eastAsia="宋体" w:cstheme="minorHAnsi"/>
          <w:color w:val="000000"/>
          <w:kern w:val="24"/>
        </w:rPr>
      </w:pPr>
      <w:r>
        <w:rPr>
          <w:rFonts w:cstheme="minorHAnsi"/>
          <w:color w:val="000000"/>
          <w:kern w:val="24"/>
        </w:rPr>
        <w:t>本授权有效期与响应文件有效期一致。授权代表无转委托权。</w:t>
      </w:r>
    </w:p>
    <w:p w14:paraId="75579D44">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3D39339D">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567DD5E4">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7E70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34836D16">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30FCB5FE">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69DE924F">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1A9FD404">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009565D7">
            <w:pPr>
              <w:jc w:val="center"/>
              <w:rPr>
                <w:rFonts w:cstheme="minorHAnsi"/>
                <w:color w:val="000000"/>
              </w:rPr>
            </w:pPr>
            <w:r>
              <w:rPr>
                <w:rFonts w:cstheme="minorHAnsi"/>
                <w:color w:val="000000"/>
              </w:rPr>
              <w:t>身份证正反面（扫描件）</w:t>
            </w:r>
          </w:p>
        </w:tc>
      </w:tr>
      <w:tr w14:paraId="3C994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3E20353D">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74A7345B">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4D908709">
            <w:pPr>
              <w:jc w:val="center"/>
              <w:rPr>
                <w:rFonts w:cstheme="minorHAnsi"/>
                <w:color w:val="000000"/>
              </w:rPr>
            </w:pPr>
            <w:r>
              <w:rPr>
                <w:rFonts w:cstheme="minorHAnsi"/>
                <w:color w:val="000000"/>
              </w:rPr>
              <w:t>或护照资料页（扫描件）</w:t>
            </w:r>
          </w:p>
        </w:tc>
      </w:tr>
    </w:tbl>
    <w:p w14:paraId="5F54F9C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5A00474D">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57BC2B4A">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68D5994F">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14:paraId="4962378D">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14:paraId="57FA02B9">
      <w:pPr>
        <w:ind w:firstLine="480" w:firstLineChars="200"/>
        <w:jc w:val="both"/>
        <w:rPr>
          <w:color w:val="C00000"/>
        </w:rPr>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color w:val="C00000"/>
        </w:rPr>
        <w:t>未按要求提供的，视为无效响应文件。</w:t>
      </w:r>
    </w:p>
    <w:p w14:paraId="2D475FA1">
      <w:pPr>
        <w:ind w:firstLine="480" w:firstLineChars="200"/>
        <w:jc w:val="both"/>
      </w:pPr>
      <w:r>
        <w:rPr>
          <w:rFonts w:hint="eastAsia"/>
          <w:color w:val="00B050"/>
        </w:rPr>
        <w:t>联合体各方均为中小企业的，联合体视同中小企业。其中，联合体各方均为小微企业的，联合体视同小微企业。</w:t>
      </w:r>
    </w:p>
    <w:p w14:paraId="262C76F6">
      <w:pPr>
        <w:ind w:firstLine="480" w:firstLineChars="200"/>
        <w:jc w:val="both"/>
      </w:pPr>
      <w:r>
        <w:t>成交供应商的声明函\证明函将随成交结果一同公布，接受社会监督。</w:t>
      </w:r>
    </w:p>
    <w:p w14:paraId="12DC7C2F">
      <w:pPr>
        <w:keepNext/>
        <w:spacing w:before="120" w:after="60"/>
        <w:jc w:val="both"/>
        <w:outlineLvl w:val="3"/>
        <w:rPr>
          <w:b/>
          <w:kern w:val="28"/>
        </w:rPr>
      </w:pPr>
      <w:r>
        <w:rPr>
          <w:rFonts w:hint="eastAsia"/>
          <w:b/>
          <w:kern w:val="28"/>
        </w:rPr>
        <w:t>1．中小企业声明函</w:t>
      </w:r>
    </w:p>
    <w:p w14:paraId="2F94CF1F">
      <w:pPr>
        <w:ind w:firstLine="480" w:firstLineChars="200"/>
        <w:jc w:val="both"/>
        <w:rPr>
          <w:rFonts w:ascii="Calibri" w:hAnsi="Calibri" w:eastAsia="宋体"/>
          <w:i/>
          <w:color w:val="7030A0"/>
        </w:rPr>
      </w:pPr>
      <w:r>
        <w:rPr>
          <w:rFonts w:hint="eastAsia" w:ascii="Calibri" w:hAnsi="Calibri" w:eastAsia="宋体"/>
          <w:i/>
          <w:color w:val="7030A0"/>
        </w:rPr>
        <w:t>说明：</w:t>
      </w:r>
    </w:p>
    <w:p w14:paraId="7ADAAD01">
      <w:pPr>
        <w:ind w:firstLine="480" w:firstLineChars="200"/>
        <w:jc w:val="both"/>
        <w:rPr>
          <w:rFonts w:asciiTheme="minorEastAsia" w:hAnsiTheme="minorEastAsia"/>
          <w:i/>
          <w:color w:val="7030A0"/>
        </w:rPr>
      </w:pPr>
      <w:r>
        <w:rPr>
          <w:color w:val="7030A0"/>
        </w:rPr>
        <w:t>①</w:t>
      </w:r>
      <w:r>
        <w:rPr>
          <w:rFonts w:asciiTheme="minorEastAsia" w:hAnsiTheme="minorEastAsia"/>
          <w:color w:val="7030A0"/>
        </w:rPr>
        <w:t xml:space="preserve"> </w:t>
      </w:r>
      <w:r>
        <w:rPr>
          <w:rFonts w:hint="eastAsia" w:asciiTheme="minorEastAsia" w:hAnsiTheme="minorEastAsia"/>
          <w:i/>
          <w:color w:val="7030A0"/>
        </w:rPr>
        <w:t>声明函中的中小企业指的是货物制造商、工程承建商或服务承接商。特别地，对于货物类项目，供应商希望获得政府采购优惠政策支持的，应从制造商处获得充分、准确的信息。</w:t>
      </w:r>
    </w:p>
    <w:p w14:paraId="322BE9EA">
      <w:pPr>
        <w:ind w:firstLine="480" w:firstLineChars="200"/>
        <w:jc w:val="both"/>
        <w:rPr>
          <w:rFonts w:asciiTheme="minorEastAsia" w:hAnsiTheme="minorEastAsia"/>
          <w:i/>
          <w:color w:val="7030A0"/>
        </w:rPr>
      </w:pPr>
      <w:r>
        <w:rPr>
          <w:color w:val="7030A0"/>
        </w:rPr>
        <w:t>②</w:t>
      </w:r>
      <w:r>
        <w:rPr>
          <w:rFonts w:asciiTheme="minorEastAsia" w:hAnsiTheme="minorEastAsia"/>
          <w:color w:val="7030A0"/>
        </w:rPr>
        <w:t xml:space="preserve"> </w:t>
      </w:r>
      <w:r>
        <w:rPr>
          <w:rFonts w:asciiTheme="minorEastAsia" w:hAnsiTheme="minorEastAsia"/>
          <w:i/>
          <w:color w:val="7030A0"/>
        </w:rPr>
        <w:t>声明函中“从业人员”、“营业收入”、“资产总额”填报上一年度数据，无上一年度数据的新成立企业可不填报。</w:t>
      </w:r>
    </w:p>
    <w:p w14:paraId="59B974DF">
      <w:pPr>
        <w:ind w:firstLine="480" w:firstLineChars="200"/>
        <w:jc w:val="both"/>
        <w:rPr>
          <w:rFonts w:ascii="Calibri Light" w:hAnsi="Calibri Light" w:eastAsia="华文仿宋"/>
          <w:sz w:val="28"/>
          <w:szCs w:val="28"/>
        </w:rPr>
      </w:pPr>
      <w:r>
        <w:rPr>
          <w:color w:val="7030A0"/>
        </w:rPr>
        <w:t>③</w:t>
      </w:r>
      <w:r>
        <w:rPr>
          <w:rFonts w:asciiTheme="minorEastAsia" w:hAnsiTheme="minorEastAsia"/>
          <w:color w:val="7030A0"/>
        </w:rPr>
        <w:t xml:space="preserve"> </w:t>
      </w:r>
      <w:r>
        <w:rPr>
          <w:i/>
          <w:color w:val="7030A0"/>
        </w:rPr>
        <w:t>本项目采购标的对应的中小企业划分标准所属行业：见第二章「前附表」。</w:t>
      </w:r>
    </w:p>
    <w:p w14:paraId="3AC57810">
      <w:pPr>
        <w:spacing w:before="230" w:beforeLines="50"/>
        <w:jc w:val="center"/>
        <w:rPr>
          <w:rFonts w:ascii="黑体" w:hAnsi="黑体" w:eastAsia="黑体" w:cs="Calibri Light"/>
          <w:color w:val="1F4E79"/>
          <w:sz w:val="28"/>
          <w:szCs w:val="36"/>
        </w:rPr>
      </w:pPr>
      <w:r>
        <w:rPr>
          <w:rFonts w:ascii="黑体" w:hAnsi="黑体" w:eastAsia="黑体" w:cs="Calibri Light"/>
          <w:color w:val="1F4E79"/>
          <w:sz w:val="28"/>
          <w:szCs w:val="36"/>
        </w:rPr>
        <w:t>『中小企业声明函』（货物类格式）</w:t>
      </w:r>
    </w:p>
    <w:p w14:paraId="449BCA9D">
      <w:pPr>
        <w:ind w:firstLine="480" w:firstLineChars="200"/>
        <w:jc w:val="both"/>
        <w:rPr>
          <w:rFonts w:cstheme="minorHAnsi"/>
          <w:color w:val="000000"/>
          <w:kern w:val="24"/>
        </w:rPr>
      </w:pPr>
      <w:r>
        <w:rPr>
          <w:rFonts w:cstheme="minorHAnsi"/>
          <w:color w:val="000000"/>
          <w:kern w:val="24"/>
        </w:rPr>
        <w:t>本公司（联合体）郑重声明，根据《政府采购促进中小企业发展管理办法》（财库〔2020〕46号）的规定，本公司（联合体）参加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kern w:val="24"/>
        </w:rPr>
        <w:t>的采购活动，提供的货物全部由符合政策要求的中小企业制造。相关企业（含联合体中的中小企业、签订分包意向协议的中小企业）的具体情况如下：</w:t>
      </w:r>
    </w:p>
    <w:p w14:paraId="27B8C9D8">
      <w:pPr>
        <w:ind w:firstLine="480" w:firstLineChars="200"/>
        <w:jc w:val="both"/>
        <w:rPr>
          <w:rFonts w:cstheme="minorHAnsi"/>
          <w:color w:val="000000"/>
          <w:kern w:val="24"/>
          <w:u w:color="000000" w:themeColor="text1"/>
        </w:rPr>
      </w:pPr>
      <w:r>
        <w:rPr>
          <w:rFonts w:cstheme="minorHAnsi"/>
          <w:color w:val="000000"/>
          <w:kern w:val="24"/>
          <w:u w:color="000000" w:themeColor="text1"/>
        </w:rPr>
        <w:t>（1）</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［___］</w:t>
      </w:r>
      <w:r>
        <w:rPr>
          <w:rFonts w:cstheme="minorHAnsi"/>
          <w:color w:val="000000"/>
          <w:kern w:val="24"/>
          <w:u w:color="000000" w:themeColor="text1"/>
        </w:rPr>
        <w:t>人，营业收入为</w:t>
      </w:r>
      <w:r>
        <w:rPr>
          <w:rFonts w:cstheme="minorHAnsi"/>
          <w:color w:val="C00000"/>
        </w:rPr>
        <w:t>［___］</w:t>
      </w:r>
      <w:r>
        <w:rPr>
          <w:rFonts w:cstheme="minorHAnsi"/>
          <w:color w:val="000000"/>
          <w:kern w:val="24"/>
          <w:u w:color="000000" w:themeColor="text1"/>
        </w:rPr>
        <w:t>万元，资产总额为</w:t>
      </w:r>
      <w:r>
        <w:rPr>
          <w:rFonts w:cstheme="minorHAnsi"/>
          <w:color w:val="C00000"/>
        </w:rPr>
        <w:t>［___］</w:t>
      </w:r>
      <w:r>
        <w:rPr>
          <w:rFonts w:cstheme="minorHAnsi"/>
          <w:color w:val="000000"/>
          <w:kern w:val="24"/>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14:paraId="77243104">
      <w:pPr>
        <w:ind w:firstLine="480" w:firstLineChars="200"/>
        <w:jc w:val="both"/>
        <w:rPr>
          <w:rFonts w:cstheme="minorHAnsi"/>
          <w:color w:val="000000"/>
          <w:kern w:val="24"/>
          <w:u w:color="000000" w:themeColor="text1"/>
        </w:rPr>
      </w:pPr>
      <w:r>
        <w:rPr>
          <w:rFonts w:cstheme="minorHAnsi"/>
          <w:color w:val="000000"/>
          <w:kern w:val="24"/>
          <w:u w:color="000000" w:themeColor="text1"/>
        </w:rPr>
        <w:t>（2）</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［___］</w:t>
      </w:r>
      <w:r>
        <w:rPr>
          <w:rFonts w:cstheme="minorHAnsi"/>
          <w:color w:val="000000"/>
          <w:kern w:val="24"/>
          <w:u w:color="000000" w:themeColor="text1"/>
        </w:rPr>
        <w:t>人，营业收入为</w:t>
      </w:r>
      <w:r>
        <w:rPr>
          <w:rFonts w:cstheme="minorHAnsi"/>
          <w:color w:val="C00000"/>
        </w:rPr>
        <w:t>［___］</w:t>
      </w:r>
      <w:r>
        <w:rPr>
          <w:rFonts w:cstheme="minorHAnsi"/>
          <w:color w:val="000000"/>
          <w:kern w:val="24"/>
          <w:u w:color="000000" w:themeColor="text1"/>
        </w:rPr>
        <w:t>万元，资产总额为</w:t>
      </w:r>
      <w:r>
        <w:rPr>
          <w:rFonts w:cstheme="minorHAnsi"/>
          <w:color w:val="C00000"/>
        </w:rPr>
        <w:t>［___］</w:t>
      </w:r>
      <w:r>
        <w:rPr>
          <w:rFonts w:cstheme="minorHAnsi"/>
          <w:color w:val="000000"/>
          <w:kern w:val="24"/>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14:paraId="42796695">
      <w:pPr>
        <w:ind w:firstLine="480" w:firstLineChars="200"/>
        <w:jc w:val="both"/>
        <w:rPr>
          <w:rFonts w:cstheme="minorHAnsi"/>
          <w:color w:val="000000"/>
          <w:kern w:val="24"/>
        </w:rPr>
      </w:pPr>
      <w:r>
        <w:rPr>
          <w:rFonts w:cstheme="minorHAnsi"/>
          <w:color w:val="000000"/>
          <w:kern w:val="24"/>
        </w:rPr>
        <w:t>……</w:t>
      </w:r>
    </w:p>
    <w:p w14:paraId="46612CFB">
      <w:pPr>
        <w:ind w:firstLine="480" w:firstLineChars="200"/>
        <w:jc w:val="both"/>
      </w:pPr>
      <w:r>
        <w:t>以上企业，不属于大企业的分支机构，不存在控股股东为大企业的情形，也不存在与大企业的负责人为同一人的情形。</w:t>
      </w:r>
    </w:p>
    <w:p w14:paraId="190784A2">
      <w:pPr>
        <w:ind w:firstLine="480" w:firstLineChars="200"/>
        <w:jc w:val="both"/>
      </w:pPr>
      <w:r>
        <w:t>本企业对上述声明内容的真实性负责。如有虚假，将依法承担相应责任。</w:t>
      </w:r>
    </w:p>
    <w:p w14:paraId="50780076">
      <w:pPr>
        <w:ind w:firstLine="480" w:firstLineChars="200"/>
        <w:jc w:val="both"/>
      </w:pPr>
    </w:p>
    <w:p w14:paraId="26B67EE4">
      <w:pPr>
        <w:tabs>
          <w:tab w:val="left" w:pos="5670"/>
        </w:tabs>
        <w:ind w:firstLine="480" w:firstLineChars="200"/>
        <w:jc w:val="both"/>
        <w:rPr>
          <w:color w:val="000000"/>
        </w:rPr>
      </w:pPr>
      <w:r>
        <w:rPr>
          <w:color w:val="000000"/>
        </w:rPr>
        <w:t>供应商：（</w:t>
      </w:r>
      <w:r>
        <w:rPr>
          <w:i/>
          <w:color w:val="7030A0"/>
        </w:rPr>
        <w:t>供应商全称并加盖公章</w:t>
      </w:r>
      <w:r>
        <w:rPr>
          <w:color w:val="000000"/>
        </w:rPr>
        <w:t>）</w:t>
      </w:r>
    </w:p>
    <w:p w14:paraId="422ECA5E">
      <w:pPr>
        <w:ind w:firstLine="480" w:firstLineChars="200"/>
        <w:jc w:val="both"/>
        <w:rPr>
          <w:color w:val="000000"/>
        </w:rPr>
      </w:pPr>
      <w:r>
        <w:rPr>
          <w:color w:val="000000"/>
        </w:rPr>
        <w:t>日　期：　　年　月　日</w:t>
      </w:r>
    </w:p>
    <w:p w14:paraId="1131CE0E">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3EBA9EF7">
      <w:pPr>
        <w:tabs>
          <w:tab w:val="left" w:pos="5670"/>
        </w:tabs>
        <w:ind w:firstLine="480" w:firstLineChars="200"/>
        <w:jc w:val="both"/>
        <w:rPr>
          <w:rFonts w:ascii="黑体" w:hAnsi="黑体" w:eastAsia="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cstheme="minorHAnsi"/>
          <w:i/>
          <w:color w:val="7030A0"/>
        </w:rPr>
        <w:t>。</w:t>
      </w:r>
    </w:p>
    <w:p w14:paraId="18714632">
      <w:pPr>
        <w:jc w:val="center"/>
        <w:rPr>
          <w:rFonts w:cs="Calibri Light"/>
          <w:b/>
          <w:color w:val="1F4E79"/>
          <w:sz w:val="28"/>
          <w:szCs w:val="36"/>
        </w:rPr>
      </w:pPr>
      <w:r>
        <w:rPr>
          <w:rFonts w:cs="Calibri Light"/>
          <w:b/>
          <w:color w:val="1F4E79"/>
          <w:sz w:val="28"/>
          <w:szCs w:val="36"/>
        </w:rPr>
        <w:t>『残疾人福利性单位声明函』（格式）</w:t>
      </w:r>
    </w:p>
    <w:p w14:paraId="4C9EA52F">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7D33DEAD">
      <w:pPr>
        <w:ind w:firstLine="480" w:firstLineChars="200"/>
        <w:jc w:val="both"/>
        <w:rPr>
          <w:rFonts w:cstheme="minorHAnsi"/>
          <w:color w:val="000000"/>
        </w:rPr>
      </w:pPr>
      <w:r>
        <w:rPr>
          <w:rFonts w:cstheme="minorHAnsi"/>
          <w:color w:val="000000"/>
        </w:rPr>
        <w:t>本单位对上述声明的真实性负责。如有虚假，将依法承担相应责任。</w:t>
      </w:r>
    </w:p>
    <w:p w14:paraId="49F2948C">
      <w:pPr>
        <w:ind w:firstLine="480" w:firstLineChars="200"/>
        <w:jc w:val="both"/>
        <w:rPr>
          <w:rFonts w:cstheme="minorHAnsi"/>
          <w:color w:val="000000"/>
        </w:rPr>
      </w:pPr>
    </w:p>
    <w:p w14:paraId="7A39A8E1">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1110C0C5">
      <w:pPr>
        <w:tabs>
          <w:tab w:val="left" w:pos="5670"/>
        </w:tabs>
        <w:ind w:firstLine="480" w:firstLineChars="200"/>
        <w:jc w:val="both"/>
        <w:rPr>
          <w:rFonts w:cstheme="minorHAnsi"/>
          <w:color w:val="000000"/>
        </w:rPr>
      </w:pPr>
      <w:r>
        <w:rPr>
          <w:rFonts w:cstheme="minorHAnsi"/>
          <w:color w:val="000000"/>
        </w:rPr>
        <w:t>日　期：　　年　月　日</w:t>
      </w:r>
    </w:p>
    <w:p w14:paraId="4ABFF0F3">
      <w:pPr>
        <w:tabs>
          <w:tab w:val="left" w:pos="5670"/>
        </w:tabs>
        <w:jc w:val="both"/>
        <w:rPr>
          <w:rFonts w:cstheme="minorHAnsi"/>
          <w:color w:val="000000"/>
        </w:rPr>
      </w:pPr>
    </w:p>
    <w:p w14:paraId="408B7AA3">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41EC8952">
      <w:pPr>
        <w:ind w:firstLine="480" w:firstLineChars="200"/>
        <w:rPr>
          <w:rFonts w:ascii="黑体" w:hAnsi="黑体" w:eastAsia="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《关于政府采购支持监狱企业发展有关问题的通知》（财库〔2014〕68号）。</w:t>
      </w:r>
    </w:p>
    <w:p w14:paraId="2A5CDAEB">
      <w:pPr>
        <w:jc w:val="center"/>
        <w:rPr>
          <w:rFonts w:cs="Calibri Light"/>
          <w:b/>
          <w:color w:val="1F4E79"/>
          <w:sz w:val="28"/>
          <w:szCs w:val="36"/>
        </w:rPr>
      </w:pPr>
      <w:r>
        <w:rPr>
          <w:rFonts w:cs="Calibri Light"/>
          <w:b/>
          <w:color w:val="1F4E79"/>
          <w:sz w:val="28"/>
          <w:szCs w:val="36"/>
        </w:rPr>
        <w:t>『监狱企业证明函』</w:t>
      </w:r>
    </w:p>
    <w:p w14:paraId="474731D4">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4F5E4C">
      <w:pPr>
        <w:spacing w:line="440" w:lineRule="exact"/>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14:paraId="2CE139A4">
      <w:pPr>
        <w:jc w:val="both"/>
        <w:rPr>
          <w:rFonts w:ascii="Calibri" w:hAnsi="Calibri" w:eastAsia="黑体"/>
          <w:kern w:val="28"/>
          <w:sz w:val="28"/>
        </w:rPr>
      </w:pPr>
    </w:p>
    <w:p w14:paraId="576D0C9D">
      <w:pPr>
        <w:rPr>
          <w:rFonts w:ascii="Calibri" w:hAnsi="Calibri" w:eastAsia="黑体"/>
          <w:kern w:val="28"/>
          <w:sz w:val="28"/>
        </w:rPr>
      </w:pPr>
      <w:r>
        <w:rPr>
          <w:rFonts w:ascii="Calibri" w:hAnsi="Calibri" w:eastAsia="黑体"/>
          <w:kern w:val="28"/>
          <w:sz w:val="28"/>
        </w:rPr>
        <w:br w:type="page"/>
      </w:r>
    </w:p>
    <w:p w14:paraId="40A3731F">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14:paraId="7AA5AB24">
      <w:pPr>
        <w:jc w:val="both"/>
        <w:rPr>
          <w:rFonts w:ascii="Calibri" w:hAnsi="Calibri" w:eastAsia="黑体"/>
          <w:kern w:val="28"/>
          <w:sz w:val="28"/>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14:paraId="6397FD09">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58D32254">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说明：对第三章“谈判内容及要求”</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作出响应，若谈判文件未设置实质性条款，则请忽略此表。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51A13C2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36D8C51C">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350E9FC9">
            <w:pPr>
              <w:spacing w:line="320" w:lineRule="exact"/>
              <w:jc w:val="center"/>
              <w:rPr>
                <w:rFonts w:ascii="Calibri" w:hAnsi="宋体" w:eastAsia="宋体" w:cstheme="minorHAnsi"/>
                <w:b/>
                <w:sz w:val="21"/>
              </w:rPr>
            </w:pPr>
            <w:r>
              <w:rPr>
                <w:rFonts w:ascii="Calibri" w:hAnsi="宋体" w:eastAsia="宋体" w:cstheme="minorHAnsi"/>
                <w:b/>
                <w:sz w:val="21"/>
              </w:rPr>
              <w:t>谈判文件</w:t>
            </w:r>
          </w:p>
        </w:tc>
        <w:tc>
          <w:tcPr>
            <w:tcW w:w="3276" w:type="dxa"/>
            <w:shd w:val="clear" w:color="auto" w:fill="F1F1F1" w:themeFill="background1" w:themeFillShade="F2"/>
            <w:vAlign w:val="center"/>
          </w:tcPr>
          <w:p w14:paraId="0D14A8FB">
            <w:pPr>
              <w:spacing w:line="320" w:lineRule="exact"/>
              <w:jc w:val="center"/>
              <w:rPr>
                <w:rFonts w:ascii="Calibri" w:hAnsi="宋体" w:eastAsia="宋体" w:cstheme="minorHAnsi"/>
                <w:b/>
                <w:sz w:val="21"/>
              </w:rPr>
            </w:pPr>
            <w:r>
              <w:rPr>
                <w:rFonts w:ascii="Calibri" w:hAnsi="宋体" w:eastAsia="宋体" w:cstheme="minorHAnsi"/>
                <w:b/>
                <w:sz w:val="21"/>
              </w:rPr>
              <w:t>响应文件</w:t>
            </w:r>
          </w:p>
        </w:tc>
        <w:tc>
          <w:tcPr>
            <w:tcW w:w="1458" w:type="dxa"/>
            <w:vMerge w:val="restart"/>
            <w:shd w:val="clear" w:color="auto" w:fill="F1F1F1" w:themeFill="background1" w:themeFillShade="F2"/>
            <w:vAlign w:val="center"/>
          </w:tcPr>
          <w:p w14:paraId="6CA3592E">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14:paraId="1FCF19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318DD3E0">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29061031">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68A7FD24">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14:paraId="0FA74A03">
            <w:pPr>
              <w:spacing w:line="320" w:lineRule="exact"/>
              <w:jc w:val="center"/>
              <w:rPr>
                <w:rFonts w:ascii="Calibri" w:hAnsi="宋体" w:eastAsia="宋体" w:cstheme="minorHAnsi"/>
                <w:b/>
                <w:sz w:val="21"/>
              </w:rPr>
            </w:pPr>
          </w:p>
        </w:tc>
      </w:tr>
      <w:tr w14:paraId="468D7B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70697A3">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14:paraId="02F42774">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14:paraId="6B9A3B72">
            <w:pPr>
              <w:spacing w:line="320" w:lineRule="exact"/>
              <w:rPr>
                <w:rFonts w:eastAsia="宋体" w:asciiTheme="majorHAnsi" w:hAnsiTheme="majorHAnsi" w:cstheme="minorHAnsi"/>
                <w:sz w:val="21"/>
              </w:rPr>
            </w:pPr>
          </w:p>
        </w:tc>
        <w:tc>
          <w:tcPr>
            <w:tcW w:w="1458" w:type="dxa"/>
            <w:shd w:val="clear" w:color="auto" w:fill="auto"/>
            <w:vAlign w:val="center"/>
          </w:tcPr>
          <w:p w14:paraId="16E76800">
            <w:pPr>
              <w:spacing w:line="320" w:lineRule="exact"/>
              <w:jc w:val="center"/>
              <w:rPr>
                <w:rFonts w:eastAsia="宋体" w:asciiTheme="majorHAnsi" w:hAnsiTheme="majorHAnsi" w:cstheme="minorHAnsi"/>
                <w:sz w:val="21"/>
              </w:rPr>
            </w:pPr>
          </w:p>
        </w:tc>
      </w:tr>
      <w:tr w14:paraId="7BF0DC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CC6C8FE">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14:paraId="311991A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14:paraId="3CF5F4FC">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14:paraId="42C4334D">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229C0E1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2593728">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14:paraId="13A5F47E">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14:paraId="60A13C05">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14:paraId="24887924">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41189D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7D4F15A">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14:paraId="1F3BEC9A">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14:paraId="58F0A0CB">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14:paraId="22556536">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503FD2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86AFC31">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6B59D684">
            <w:pPr>
              <w:spacing w:line="320" w:lineRule="exact"/>
              <w:rPr>
                <w:rFonts w:eastAsia="宋体" w:asciiTheme="majorHAnsi" w:hAnsiTheme="majorHAnsi" w:cstheme="minorHAnsi"/>
                <w:sz w:val="21"/>
              </w:rPr>
            </w:pPr>
          </w:p>
        </w:tc>
        <w:tc>
          <w:tcPr>
            <w:tcW w:w="3276" w:type="dxa"/>
            <w:shd w:val="clear" w:color="auto" w:fill="auto"/>
            <w:vAlign w:val="center"/>
          </w:tcPr>
          <w:p w14:paraId="70876350">
            <w:pPr>
              <w:spacing w:line="320" w:lineRule="exact"/>
              <w:rPr>
                <w:rFonts w:eastAsia="宋体" w:asciiTheme="majorHAnsi" w:hAnsiTheme="majorHAnsi" w:cstheme="minorHAnsi"/>
                <w:sz w:val="21"/>
              </w:rPr>
            </w:pPr>
          </w:p>
        </w:tc>
        <w:tc>
          <w:tcPr>
            <w:tcW w:w="1458" w:type="dxa"/>
            <w:shd w:val="clear" w:color="auto" w:fill="auto"/>
            <w:vAlign w:val="center"/>
          </w:tcPr>
          <w:p w14:paraId="14F9DA7E">
            <w:pPr>
              <w:spacing w:line="320" w:lineRule="exact"/>
              <w:jc w:val="center"/>
              <w:rPr>
                <w:rFonts w:eastAsia="宋体" w:asciiTheme="majorHAnsi" w:hAnsiTheme="majorHAnsi" w:cstheme="minorHAnsi"/>
                <w:sz w:val="21"/>
              </w:rPr>
            </w:pPr>
          </w:p>
        </w:tc>
      </w:tr>
      <w:tr w14:paraId="4A8B30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B8C1FBF">
            <w:pPr>
              <w:spacing w:line="320" w:lineRule="exact"/>
              <w:jc w:val="center"/>
              <w:rPr>
                <w:rFonts w:eastAsia="宋体" w:asciiTheme="majorHAnsi" w:hAnsiTheme="majorHAnsi" w:cstheme="minorHAnsi"/>
                <w:sz w:val="21"/>
              </w:rPr>
            </w:pPr>
          </w:p>
        </w:tc>
        <w:tc>
          <w:tcPr>
            <w:tcW w:w="3283" w:type="dxa"/>
            <w:shd w:val="clear" w:color="auto" w:fill="auto"/>
            <w:vAlign w:val="center"/>
          </w:tcPr>
          <w:p w14:paraId="09AAC512">
            <w:pPr>
              <w:spacing w:line="320" w:lineRule="exact"/>
              <w:rPr>
                <w:rFonts w:eastAsia="宋体" w:asciiTheme="majorHAnsi" w:hAnsiTheme="majorHAnsi" w:cstheme="minorHAnsi"/>
                <w:sz w:val="21"/>
              </w:rPr>
            </w:pPr>
          </w:p>
        </w:tc>
        <w:tc>
          <w:tcPr>
            <w:tcW w:w="3276" w:type="dxa"/>
            <w:shd w:val="clear" w:color="auto" w:fill="auto"/>
            <w:vAlign w:val="center"/>
          </w:tcPr>
          <w:p w14:paraId="7756FF7B">
            <w:pPr>
              <w:spacing w:line="320" w:lineRule="exact"/>
              <w:rPr>
                <w:rFonts w:eastAsia="宋体" w:asciiTheme="majorHAnsi" w:hAnsiTheme="majorHAnsi" w:cstheme="minorHAnsi"/>
                <w:sz w:val="21"/>
              </w:rPr>
            </w:pPr>
          </w:p>
        </w:tc>
        <w:tc>
          <w:tcPr>
            <w:tcW w:w="1458" w:type="dxa"/>
            <w:shd w:val="clear" w:color="auto" w:fill="auto"/>
            <w:vAlign w:val="center"/>
          </w:tcPr>
          <w:p w14:paraId="5F93F782">
            <w:pPr>
              <w:spacing w:line="320" w:lineRule="exact"/>
              <w:jc w:val="center"/>
              <w:rPr>
                <w:rFonts w:eastAsia="宋体" w:asciiTheme="majorHAnsi" w:hAnsiTheme="majorHAnsi" w:cstheme="minorHAnsi"/>
                <w:sz w:val="21"/>
              </w:rPr>
            </w:pPr>
          </w:p>
        </w:tc>
      </w:tr>
      <w:tr w14:paraId="0A9E43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8D97576">
            <w:pPr>
              <w:spacing w:line="320" w:lineRule="exact"/>
              <w:jc w:val="center"/>
              <w:rPr>
                <w:rFonts w:eastAsia="宋体" w:asciiTheme="majorHAnsi" w:hAnsiTheme="majorHAnsi" w:cstheme="minorHAnsi"/>
                <w:sz w:val="21"/>
              </w:rPr>
            </w:pPr>
          </w:p>
        </w:tc>
        <w:tc>
          <w:tcPr>
            <w:tcW w:w="3283" w:type="dxa"/>
            <w:shd w:val="clear" w:color="auto" w:fill="auto"/>
            <w:vAlign w:val="center"/>
          </w:tcPr>
          <w:p w14:paraId="297C0F8D">
            <w:pPr>
              <w:spacing w:line="320" w:lineRule="exact"/>
              <w:rPr>
                <w:rFonts w:eastAsia="宋体" w:asciiTheme="majorHAnsi" w:hAnsiTheme="majorHAnsi" w:cstheme="minorHAnsi"/>
                <w:sz w:val="21"/>
              </w:rPr>
            </w:pPr>
          </w:p>
        </w:tc>
        <w:tc>
          <w:tcPr>
            <w:tcW w:w="3276" w:type="dxa"/>
            <w:shd w:val="clear" w:color="auto" w:fill="auto"/>
            <w:vAlign w:val="center"/>
          </w:tcPr>
          <w:p w14:paraId="176D6C57">
            <w:pPr>
              <w:spacing w:line="320" w:lineRule="exact"/>
              <w:rPr>
                <w:rFonts w:eastAsia="宋体" w:asciiTheme="majorHAnsi" w:hAnsiTheme="majorHAnsi" w:cstheme="minorHAnsi"/>
                <w:sz w:val="21"/>
              </w:rPr>
            </w:pPr>
          </w:p>
        </w:tc>
        <w:tc>
          <w:tcPr>
            <w:tcW w:w="1458" w:type="dxa"/>
            <w:shd w:val="clear" w:color="auto" w:fill="auto"/>
            <w:vAlign w:val="center"/>
          </w:tcPr>
          <w:p w14:paraId="5BE21075">
            <w:pPr>
              <w:spacing w:line="320" w:lineRule="exact"/>
              <w:jc w:val="center"/>
              <w:rPr>
                <w:rFonts w:eastAsia="宋体" w:asciiTheme="majorHAnsi" w:hAnsiTheme="majorHAnsi" w:cstheme="minorHAnsi"/>
                <w:sz w:val="21"/>
              </w:rPr>
            </w:pPr>
          </w:p>
        </w:tc>
      </w:tr>
      <w:tr w14:paraId="553E40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4F8428C">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231DDBE3">
            <w:pPr>
              <w:spacing w:line="320" w:lineRule="exact"/>
              <w:rPr>
                <w:rFonts w:eastAsia="宋体" w:asciiTheme="majorHAnsi" w:hAnsiTheme="majorHAnsi" w:cstheme="minorHAnsi"/>
                <w:sz w:val="21"/>
              </w:rPr>
            </w:pPr>
          </w:p>
        </w:tc>
        <w:tc>
          <w:tcPr>
            <w:tcW w:w="3276" w:type="dxa"/>
            <w:shd w:val="clear" w:color="auto" w:fill="auto"/>
            <w:vAlign w:val="center"/>
          </w:tcPr>
          <w:p w14:paraId="4B8963F0">
            <w:pPr>
              <w:spacing w:line="320" w:lineRule="exact"/>
              <w:rPr>
                <w:rFonts w:eastAsia="宋体" w:asciiTheme="majorHAnsi" w:hAnsiTheme="majorHAnsi" w:cstheme="minorHAnsi"/>
                <w:sz w:val="21"/>
              </w:rPr>
            </w:pPr>
          </w:p>
        </w:tc>
        <w:tc>
          <w:tcPr>
            <w:tcW w:w="1458" w:type="dxa"/>
            <w:shd w:val="clear" w:color="auto" w:fill="auto"/>
            <w:vAlign w:val="center"/>
          </w:tcPr>
          <w:p w14:paraId="70CBCB2C">
            <w:pPr>
              <w:spacing w:line="320" w:lineRule="exact"/>
              <w:jc w:val="center"/>
              <w:rPr>
                <w:rFonts w:eastAsia="宋体" w:asciiTheme="majorHAnsi" w:hAnsiTheme="majorHAnsi" w:cstheme="minorHAnsi"/>
                <w:sz w:val="21"/>
              </w:rPr>
            </w:pPr>
          </w:p>
        </w:tc>
      </w:tr>
      <w:tr w14:paraId="734CA7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04824C7">
            <w:pPr>
              <w:spacing w:line="320" w:lineRule="exact"/>
              <w:jc w:val="center"/>
              <w:rPr>
                <w:rFonts w:eastAsia="宋体" w:asciiTheme="majorHAnsi" w:hAnsiTheme="majorHAnsi" w:cstheme="minorHAnsi"/>
                <w:sz w:val="21"/>
              </w:rPr>
            </w:pPr>
          </w:p>
        </w:tc>
        <w:tc>
          <w:tcPr>
            <w:tcW w:w="3283" w:type="dxa"/>
            <w:shd w:val="clear" w:color="auto" w:fill="auto"/>
            <w:vAlign w:val="center"/>
          </w:tcPr>
          <w:p w14:paraId="7AB7C440">
            <w:pPr>
              <w:spacing w:line="320" w:lineRule="exact"/>
              <w:rPr>
                <w:rFonts w:eastAsia="宋体" w:asciiTheme="majorHAnsi" w:hAnsiTheme="majorHAnsi" w:cstheme="minorHAnsi"/>
                <w:sz w:val="21"/>
              </w:rPr>
            </w:pPr>
          </w:p>
        </w:tc>
        <w:tc>
          <w:tcPr>
            <w:tcW w:w="3276" w:type="dxa"/>
            <w:shd w:val="clear" w:color="auto" w:fill="auto"/>
            <w:vAlign w:val="center"/>
          </w:tcPr>
          <w:p w14:paraId="76F0C2E8">
            <w:pPr>
              <w:spacing w:line="320" w:lineRule="exact"/>
              <w:rPr>
                <w:rFonts w:eastAsia="宋体" w:asciiTheme="majorHAnsi" w:hAnsiTheme="majorHAnsi" w:cstheme="minorHAnsi"/>
                <w:sz w:val="21"/>
              </w:rPr>
            </w:pPr>
          </w:p>
        </w:tc>
        <w:tc>
          <w:tcPr>
            <w:tcW w:w="1458" w:type="dxa"/>
            <w:shd w:val="clear" w:color="auto" w:fill="auto"/>
            <w:vAlign w:val="center"/>
          </w:tcPr>
          <w:p w14:paraId="0D7241A2">
            <w:pPr>
              <w:spacing w:line="320" w:lineRule="exact"/>
              <w:jc w:val="center"/>
              <w:rPr>
                <w:rFonts w:eastAsia="宋体" w:asciiTheme="majorHAnsi" w:hAnsiTheme="majorHAnsi" w:cstheme="minorHAnsi"/>
                <w:sz w:val="21"/>
              </w:rPr>
            </w:pPr>
          </w:p>
        </w:tc>
      </w:tr>
      <w:tr w14:paraId="0EF9AB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EBD6783">
            <w:pPr>
              <w:spacing w:line="320" w:lineRule="exact"/>
              <w:jc w:val="center"/>
              <w:rPr>
                <w:rFonts w:eastAsia="宋体" w:asciiTheme="majorHAnsi" w:hAnsiTheme="majorHAnsi" w:cstheme="minorHAnsi"/>
                <w:sz w:val="21"/>
              </w:rPr>
            </w:pPr>
          </w:p>
        </w:tc>
        <w:tc>
          <w:tcPr>
            <w:tcW w:w="3283" w:type="dxa"/>
            <w:shd w:val="clear" w:color="auto" w:fill="auto"/>
            <w:vAlign w:val="center"/>
          </w:tcPr>
          <w:p w14:paraId="2338E66E">
            <w:pPr>
              <w:spacing w:line="320" w:lineRule="exact"/>
              <w:rPr>
                <w:rFonts w:eastAsia="宋体" w:asciiTheme="majorHAnsi" w:hAnsiTheme="majorHAnsi" w:cstheme="minorHAnsi"/>
                <w:sz w:val="21"/>
              </w:rPr>
            </w:pPr>
          </w:p>
        </w:tc>
        <w:tc>
          <w:tcPr>
            <w:tcW w:w="3276" w:type="dxa"/>
            <w:shd w:val="clear" w:color="auto" w:fill="auto"/>
            <w:vAlign w:val="center"/>
          </w:tcPr>
          <w:p w14:paraId="58ECDBA2">
            <w:pPr>
              <w:spacing w:line="320" w:lineRule="exact"/>
              <w:rPr>
                <w:rFonts w:eastAsia="宋体" w:asciiTheme="majorHAnsi" w:hAnsiTheme="majorHAnsi" w:cstheme="minorHAnsi"/>
                <w:sz w:val="21"/>
              </w:rPr>
            </w:pPr>
          </w:p>
        </w:tc>
        <w:tc>
          <w:tcPr>
            <w:tcW w:w="1458" w:type="dxa"/>
            <w:shd w:val="clear" w:color="auto" w:fill="auto"/>
            <w:vAlign w:val="center"/>
          </w:tcPr>
          <w:p w14:paraId="11B2AF3F">
            <w:pPr>
              <w:spacing w:line="320" w:lineRule="exact"/>
              <w:jc w:val="center"/>
              <w:rPr>
                <w:rFonts w:eastAsia="宋体" w:asciiTheme="majorHAnsi" w:hAnsiTheme="majorHAnsi" w:cstheme="minorHAnsi"/>
                <w:sz w:val="21"/>
              </w:rPr>
            </w:pPr>
          </w:p>
        </w:tc>
      </w:tr>
      <w:tr w14:paraId="60F2286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1B3EB081">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14:paraId="4F0610D7">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14:paraId="36C0E8FD">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21B7066E">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实质性条款的响应出现负偏离的，按无效响应处理</w:t>
            </w:r>
            <w:r>
              <w:rPr>
                <w:rFonts w:hint="eastAsia" w:ascii="Calibri" w:hAnsi="宋体" w:eastAsia="宋体" w:cstheme="minorHAnsi"/>
                <w:sz w:val="21"/>
              </w:rPr>
              <w:t>。</w:t>
            </w:r>
          </w:p>
          <w:p w14:paraId="057E7F9C">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14:paraId="450437F4">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4DE36B40">
      <w:pPr>
        <w:rPr>
          <w:rFonts w:cstheme="minorHAnsi"/>
        </w:rPr>
      </w:pPr>
    </w:p>
    <w:p w14:paraId="28964766">
      <w:pPr>
        <w:rPr>
          <w:rFonts w:cstheme="minorHAnsi"/>
        </w:rPr>
      </w:pPr>
    </w:p>
    <w:p w14:paraId="283DE308">
      <w:pPr>
        <w:rPr>
          <w:rFonts w:cstheme="minorHAnsi"/>
        </w:rPr>
      </w:pPr>
    </w:p>
    <w:p w14:paraId="693B6E9D">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14:paraId="280F6C88">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响应</w:t>
      </w:r>
      <w:r>
        <w:rPr>
          <w:rFonts w:ascii="Calibri" w:hAnsi="Calibri" w:eastAsia="黑体"/>
          <w:kern w:val="32"/>
          <w:sz w:val="32"/>
        </w:rPr>
        <w:t>方案</w:t>
      </w:r>
    </w:p>
    <w:p w14:paraId="72C35BAB">
      <w:pPr>
        <w:keepNext/>
        <w:spacing w:before="120" w:after="60"/>
        <w:outlineLvl w:val="2"/>
        <w:rPr>
          <w:rFonts w:ascii="黑体" w:hAnsi="黑体" w:eastAsia="黑体"/>
          <w:kern w:val="28"/>
          <w:sz w:val="28"/>
          <w:szCs w:val="28"/>
        </w:rPr>
      </w:pPr>
      <w:r>
        <w:rPr>
          <w:rFonts w:ascii="黑体" w:hAnsi="黑体" w:eastAsia="黑体"/>
          <w:kern w:val="28"/>
          <w:sz w:val="28"/>
          <w:szCs w:val="28"/>
        </w:rPr>
        <w:t>（一）技术（服务）条款响应</w:t>
      </w:r>
    </w:p>
    <w:p w14:paraId="7B4B454B">
      <w:pPr>
        <w:jc w:val="center"/>
        <w:rPr>
          <w:rFonts w:asciiTheme="minorEastAsia" w:hAnsiTheme="minorEastAsia"/>
          <w:b/>
        </w:rPr>
      </w:pPr>
      <w:r>
        <w:rPr>
          <w:rFonts w:cstheme="minorHAnsi"/>
          <w:b/>
        </w:rPr>
        <w:t>1</w:t>
      </w:r>
      <w:r>
        <w:rPr>
          <w:rFonts w:hint="eastAsia" w:cstheme="minorHAnsi"/>
          <w:b/>
        </w:rPr>
        <w:t>.</w:t>
      </w:r>
      <w:r>
        <w:rPr>
          <w:rFonts w:asciiTheme="minorEastAsia" w:hAnsiTheme="minorEastAsia"/>
          <w:b/>
        </w:rPr>
        <w:t>技术（服务）要求（非实质性）条款偏差表</w:t>
      </w:r>
    </w:p>
    <w:tbl>
      <w:tblPr>
        <w:tblStyle w:val="24"/>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207"/>
        <w:gridCol w:w="3351"/>
        <w:gridCol w:w="1798"/>
      </w:tblGrid>
      <w:tr w14:paraId="6B6CE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auto"/>
            <w:vAlign w:val="center"/>
          </w:tcPr>
          <w:p w14:paraId="11AE3CD8">
            <w:pPr>
              <w:jc w:val="center"/>
              <w:rPr>
                <w:rFonts w:asciiTheme="minorEastAsia" w:hAnsiTheme="minorEastAsia"/>
                <w:sz w:val="21"/>
                <w:szCs w:val="21"/>
              </w:rPr>
            </w:pPr>
            <w:r>
              <w:rPr>
                <w:rFonts w:asciiTheme="minorEastAsia" w:hAnsiTheme="minorEastAsia"/>
                <w:sz w:val="21"/>
                <w:szCs w:val="21"/>
              </w:rPr>
              <w:t>序号</w:t>
            </w:r>
          </w:p>
        </w:tc>
        <w:tc>
          <w:tcPr>
            <w:tcW w:w="3207" w:type="dxa"/>
            <w:shd w:val="clear" w:color="auto" w:fill="auto"/>
            <w:vAlign w:val="center"/>
          </w:tcPr>
          <w:p w14:paraId="6460E1D7">
            <w:pPr>
              <w:jc w:val="center"/>
              <w:rPr>
                <w:rFonts w:asciiTheme="minorEastAsia" w:hAnsiTheme="minorEastAsia"/>
                <w:sz w:val="21"/>
                <w:szCs w:val="21"/>
              </w:rPr>
            </w:pPr>
            <w:r>
              <w:rPr>
                <w:rFonts w:asciiTheme="minorEastAsia" w:hAnsiTheme="minorEastAsia"/>
                <w:sz w:val="21"/>
                <w:szCs w:val="21"/>
              </w:rPr>
              <w:t>谈判文件</w:t>
            </w:r>
          </w:p>
        </w:tc>
        <w:tc>
          <w:tcPr>
            <w:tcW w:w="3351" w:type="dxa"/>
            <w:shd w:val="clear" w:color="auto" w:fill="auto"/>
            <w:vAlign w:val="center"/>
          </w:tcPr>
          <w:p w14:paraId="73C4D7DC">
            <w:pPr>
              <w:jc w:val="center"/>
              <w:rPr>
                <w:rFonts w:asciiTheme="minorEastAsia" w:hAnsiTheme="minorEastAsia"/>
                <w:sz w:val="21"/>
                <w:szCs w:val="21"/>
              </w:rPr>
            </w:pPr>
            <w:r>
              <w:rPr>
                <w:rFonts w:asciiTheme="minorEastAsia" w:hAnsiTheme="minorEastAsia"/>
                <w:sz w:val="21"/>
                <w:szCs w:val="21"/>
              </w:rPr>
              <w:t>响应文件</w:t>
            </w:r>
          </w:p>
        </w:tc>
        <w:tc>
          <w:tcPr>
            <w:tcW w:w="1798" w:type="dxa"/>
            <w:vMerge w:val="restart"/>
            <w:shd w:val="clear" w:color="auto" w:fill="auto"/>
            <w:vAlign w:val="center"/>
          </w:tcPr>
          <w:p w14:paraId="6199FC32">
            <w:pPr>
              <w:jc w:val="center"/>
              <w:rPr>
                <w:rFonts w:asciiTheme="minorEastAsia" w:hAnsiTheme="minorEastAsia"/>
                <w:sz w:val="21"/>
                <w:szCs w:val="21"/>
              </w:rPr>
            </w:pPr>
            <w:r>
              <w:rPr>
                <w:rFonts w:asciiTheme="minorEastAsia" w:hAnsiTheme="minorEastAsia"/>
                <w:sz w:val="21"/>
                <w:szCs w:val="21"/>
              </w:rPr>
              <w:t>响应说明</w:t>
            </w:r>
          </w:p>
        </w:tc>
      </w:tr>
      <w:tr w14:paraId="7CA17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auto"/>
            <w:vAlign w:val="center"/>
          </w:tcPr>
          <w:p w14:paraId="4CA47E53">
            <w:pPr>
              <w:rPr>
                <w:rFonts w:asciiTheme="minorEastAsia" w:hAnsiTheme="minorEastAsia"/>
                <w:sz w:val="21"/>
                <w:szCs w:val="21"/>
              </w:rPr>
            </w:pPr>
          </w:p>
        </w:tc>
        <w:tc>
          <w:tcPr>
            <w:tcW w:w="3207" w:type="dxa"/>
            <w:shd w:val="clear" w:color="auto" w:fill="auto"/>
            <w:vAlign w:val="center"/>
          </w:tcPr>
          <w:p w14:paraId="5D8F2711">
            <w:pPr>
              <w:jc w:val="center"/>
              <w:rPr>
                <w:rFonts w:asciiTheme="minorEastAsia" w:hAnsiTheme="minorEastAsia"/>
                <w:sz w:val="21"/>
                <w:szCs w:val="21"/>
              </w:rPr>
            </w:pPr>
            <w:r>
              <w:rPr>
                <w:rFonts w:asciiTheme="minorEastAsia" w:hAnsiTheme="minorEastAsia"/>
                <w:sz w:val="21"/>
                <w:szCs w:val="21"/>
              </w:rPr>
              <w:t>技术要求非实质性条款</w:t>
            </w:r>
          </w:p>
        </w:tc>
        <w:tc>
          <w:tcPr>
            <w:tcW w:w="3351" w:type="dxa"/>
            <w:shd w:val="clear" w:color="auto" w:fill="auto"/>
            <w:vAlign w:val="center"/>
          </w:tcPr>
          <w:p w14:paraId="57DAAD1D">
            <w:pPr>
              <w:jc w:val="center"/>
              <w:rPr>
                <w:rFonts w:asciiTheme="minorEastAsia" w:hAnsiTheme="minorEastAsia"/>
                <w:sz w:val="21"/>
                <w:szCs w:val="21"/>
              </w:rPr>
            </w:pPr>
            <w:r>
              <w:rPr>
                <w:rFonts w:asciiTheme="minorEastAsia" w:hAnsiTheme="minorEastAsia"/>
                <w:sz w:val="21"/>
                <w:szCs w:val="21"/>
              </w:rPr>
              <w:t>技术要求响应内容或索引</w:t>
            </w:r>
          </w:p>
        </w:tc>
        <w:tc>
          <w:tcPr>
            <w:tcW w:w="1798" w:type="dxa"/>
            <w:vMerge w:val="continue"/>
            <w:shd w:val="clear" w:color="auto" w:fill="auto"/>
            <w:vAlign w:val="center"/>
          </w:tcPr>
          <w:p w14:paraId="7B3007A0">
            <w:pPr>
              <w:rPr>
                <w:rFonts w:asciiTheme="minorEastAsia" w:hAnsiTheme="minorEastAsia"/>
                <w:sz w:val="21"/>
                <w:szCs w:val="21"/>
              </w:rPr>
            </w:pPr>
          </w:p>
        </w:tc>
      </w:tr>
      <w:tr w14:paraId="39674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9D2ACB7">
            <w:pPr>
              <w:jc w:val="center"/>
              <w:rPr>
                <w:rFonts w:asciiTheme="minorEastAsia" w:hAnsiTheme="minorEastAsia"/>
                <w:sz w:val="21"/>
                <w:szCs w:val="21"/>
              </w:rPr>
            </w:pPr>
            <w:r>
              <w:rPr>
                <w:rFonts w:asciiTheme="minorEastAsia" w:hAnsiTheme="minorEastAsia"/>
                <w:sz w:val="21"/>
                <w:szCs w:val="21"/>
              </w:rPr>
              <w:t>示例</w:t>
            </w:r>
          </w:p>
        </w:tc>
        <w:tc>
          <w:tcPr>
            <w:tcW w:w="3207" w:type="dxa"/>
            <w:shd w:val="clear" w:color="auto" w:fill="auto"/>
            <w:vAlign w:val="center"/>
          </w:tcPr>
          <w:p w14:paraId="0238CA6A">
            <w:pPr>
              <w:rPr>
                <w:rFonts w:asciiTheme="minorEastAsia" w:hAnsiTheme="minorEastAsia"/>
                <w:sz w:val="21"/>
                <w:szCs w:val="21"/>
              </w:rPr>
            </w:pPr>
            <w:r>
              <w:rPr>
                <w:rFonts w:asciiTheme="minorEastAsia" w:hAnsiTheme="minorEastAsia"/>
                <w:sz w:val="21"/>
                <w:szCs w:val="21"/>
              </w:rPr>
              <w:t>黑色，打印量≥1500页</w:t>
            </w:r>
          </w:p>
        </w:tc>
        <w:tc>
          <w:tcPr>
            <w:tcW w:w="3351" w:type="dxa"/>
            <w:shd w:val="clear" w:color="auto" w:fill="auto"/>
            <w:vAlign w:val="center"/>
          </w:tcPr>
          <w:p w14:paraId="57BA077E">
            <w:pPr>
              <w:rPr>
                <w:rFonts w:asciiTheme="minorEastAsia" w:hAnsiTheme="minorEastAsia"/>
                <w:sz w:val="21"/>
                <w:szCs w:val="21"/>
              </w:rPr>
            </w:pPr>
            <w:r>
              <w:rPr>
                <w:rFonts w:asciiTheme="minorEastAsia" w:hAnsiTheme="minorEastAsia"/>
                <w:sz w:val="21"/>
                <w:szCs w:val="21"/>
              </w:rPr>
              <w:t>1、黑色，打印量1500页……</w:t>
            </w:r>
          </w:p>
          <w:p w14:paraId="16BE5574">
            <w:pPr>
              <w:rPr>
                <w:rFonts w:asciiTheme="minorEastAsia" w:hAnsiTheme="minorEastAsia"/>
                <w:sz w:val="21"/>
                <w:szCs w:val="21"/>
              </w:rPr>
            </w:pPr>
            <w:r>
              <w:rPr>
                <w:rFonts w:asciiTheme="minorEastAsia" w:hAnsiTheme="minorEastAsia"/>
                <w:sz w:val="21"/>
                <w:szCs w:val="21"/>
              </w:rPr>
              <w:t>2、产品描述、产品优势（若有）</w:t>
            </w:r>
          </w:p>
        </w:tc>
        <w:tc>
          <w:tcPr>
            <w:tcW w:w="1798" w:type="dxa"/>
            <w:shd w:val="clear" w:color="auto" w:fill="auto"/>
            <w:vAlign w:val="center"/>
          </w:tcPr>
          <w:p w14:paraId="1EE1041B">
            <w:pPr>
              <w:jc w:val="center"/>
              <w:rPr>
                <w:rFonts w:asciiTheme="minorEastAsia" w:hAnsiTheme="minorEastAsia"/>
                <w:sz w:val="21"/>
                <w:szCs w:val="21"/>
              </w:rPr>
            </w:pPr>
            <w:r>
              <w:rPr>
                <w:rFonts w:asciiTheme="minorEastAsia" w:hAnsiTheme="minorEastAsia"/>
                <w:sz w:val="21"/>
                <w:szCs w:val="21"/>
              </w:rPr>
              <w:t>符合</w:t>
            </w:r>
          </w:p>
        </w:tc>
      </w:tr>
      <w:tr w14:paraId="0AD89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49ED493F">
            <w:pPr>
              <w:jc w:val="center"/>
              <w:rPr>
                <w:rFonts w:asciiTheme="minorEastAsia" w:hAnsiTheme="minorEastAsia"/>
                <w:sz w:val="21"/>
                <w:szCs w:val="21"/>
              </w:rPr>
            </w:pPr>
          </w:p>
        </w:tc>
        <w:tc>
          <w:tcPr>
            <w:tcW w:w="3207" w:type="dxa"/>
            <w:shd w:val="clear" w:color="auto" w:fill="auto"/>
            <w:vAlign w:val="center"/>
          </w:tcPr>
          <w:p w14:paraId="2F1FE12F">
            <w:pPr>
              <w:rPr>
                <w:rFonts w:asciiTheme="minorEastAsia" w:hAnsiTheme="minorEastAsia"/>
                <w:sz w:val="21"/>
                <w:szCs w:val="21"/>
              </w:rPr>
            </w:pPr>
          </w:p>
        </w:tc>
        <w:tc>
          <w:tcPr>
            <w:tcW w:w="3351" w:type="dxa"/>
            <w:shd w:val="clear" w:color="auto" w:fill="auto"/>
            <w:vAlign w:val="center"/>
          </w:tcPr>
          <w:p w14:paraId="750EA61B">
            <w:pPr>
              <w:rPr>
                <w:rFonts w:asciiTheme="minorEastAsia" w:hAnsiTheme="minorEastAsia"/>
                <w:sz w:val="21"/>
                <w:szCs w:val="21"/>
              </w:rPr>
            </w:pPr>
          </w:p>
        </w:tc>
        <w:tc>
          <w:tcPr>
            <w:tcW w:w="1798" w:type="dxa"/>
            <w:shd w:val="clear" w:color="auto" w:fill="auto"/>
            <w:vAlign w:val="center"/>
          </w:tcPr>
          <w:p w14:paraId="4E075870">
            <w:pPr>
              <w:rPr>
                <w:rFonts w:asciiTheme="minorEastAsia" w:hAnsiTheme="minorEastAsia"/>
                <w:sz w:val="21"/>
                <w:szCs w:val="21"/>
              </w:rPr>
            </w:pPr>
          </w:p>
        </w:tc>
      </w:tr>
      <w:tr w14:paraId="63550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28A8045">
            <w:pPr>
              <w:jc w:val="center"/>
              <w:rPr>
                <w:rFonts w:asciiTheme="minorEastAsia" w:hAnsiTheme="minorEastAsia"/>
                <w:sz w:val="21"/>
                <w:szCs w:val="21"/>
              </w:rPr>
            </w:pPr>
          </w:p>
        </w:tc>
        <w:tc>
          <w:tcPr>
            <w:tcW w:w="3207" w:type="dxa"/>
            <w:shd w:val="clear" w:color="auto" w:fill="auto"/>
            <w:vAlign w:val="center"/>
          </w:tcPr>
          <w:p w14:paraId="06679530">
            <w:pPr>
              <w:rPr>
                <w:rFonts w:asciiTheme="minorEastAsia" w:hAnsiTheme="minorEastAsia"/>
                <w:sz w:val="21"/>
                <w:szCs w:val="21"/>
              </w:rPr>
            </w:pPr>
          </w:p>
        </w:tc>
        <w:tc>
          <w:tcPr>
            <w:tcW w:w="3351" w:type="dxa"/>
            <w:shd w:val="clear" w:color="auto" w:fill="auto"/>
            <w:vAlign w:val="center"/>
          </w:tcPr>
          <w:p w14:paraId="4ED2F5CE">
            <w:pPr>
              <w:rPr>
                <w:rFonts w:asciiTheme="minorEastAsia" w:hAnsiTheme="minorEastAsia"/>
                <w:sz w:val="21"/>
                <w:szCs w:val="21"/>
              </w:rPr>
            </w:pPr>
          </w:p>
        </w:tc>
        <w:tc>
          <w:tcPr>
            <w:tcW w:w="1798" w:type="dxa"/>
            <w:shd w:val="clear" w:color="auto" w:fill="auto"/>
            <w:vAlign w:val="center"/>
          </w:tcPr>
          <w:p w14:paraId="0E2CAF7D">
            <w:pPr>
              <w:rPr>
                <w:rFonts w:asciiTheme="minorEastAsia" w:hAnsiTheme="minorEastAsia"/>
                <w:sz w:val="21"/>
                <w:szCs w:val="21"/>
              </w:rPr>
            </w:pPr>
          </w:p>
        </w:tc>
      </w:tr>
      <w:tr w14:paraId="54EB8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4FB1CD93">
            <w:pPr>
              <w:jc w:val="center"/>
              <w:rPr>
                <w:rFonts w:asciiTheme="minorEastAsia" w:hAnsiTheme="minorEastAsia"/>
                <w:sz w:val="21"/>
                <w:szCs w:val="21"/>
              </w:rPr>
            </w:pPr>
          </w:p>
        </w:tc>
        <w:tc>
          <w:tcPr>
            <w:tcW w:w="3207" w:type="dxa"/>
            <w:shd w:val="clear" w:color="auto" w:fill="auto"/>
            <w:vAlign w:val="center"/>
          </w:tcPr>
          <w:p w14:paraId="73286866">
            <w:pPr>
              <w:rPr>
                <w:rFonts w:asciiTheme="minorEastAsia" w:hAnsiTheme="minorEastAsia"/>
                <w:sz w:val="21"/>
                <w:szCs w:val="21"/>
              </w:rPr>
            </w:pPr>
          </w:p>
        </w:tc>
        <w:tc>
          <w:tcPr>
            <w:tcW w:w="3351" w:type="dxa"/>
            <w:shd w:val="clear" w:color="auto" w:fill="auto"/>
            <w:vAlign w:val="center"/>
          </w:tcPr>
          <w:p w14:paraId="703A15C0">
            <w:pPr>
              <w:rPr>
                <w:rFonts w:asciiTheme="minorEastAsia" w:hAnsiTheme="minorEastAsia"/>
                <w:sz w:val="21"/>
                <w:szCs w:val="21"/>
              </w:rPr>
            </w:pPr>
          </w:p>
        </w:tc>
        <w:tc>
          <w:tcPr>
            <w:tcW w:w="1798" w:type="dxa"/>
            <w:shd w:val="clear" w:color="auto" w:fill="auto"/>
            <w:vAlign w:val="center"/>
          </w:tcPr>
          <w:p w14:paraId="7F615AF6">
            <w:pPr>
              <w:rPr>
                <w:rFonts w:asciiTheme="minorEastAsia" w:hAnsiTheme="minorEastAsia"/>
                <w:sz w:val="21"/>
                <w:szCs w:val="21"/>
              </w:rPr>
            </w:pPr>
          </w:p>
        </w:tc>
      </w:tr>
      <w:tr w14:paraId="0ECF5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A5D37E4">
            <w:pPr>
              <w:jc w:val="center"/>
              <w:rPr>
                <w:rFonts w:asciiTheme="minorEastAsia" w:hAnsiTheme="minorEastAsia"/>
                <w:sz w:val="21"/>
                <w:szCs w:val="21"/>
              </w:rPr>
            </w:pPr>
          </w:p>
        </w:tc>
        <w:tc>
          <w:tcPr>
            <w:tcW w:w="3207" w:type="dxa"/>
            <w:shd w:val="clear" w:color="auto" w:fill="auto"/>
            <w:vAlign w:val="center"/>
          </w:tcPr>
          <w:p w14:paraId="153607B0">
            <w:pPr>
              <w:rPr>
                <w:rFonts w:asciiTheme="minorEastAsia" w:hAnsiTheme="minorEastAsia"/>
                <w:sz w:val="21"/>
                <w:szCs w:val="21"/>
              </w:rPr>
            </w:pPr>
          </w:p>
        </w:tc>
        <w:tc>
          <w:tcPr>
            <w:tcW w:w="3351" w:type="dxa"/>
            <w:shd w:val="clear" w:color="auto" w:fill="auto"/>
            <w:vAlign w:val="center"/>
          </w:tcPr>
          <w:p w14:paraId="54D1A6F4">
            <w:pPr>
              <w:rPr>
                <w:rFonts w:asciiTheme="minorEastAsia" w:hAnsiTheme="minorEastAsia"/>
                <w:sz w:val="21"/>
                <w:szCs w:val="21"/>
              </w:rPr>
            </w:pPr>
          </w:p>
        </w:tc>
        <w:tc>
          <w:tcPr>
            <w:tcW w:w="1798" w:type="dxa"/>
            <w:shd w:val="clear" w:color="auto" w:fill="auto"/>
            <w:vAlign w:val="center"/>
          </w:tcPr>
          <w:p w14:paraId="09FECB71">
            <w:pPr>
              <w:rPr>
                <w:rFonts w:asciiTheme="minorEastAsia" w:hAnsiTheme="minorEastAsia"/>
                <w:sz w:val="21"/>
                <w:szCs w:val="21"/>
              </w:rPr>
            </w:pPr>
          </w:p>
        </w:tc>
      </w:tr>
      <w:tr w14:paraId="1AFFE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4361DAC9">
            <w:pPr>
              <w:jc w:val="center"/>
              <w:rPr>
                <w:rFonts w:asciiTheme="minorEastAsia" w:hAnsiTheme="minorEastAsia"/>
                <w:sz w:val="21"/>
                <w:szCs w:val="21"/>
              </w:rPr>
            </w:pPr>
          </w:p>
        </w:tc>
        <w:tc>
          <w:tcPr>
            <w:tcW w:w="3207" w:type="dxa"/>
            <w:shd w:val="clear" w:color="auto" w:fill="auto"/>
            <w:vAlign w:val="center"/>
          </w:tcPr>
          <w:p w14:paraId="1C13314E">
            <w:pPr>
              <w:rPr>
                <w:rFonts w:asciiTheme="minorEastAsia" w:hAnsiTheme="minorEastAsia"/>
                <w:sz w:val="21"/>
                <w:szCs w:val="21"/>
              </w:rPr>
            </w:pPr>
          </w:p>
        </w:tc>
        <w:tc>
          <w:tcPr>
            <w:tcW w:w="3351" w:type="dxa"/>
            <w:shd w:val="clear" w:color="auto" w:fill="auto"/>
            <w:vAlign w:val="center"/>
          </w:tcPr>
          <w:p w14:paraId="27574079">
            <w:pPr>
              <w:rPr>
                <w:rFonts w:asciiTheme="minorEastAsia" w:hAnsiTheme="minorEastAsia"/>
                <w:sz w:val="21"/>
                <w:szCs w:val="21"/>
              </w:rPr>
            </w:pPr>
          </w:p>
        </w:tc>
        <w:tc>
          <w:tcPr>
            <w:tcW w:w="1798" w:type="dxa"/>
            <w:shd w:val="clear" w:color="auto" w:fill="auto"/>
            <w:vAlign w:val="center"/>
          </w:tcPr>
          <w:p w14:paraId="59513234">
            <w:pPr>
              <w:rPr>
                <w:rFonts w:asciiTheme="minorEastAsia" w:hAnsiTheme="minorEastAsia"/>
                <w:sz w:val="21"/>
                <w:szCs w:val="21"/>
              </w:rPr>
            </w:pPr>
          </w:p>
        </w:tc>
      </w:tr>
      <w:tr w14:paraId="49379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5C12A0A">
            <w:pPr>
              <w:rPr>
                <w:rFonts w:asciiTheme="minorEastAsia" w:hAnsiTheme="minorEastAsia"/>
                <w:sz w:val="21"/>
                <w:szCs w:val="21"/>
              </w:rPr>
            </w:pPr>
            <w:r>
              <w:rPr>
                <w:rFonts w:asciiTheme="minorEastAsia" w:hAnsiTheme="minorEastAsia"/>
                <w:sz w:val="21"/>
                <w:szCs w:val="21"/>
              </w:rPr>
              <w:t>备注</w:t>
            </w:r>
          </w:p>
        </w:tc>
        <w:tc>
          <w:tcPr>
            <w:tcW w:w="8356" w:type="dxa"/>
            <w:gridSpan w:val="3"/>
            <w:shd w:val="clear" w:color="auto" w:fill="auto"/>
            <w:vAlign w:val="center"/>
          </w:tcPr>
          <w:p w14:paraId="3E76ACA1">
            <w:pPr>
              <w:jc w:val="both"/>
              <w:rPr>
                <w:rFonts w:asciiTheme="minorEastAsia" w:hAnsiTheme="minorEastAsia"/>
                <w:sz w:val="21"/>
                <w:szCs w:val="21"/>
              </w:rPr>
            </w:pPr>
            <w:r>
              <w:rPr>
                <w:rFonts w:asciiTheme="minorEastAsia" w:hAnsiTheme="minorEastAsia"/>
                <w:sz w:val="21"/>
                <w:szCs w:val="21"/>
              </w:rPr>
              <w:t>① 只需对</w:t>
            </w:r>
            <w:r>
              <w:rPr>
                <w:rFonts w:hint="eastAsia" w:asciiTheme="minorEastAsia" w:hAnsiTheme="minorEastAsia"/>
                <w:sz w:val="21"/>
                <w:szCs w:val="21"/>
              </w:rPr>
              <w:t>第三章</w:t>
            </w:r>
            <w:r>
              <w:rPr>
                <w:rFonts w:asciiTheme="minorEastAsia" w:hAnsiTheme="minorEastAsia"/>
                <w:sz w:val="21"/>
                <w:szCs w:val="21"/>
              </w:rPr>
              <w:t>技术（服务）要求中的非实质性条款（未标注</w:t>
            </w:r>
            <w:r>
              <w:rPr>
                <w:rFonts w:cs="Segoe UI Symbol" w:asciiTheme="minorEastAsia" w:hAnsiTheme="minorEastAsia"/>
                <w:sz w:val="21"/>
                <w:szCs w:val="21"/>
              </w:rPr>
              <w:t>★</w:t>
            </w:r>
            <w:r>
              <w:rPr>
                <w:rFonts w:asciiTheme="minorEastAsia" w:hAnsiTheme="minorEastAsia"/>
                <w:sz w:val="21"/>
                <w:szCs w:val="21"/>
              </w:rPr>
              <w:t>的）作出响应。表格行数不够时，请自行扩展。</w:t>
            </w:r>
          </w:p>
          <w:p w14:paraId="69C98503">
            <w:pPr>
              <w:jc w:val="both"/>
              <w:rPr>
                <w:rFonts w:asciiTheme="minorEastAsia" w:hAnsiTheme="minorEastAsia"/>
                <w:sz w:val="21"/>
                <w:szCs w:val="21"/>
              </w:rPr>
            </w:pPr>
            <w:r>
              <w:rPr>
                <w:rFonts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7300ACD6">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p>
          <w:p w14:paraId="7BF38B65">
            <w:pPr>
              <w:jc w:val="both"/>
              <w:rPr>
                <w:rFonts w:asciiTheme="minorEastAsia" w:hAnsiTheme="minorEastAsia"/>
                <w:sz w:val="21"/>
                <w:szCs w:val="21"/>
              </w:rPr>
            </w:pPr>
            <w:r>
              <w:rPr>
                <w:rFonts w:asciiTheme="minorEastAsia" w:hAnsiTheme="minorEastAsia"/>
                <w:sz w:val="21"/>
                <w:szCs w:val="21"/>
              </w:rPr>
              <w:t>④ 表格中“示例”部分仅供参考，供应商在响应时请自行清除。</w:t>
            </w:r>
          </w:p>
        </w:tc>
      </w:tr>
    </w:tbl>
    <w:p w14:paraId="7411798B">
      <w:pPr>
        <w:rPr>
          <w:rFonts w:asciiTheme="minorEastAsia" w:hAnsiTheme="minorEastAsia"/>
        </w:rPr>
      </w:pPr>
    </w:p>
    <w:p w14:paraId="5D70B431">
      <w:pPr>
        <w:jc w:val="center"/>
        <w:rPr>
          <w:rFonts w:cstheme="minorHAnsi"/>
          <w:b/>
        </w:rPr>
      </w:pPr>
      <w:r>
        <w:rPr>
          <w:rFonts w:cstheme="minorHAnsi"/>
          <w:b/>
        </w:rPr>
        <w:t>2</w:t>
      </w:r>
      <w:r>
        <w:rPr>
          <w:rFonts w:hint="eastAsia" w:cstheme="minorHAnsi"/>
          <w:b/>
        </w:rPr>
        <w:t>.</w:t>
      </w:r>
      <w:r>
        <w:rPr>
          <w:rFonts w:hint="eastAsia" w:cstheme="minorHAnsi"/>
          <w:b/>
          <w:i/>
        </w:rPr>
        <w:t>技术（服务）部分响应方案</w:t>
      </w:r>
    </w:p>
    <w:p w14:paraId="5979D4A0">
      <w:pPr>
        <w:rPr>
          <w:rFonts w:asciiTheme="minorEastAsia" w:hAnsiTheme="minorEastAsia"/>
        </w:rPr>
      </w:pPr>
      <w:r>
        <w:rPr>
          <w:rFonts w:hint="eastAsia"/>
          <w:i/>
          <w:color w:val="C00000"/>
        </w:rPr>
        <w:t>供应商结合第三章《谈判内容及要求》相关要求编写方案。</w:t>
      </w:r>
      <w:r>
        <w:rPr>
          <w:i/>
          <w:color w:val="C00000"/>
        </w:rPr>
        <w:t>示例如下</w:t>
      </w:r>
      <w:r>
        <w:rPr>
          <w:rFonts w:hint="eastAsia"/>
          <w:i/>
          <w:color w:val="C00000"/>
        </w:rPr>
        <w:t>：</w:t>
      </w:r>
    </w:p>
    <w:p w14:paraId="1CC39B22">
      <w:pPr>
        <w:rPr>
          <w:rFonts w:cstheme="minorHAnsi"/>
          <w:b/>
          <w:color w:val="C00000"/>
          <w:sz w:val="28"/>
          <w:szCs w:val="28"/>
        </w:rPr>
      </w:pPr>
      <w:r>
        <w:rPr>
          <w:rFonts w:cstheme="minorHAnsi"/>
          <w:b/>
          <w:color w:val="C00000"/>
          <w:sz w:val="28"/>
          <w:szCs w:val="28"/>
        </w:rPr>
        <w:br w:type="page"/>
      </w:r>
    </w:p>
    <w:p w14:paraId="172332CF">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14:paraId="29607971">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24"/>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126"/>
        <w:gridCol w:w="3432"/>
        <w:gridCol w:w="1823"/>
      </w:tblGrid>
      <w:tr w14:paraId="5796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14:paraId="751FBEDC">
            <w:pPr>
              <w:jc w:val="center"/>
              <w:rPr>
                <w:sz w:val="21"/>
                <w:szCs w:val="21"/>
              </w:rPr>
            </w:pPr>
            <w:r>
              <w:rPr>
                <w:sz w:val="21"/>
                <w:szCs w:val="21"/>
              </w:rPr>
              <w:t>序号</w:t>
            </w:r>
          </w:p>
        </w:tc>
        <w:tc>
          <w:tcPr>
            <w:tcW w:w="3126" w:type="dxa"/>
            <w:shd w:val="clear" w:color="auto" w:fill="F1F1F1" w:themeFill="background1" w:themeFillShade="F2"/>
            <w:vAlign w:val="center"/>
          </w:tcPr>
          <w:p w14:paraId="5DEA03D1">
            <w:pPr>
              <w:jc w:val="center"/>
              <w:rPr>
                <w:sz w:val="21"/>
                <w:szCs w:val="21"/>
              </w:rPr>
            </w:pPr>
            <w:r>
              <w:rPr>
                <w:sz w:val="21"/>
                <w:szCs w:val="21"/>
              </w:rPr>
              <w:t>谈判文件</w:t>
            </w:r>
          </w:p>
        </w:tc>
        <w:tc>
          <w:tcPr>
            <w:tcW w:w="3432" w:type="dxa"/>
            <w:shd w:val="clear" w:color="auto" w:fill="F1F1F1" w:themeFill="background1" w:themeFillShade="F2"/>
            <w:vAlign w:val="center"/>
          </w:tcPr>
          <w:p w14:paraId="75A1598A">
            <w:pPr>
              <w:jc w:val="center"/>
              <w:rPr>
                <w:sz w:val="21"/>
                <w:szCs w:val="21"/>
              </w:rPr>
            </w:pPr>
            <w:r>
              <w:rPr>
                <w:sz w:val="21"/>
                <w:szCs w:val="21"/>
              </w:rPr>
              <w:t>响应文件</w:t>
            </w:r>
          </w:p>
        </w:tc>
        <w:tc>
          <w:tcPr>
            <w:tcW w:w="1823" w:type="dxa"/>
            <w:vMerge w:val="restart"/>
            <w:shd w:val="clear" w:color="auto" w:fill="F1F1F1" w:themeFill="background1" w:themeFillShade="F2"/>
            <w:vAlign w:val="center"/>
          </w:tcPr>
          <w:p w14:paraId="49F5038F">
            <w:pPr>
              <w:jc w:val="center"/>
              <w:rPr>
                <w:sz w:val="21"/>
                <w:szCs w:val="21"/>
              </w:rPr>
            </w:pPr>
            <w:r>
              <w:rPr>
                <w:sz w:val="21"/>
                <w:szCs w:val="21"/>
              </w:rPr>
              <w:t>响应说明</w:t>
            </w:r>
          </w:p>
        </w:tc>
      </w:tr>
      <w:tr w14:paraId="4F698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14:paraId="40ADA6D0">
            <w:pPr>
              <w:jc w:val="center"/>
              <w:rPr>
                <w:sz w:val="21"/>
                <w:szCs w:val="21"/>
              </w:rPr>
            </w:pPr>
          </w:p>
        </w:tc>
        <w:tc>
          <w:tcPr>
            <w:tcW w:w="3126" w:type="dxa"/>
            <w:shd w:val="clear" w:color="auto" w:fill="F1F1F1" w:themeFill="background1" w:themeFillShade="F2"/>
            <w:vAlign w:val="center"/>
          </w:tcPr>
          <w:p w14:paraId="55EEC86C">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14:paraId="448BAB14">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14:paraId="3D2F01EC">
            <w:pPr>
              <w:rPr>
                <w:sz w:val="21"/>
                <w:szCs w:val="21"/>
              </w:rPr>
            </w:pPr>
          </w:p>
        </w:tc>
      </w:tr>
      <w:tr w14:paraId="0E8C7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1E0E78C1">
            <w:pPr>
              <w:rPr>
                <w:sz w:val="21"/>
                <w:szCs w:val="21"/>
              </w:rPr>
            </w:pPr>
          </w:p>
        </w:tc>
        <w:tc>
          <w:tcPr>
            <w:tcW w:w="3126" w:type="dxa"/>
            <w:vAlign w:val="center"/>
          </w:tcPr>
          <w:p w14:paraId="09B9B6C0">
            <w:pPr>
              <w:rPr>
                <w:sz w:val="21"/>
                <w:szCs w:val="21"/>
              </w:rPr>
            </w:pPr>
          </w:p>
        </w:tc>
        <w:tc>
          <w:tcPr>
            <w:tcW w:w="3432" w:type="dxa"/>
            <w:vAlign w:val="center"/>
          </w:tcPr>
          <w:p w14:paraId="26E3396B">
            <w:pPr>
              <w:rPr>
                <w:sz w:val="21"/>
                <w:szCs w:val="21"/>
              </w:rPr>
            </w:pPr>
          </w:p>
        </w:tc>
        <w:tc>
          <w:tcPr>
            <w:tcW w:w="1823" w:type="dxa"/>
            <w:vAlign w:val="center"/>
          </w:tcPr>
          <w:p w14:paraId="761E96CF">
            <w:pPr>
              <w:rPr>
                <w:sz w:val="21"/>
                <w:szCs w:val="21"/>
              </w:rPr>
            </w:pPr>
          </w:p>
        </w:tc>
      </w:tr>
      <w:tr w14:paraId="769A9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3D58123C">
            <w:pPr>
              <w:rPr>
                <w:sz w:val="21"/>
                <w:szCs w:val="21"/>
              </w:rPr>
            </w:pPr>
          </w:p>
        </w:tc>
        <w:tc>
          <w:tcPr>
            <w:tcW w:w="3126" w:type="dxa"/>
            <w:vAlign w:val="center"/>
          </w:tcPr>
          <w:p w14:paraId="4D1B1FA3">
            <w:pPr>
              <w:rPr>
                <w:sz w:val="21"/>
                <w:szCs w:val="21"/>
              </w:rPr>
            </w:pPr>
          </w:p>
        </w:tc>
        <w:tc>
          <w:tcPr>
            <w:tcW w:w="3432" w:type="dxa"/>
            <w:vAlign w:val="center"/>
          </w:tcPr>
          <w:p w14:paraId="24998E1A">
            <w:pPr>
              <w:rPr>
                <w:sz w:val="21"/>
                <w:szCs w:val="21"/>
              </w:rPr>
            </w:pPr>
          </w:p>
        </w:tc>
        <w:tc>
          <w:tcPr>
            <w:tcW w:w="1823" w:type="dxa"/>
            <w:vAlign w:val="center"/>
          </w:tcPr>
          <w:p w14:paraId="31ED45C6">
            <w:pPr>
              <w:rPr>
                <w:sz w:val="21"/>
                <w:szCs w:val="21"/>
              </w:rPr>
            </w:pPr>
          </w:p>
        </w:tc>
      </w:tr>
      <w:tr w14:paraId="60CE8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24AAC8D3">
            <w:pPr>
              <w:rPr>
                <w:sz w:val="21"/>
                <w:szCs w:val="21"/>
              </w:rPr>
            </w:pPr>
          </w:p>
        </w:tc>
        <w:tc>
          <w:tcPr>
            <w:tcW w:w="3126" w:type="dxa"/>
            <w:vAlign w:val="center"/>
          </w:tcPr>
          <w:p w14:paraId="29FEE8A8">
            <w:pPr>
              <w:rPr>
                <w:sz w:val="21"/>
                <w:szCs w:val="21"/>
              </w:rPr>
            </w:pPr>
          </w:p>
        </w:tc>
        <w:tc>
          <w:tcPr>
            <w:tcW w:w="3432" w:type="dxa"/>
            <w:vAlign w:val="center"/>
          </w:tcPr>
          <w:p w14:paraId="33303FBC">
            <w:pPr>
              <w:rPr>
                <w:sz w:val="21"/>
                <w:szCs w:val="21"/>
              </w:rPr>
            </w:pPr>
          </w:p>
        </w:tc>
        <w:tc>
          <w:tcPr>
            <w:tcW w:w="1823" w:type="dxa"/>
            <w:vAlign w:val="center"/>
          </w:tcPr>
          <w:p w14:paraId="5D09ECCE">
            <w:pPr>
              <w:rPr>
                <w:sz w:val="21"/>
                <w:szCs w:val="21"/>
              </w:rPr>
            </w:pPr>
          </w:p>
        </w:tc>
      </w:tr>
      <w:tr w14:paraId="187E8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6F52B4FF">
            <w:pPr>
              <w:rPr>
                <w:sz w:val="21"/>
                <w:szCs w:val="21"/>
              </w:rPr>
            </w:pPr>
          </w:p>
        </w:tc>
        <w:tc>
          <w:tcPr>
            <w:tcW w:w="3126" w:type="dxa"/>
            <w:vAlign w:val="center"/>
          </w:tcPr>
          <w:p w14:paraId="54E1F26D">
            <w:pPr>
              <w:rPr>
                <w:sz w:val="21"/>
                <w:szCs w:val="21"/>
              </w:rPr>
            </w:pPr>
          </w:p>
        </w:tc>
        <w:tc>
          <w:tcPr>
            <w:tcW w:w="3432" w:type="dxa"/>
            <w:vAlign w:val="center"/>
          </w:tcPr>
          <w:p w14:paraId="7B1E2CB1">
            <w:pPr>
              <w:rPr>
                <w:sz w:val="21"/>
                <w:szCs w:val="21"/>
              </w:rPr>
            </w:pPr>
          </w:p>
        </w:tc>
        <w:tc>
          <w:tcPr>
            <w:tcW w:w="1823" w:type="dxa"/>
            <w:vAlign w:val="center"/>
          </w:tcPr>
          <w:p w14:paraId="4FA56E1F">
            <w:pPr>
              <w:rPr>
                <w:sz w:val="21"/>
                <w:szCs w:val="21"/>
              </w:rPr>
            </w:pPr>
          </w:p>
        </w:tc>
      </w:tr>
      <w:tr w14:paraId="19B6B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48929EC5">
            <w:pPr>
              <w:rPr>
                <w:sz w:val="21"/>
                <w:szCs w:val="21"/>
              </w:rPr>
            </w:pPr>
          </w:p>
        </w:tc>
        <w:tc>
          <w:tcPr>
            <w:tcW w:w="3126" w:type="dxa"/>
            <w:vAlign w:val="center"/>
          </w:tcPr>
          <w:p w14:paraId="5EFD3CD9">
            <w:pPr>
              <w:rPr>
                <w:sz w:val="21"/>
                <w:szCs w:val="21"/>
              </w:rPr>
            </w:pPr>
          </w:p>
        </w:tc>
        <w:tc>
          <w:tcPr>
            <w:tcW w:w="3432" w:type="dxa"/>
            <w:vAlign w:val="center"/>
          </w:tcPr>
          <w:p w14:paraId="34144340">
            <w:pPr>
              <w:rPr>
                <w:sz w:val="21"/>
                <w:szCs w:val="21"/>
              </w:rPr>
            </w:pPr>
          </w:p>
        </w:tc>
        <w:tc>
          <w:tcPr>
            <w:tcW w:w="1823" w:type="dxa"/>
            <w:vAlign w:val="center"/>
          </w:tcPr>
          <w:p w14:paraId="0864AFBE">
            <w:pPr>
              <w:rPr>
                <w:sz w:val="21"/>
                <w:szCs w:val="21"/>
              </w:rPr>
            </w:pPr>
          </w:p>
        </w:tc>
      </w:tr>
      <w:tr w14:paraId="138D2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11733378">
            <w:pPr>
              <w:rPr>
                <w:sz w:val="21"/>
                <w:szCs w:val="21"/>
              </w:rPr>
            </w:pPr>
          </w:p>
        </w:tc>
        <w:tc>
          <w:tcPr>
            <w:tcW w:w="3126" w:type="dxa"/>
            <w:vAlign w:val="center"/>
          </w:tcPr>
          <w:p w14:paraId="534B7F8D">
            <w:pPr>
              <w:rPr>
                <w:sz w:val="21"/>
                <w:szCs w:val="21"/>
              </w:rPr>
            </w:pPr>
          </w:p>
        </w:tc>
        <w:tc>
          <w:tcPr>
            <w:tcW w:w="3432" w:type="dxa"/>
            <w:vAlign w:val="center"/>
          </w:tcPr>
          <w:p w14:paraId="126925B5">
            <w:pPr>
              <w:rPr>
                <w:sz w:val="21"/>
                <w:szCs w:val="21"/>
              </w:rPr>
            </w:pPr>
          </w:p>
        </w:tc>
        <w:tc>
          <w:tcPr>
            <w:tcW w:w="1823" w:type="dxa"/>
            <w:vAlign w:val="center"/>
          </w:tcPr>
          <w:p w14:paraId="66D8504B">
            <w:pPr>
              <w:rPr>
                <w:sz w:val="21"/>
                <w:szCs w:val="21"/>
              </w:rPr>
            </w:pPr>
          </w:p>
        </w:tc>
      </w:tr>
      <w:tr w14:paraId="4C1A9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294F4699">
            <w:pPr>
              <w:rPr>
                <w:sz w:val="21"/>
                <w:szCs w:val="21"/>
              </w:rPr>
            </w:pPr>
          </w:p>
        </w:tc>
        <w:tc>
          <w:tcPr>
            <w:tcW w:w="3126" w:type="dxa"/>
            <w:vAlign w:val="center"/>
          </w:tcPr>
          <w:p w14:paraId="725F3245">
            <w:pPr>
              <w:rPr>
                <w:sz w:val="21"/>
                <w:szCs w:val="21"/>
              </w:rPr>
            </w:pPr>
          </w:p>
        </w:tc>
        <w:tc>
          <w:tcPr>
            <w:tcW w:w="3432" w:type="dxa"/>
            <w:vAlign w:val="center"/>
          </w:tcPr>
          <w:p w14:paraId="49188790">
            <w:pPr>
              <w:rPr>
                <w:sz w:val="21"/>
                <w:szCs w:val="21"/>
              </w:rPr>
            </w:pPr>
          </w:p>
        </w:tc>
        <w:tc>
          <w:tcPr>
            <w:tcW w:w="1823" w:type="dxa"/>
            <w:vAlign w:val="center"/>
          </w:tcPr>
          <w:p w14:paraId="4D157AF3">
            <w:pPr>
              <w:rPr>
                <w:sz w:val="21"/>
                <w:szCs w:val="21"/>
              </w:rPr>
            </w:pPr>
          </w:p>
        </w:tc>
      </w:tr>
      <w:tr w14:paraId="290E5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33D564DF">
            <w:pPr>
              <w:rPr>
                <w:sz w:val="21"/>
                <w:szCs w:val="21"/>
              </w:rPr>
            </w:pPr>
            <w:r>
              <w:rPr>
                <w:sz w:val="21"/>
                <w:szCs w:val="21"/>
              </w:rPr>
              <w:t>备注</w:t>
            </w:r>
          </w:p>
        </w:tc>
        <w:tc>
          <w:tcPr>
            <w:tcW w:w="8381" w:type="dxa"/>
            <w:gridSpan w:val="3"/>
            <w:vAlign w:val="center"/>
          </w:tcPr>
          <w:p w14:paraId="1C8B963B">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14:paraId="320F1965">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14:paraId="084E07DE">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14:paraId="349090C3">
            <w:pPr>
              <w:jc w:val="both"/>
              <w:rPr>
                <w:sz w:val="21"/>
                <w:szCs w:val="21"/>
              </w:rPr>
            </w:pPr>
            <w:r>
              <w:rPr>
                <w:rFonts w:hint="eastAsia" w:asciiTheme="minorEastAsia" w:hAnsiTheme="minorEastAsia"/>
                <w:sz w:val="21"/>
                <w:szCs w:val="21"/>
              </w:rPr>
              <w:t>④ 表格中“示例”部分仅供参考，供应商在响应时请自行清除。</w:t>
            </w:r>
          </w:p>
        </w:tc>
      </w:tr>
    </w:tbl>
    <w:p w14:paraId="32EFF2EE">
      <w:pPr>
        <w:rPr>
          <w:rFonts w:asciiTheme="minorEastAsia" w:hAnsiTheme="minorEastAsia" w:cstheme="minorHAnsi"/>
          <w:b/>
          <w:color w:val="000000"/>
          <w:kern w:val="24"/>
        </w:rPr>
      </w:pPr>
    </w:p>
    <w:p w14:paraId="69581DE8">
      <w:pPr>
        <w:jc w:val="center"/>
        <w:rPr>
          <w:rFonts w:cstheme="minorHAnsi"/>
          <w:b/>
        </w:rPr>
      </w:pPr>
      <w:r>
        <w:rPr>
          <w:rFonts w:cstheme="minorHAnsi"/>
          <w:b/>
        </w:rPr>
        <w:t>2</w:t>
      </w:r>
      <w:r>
        <w:rPr>
          <w:rFonts w:hint="eastAsia" w:cstheme="minorHAnsi"/>
          <w:b/>
        </w:rPr>
        <w:t>.</w:t>
      </w:r>
      <w:r>
        <w:rPr>
          <w:rFonts w:hint="eastAsia" w:cstheme="minorHAnsi"/>
          <w:b/>
          <w:i/>
        </w:rPr>
        <w:t>商务部分响应方案</w:t>
      </w:r>
    </w:p>
    <w:p w14:paraId="74802AB7">
      <w:pPr>
        <w:rPr>
          <w:rFonts w:asciiTheme="minorEastAsia" w:hAnsiTheme="minorEastAsia"/>
        </w:rPr>
      </w:pPr>
      <w:r>
        <w:rPr>
          <w:rFonts w:hint="eastAsia"/>
          <w:i/>
          <w:color w:val="C00000"/>
        </w:rPr>
        <w:t>供应商结合第三章《谈判内容及要求》相关要求编写方案。</w:t>
      </w:r>
      <w:r>
        <w:rPr>
          <w:i/>
          <w:color w:val="C00000"/>
        </w:rPr>
        <w:t>示例如下</w:t>
      </w:r>
      <w:r>
        <w:rPr>
          <w:rFonts w:hint="eastAsia"/>
          <w:i/>
          <w:color w:val="C00000"/>
        </w:rPr>
        <w:t>：</w:t>
      </w:r>
    </w:p>
    <w:p w14:paraId="3A475221">
      <w:pPr>
        <w:rPr>
          <w:rFonts w:asciiTheme="minorEastAsia" w:hAnsiTheme="minorEastAsia" w:cstheme="minorHAnsi"/>
          <w:b/>
          <w:color w:val="000000"/>
          <w:kern w:val="24"/>
        </w:rPr>
      </w:pPr>
    </w:p>
    <w:p w14:paraId="49827016">
      <w:pPr>
        <w:rPr>
          <w:rFonts w:cstheme="minorHAnsi"/>
          <w:b/>
        </w:rPr>
      </w:pPr>
      <w:r>
        <w:rPr>
          <w:rFonts w:cstheme="minorHAnsi"/>
          <w:b/>
        </w:rPr>
        <w:br w:type="page"/>
      </w:r>
    </w:p>
    <w:p w14:paraId="2C12C892">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37A8AC48">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14:paraId="67A554F0">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4CB87B77">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5C655CDF">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2C0EBD6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5CE614C1">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01B71EB6">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6921E37D">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5421152B">
            <w:pPr>
              <w:jc w:val="center"/>
              <w:rPr>
                <w:rFonts w:asciiTheme="minorEastAsia" w:hAnsiTheme="minorEastAsia"/>
                <w:color w:val="000000"/>
                <w:sz w:val="21"/>
              </w:rPr>
            </w:pPr>
            <w:r>
              <w:rPr>
                <w:rFonts w:asciiTheme="minorEastAsia" w:hAnsiTheme="minorEastAsia"/>
                <w:color w:val="000000"/>
                <w:sz w:val="21"/>
              </w:rPr>
              <w:t>响应文件响应内容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1435EC8A">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73C01C68">
            <w:pPr>
              <w:jc w:val="center"/>
              <w:rPr>
                <w:rFonts w:asciiTheme="minorEastAsia" w:hAnsiTheme="minorEastAsia"/>
                <w:color w:val="000000"/>
                <w:sz w:val="21"/>
              </w:rPr>
            </w:pPr>
            <w:r>
              <w:rPr>
                <w:rFonts w:asciiTheme="minorEastAsia" w:hAnsiTheme="minorEastAsia"/>
                <w:color w:val="000000"/>
                <w:sz w:val="21"/>
              </w:rPr>
              <w:t>说明</w:t>
            </w:r>
          </w:p>
        </w:tc>
      </w:tr>
      <w:tr w14:paraId="747B4F8A">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4C855A42">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2E46C25">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0159CF0">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8326054">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1FA658C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BA783E2">
            <w:pPr>
              <w:jc w:val="both"/>
              <w:rPr>
                <w:rFonts w:asciiTheme="minorEastAsia" w:hAnsiTheme="minorEastAsia"/>
                <w:color w:val="000000"/>
                <w:sz w:val="21"/>
              </w:rPr>
            </w:pPr>
          </w:p>
        </w:tc>
      </w:tr>
      <w:tr w14:paraId="7033F35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39A74430">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60EFC45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694D4FAB">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5F6472F">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6415BDC6">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311E3DC1">
            <w:pPr>
              <w:jc w:val="both"/>
              <w:rPr>
                <w:rFonts w:asciiTheme="minorEastAsia" w:hAnsiTheme="minorEastAsia"/>
                <w:color w:val="000000"/>
                <w:sz w:val="21"/>
              </w:rPr>
            </w:pPr>
          </w:p>
        </w:tc>
      </w:tr>
      <w:tr w14:paraId="37F330DE">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140C70AF">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C4BB614">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3F94E233">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DB69C90">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1A11893">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4C38BE8E">
            <w:pPr>
              <w:jc w:val="both"/>
              <w:rPr>
                <w:rFonts w:asciiTheme="minorEastAsia" w:hAnsiTheme="minorEastAsia"/>
                <w:color w:val="000000"/>
                <w:sz w:val="21"/>
              </w:rPr>
            </w:pPr>
          </w:p>
        </w:tc>
      </w:tr>
      <w:tr w14:paraId="174428A9">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07A681FA">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19D518AF">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1F20A248">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41FE5A2E">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55D66F20">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1E72055B">
            <w:pPr>
              <w:jc w:val="both"/>
              <w:rPr>
                <w:rFonts w:asciiTheme="minorEastAsia" w:hAnsiTheme="minorEastAsia"/>
                <w:color w:val="000000"/>
                <w:sz w:val="21"/>
              </w:rPr>
            </w:pPr>
          </w:p>
        </w:tc>
      </w:tr>
      <w:tr w14:paraId="5A99166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CD8A281">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14:paraId="0DDEF0CE">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3CC8BC51">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7BED5314">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14:paraId="3DFE7704">
      <w:pPr>
        <w:rPr>
          <w:rFonts w:cstheme="minorHAnsi"/>
          <w:color w:val="1F4E79" w:themeColor="accent1" w:themeShade="80"/>
          <w:sz w:val="32"/>
          <w:szCs w:val="36"/>
        </w:rPr>
      </w:pPr>
      <w:r>
        <w:rPr>
          <w:rFonts w:cstheme="minorHAnsi"/>
          <w:color w:val="1F4E79" w:themeColor="accent1" w:themeShade="80"/>
          <w:sz w:val="32"/>
          <w:szCs w:val="36"/>
        </w:rPr>
        <w:br w:type="page"/>
      </w:r>
    </w:p>
    <w:p w14:paraId="6628B45C">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14:paraId="0C1D8066">
      <w:pPr>
        <w:rPr>
          <w:rFonts w:ascii="Calibri" w:hAnsi="华文仿宋"/>
          <w:b/>
        </w:rPr>
      </w:pPr>
    </w:p>
    <w:p w14:paraId="62D3921C">
      <w:pPr>
        <w:rPr>
          <w:rFonts w:cstheme="minorHAnsi"/>
        </w:rPr>
      </w:pPr>
    </w:p>
    <w:p w14:paraId="004BA9F8">
      <w:pPr>
        <w:rPr>
          <w:rFonts w:cstheme="minorHAnsi"/>
        </w:rPr>
        <w:sectPr>
          <w:footerReference r:id="rId29" w:type="default"/>
          <w:footerReference r:id="rId30" w:type="even"/>
          <w:pgSz w:w="11906" w:h="16838"/>
          <w:pgMar w:top="1418" w:right="1418" w:bottom="1418" w:left="1418" w:header="851" w:footer="992" w:gutter="0"/>
          <w:cols w:space="425" w:num="1"/>
          <w:docGrid w:type="linesAndChars" w:linePitch="460" w:charSpace="0"/>
        </w:sectPr>
      </w:pPr>
    </w:p>
    <w:p w14:paraId="71C43C6C">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104EF752">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0D10CE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072BEDC">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37EA22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8E1D4A4">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AA786C5">
            <w:pPr>
              <w:autoSpaceDE w:val="0"/>
              <w:autoSpaceDN w:val="0"/>
              <w:adjustRightInd w:val="0"/>
              <w:spacing w:line="320" w:lineRule="exact"/>
              <w:jc w:val="center"/>
              <w:rPr>
                <w:rFonts w:cstheme="minorHAnsi"/>
                <w:sz w:val="21"/>
                <w:szCs w:val="21"/>
              </w:rPr>
            </w:pPr>
          </w:p>
        </w:tc>
      </w:tr>
      <w:tr w14:paraId="5904F7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C417BBA">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6734547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D3D0565">
            <w:pPr>
              <w:autoSpaceDE w:val="0"/>
              <w:autoSpaceDN w:val="0"/>
              <w:adjustRightInd w:val="0"/>
              <w:spacing w:line="320" w:lineRule="exact"/>
              <w:jc w:val="center"/>
              <w:rPr>
                <w:rFonts w:cstheme="minorHAnsi"/>
                <w:sz w:val="21"/>
                <w:szCs w:val="21"/>
              </w:rPr>
            </w:pPr>
          </w:p>
        </w:tc>
      </w:tr>
      <w:tr w14:paraId="4E54EE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EA0036B">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BAFF4D7">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0B4417E2">
            <w:pPr>
              <w:autoSpaceDE w:val="0"/>
              <w:autoSpaceDN w:val="0"/>
              <w:adjustRightInd w:val="0"/>
              <w:spacing w:line="320" w:lineRule="exact"/>
              <w:jc w:val="center"/>
              <w:rPr>
                <w:rFonts w:cstheme="minorHAnsi"/>
                <w:sz w:val="21"/>
                <w:szCs w:val="21"/>
              </w:rPr>
            </w:pPr>
          </w:p>
        </w:tc>
      </w:tr>
      <w:tr w14:paraId="2D1807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B60B74D">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14:paraId="3864CD94">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4F73EB55">
            <w:pPr>
              <w:autoSpaceDE w:val="0"/>
              <w:autoSpaceDN w:val="0"/>
              <w:adjustRightInd w:val="0"/>
              <w:spacing w:line="320" w:lineRule="exact"/>
              <w:jc w:val="center"/>
              <w:rPr>
                <w:rFonts w:cstheme="minorHAnsi"/>
                <w:sz w:val="21"/>
                <w:szCs w:val="21"/>
              </w:rPr>
            </w:pPr>
          </w:p>
        </w:tc>
      </w:tr>
      <w:tr w14:paraId="4453EFB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DD267A5">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14:paraId="5BDEDF1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14:paraId="62E34827">
            <w:pPr>
              <w:autoSpaceDE w:val="0"/>
              <w:autoSpaceDN w:val="0"/>
              <w:adjustRightInd w:val="0"/>
              <w:spacing w:line="320" w:lineRule="exact"/>
              <w:jc w:val="center"/>
              <w:rPr>
                <w:rFonts w:cstheme="minorHAnsi"/>
                <w:sz w:val="21"/>
                <w:szCs w:val="21"/>
              </w:rPr>
            </w:pPr>
          </w:p>
        </w:tc>
      </w:tr>
      <w:tr w14:paraId="664A17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320EAE4">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14:paraId="00E026BE">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18F41158">
            <w:pPr>
              <w:autoSpaceDE w:val="0"/>
              <w:autoSpaceDN w:val="0"/>
              <w:adjustRightInd w:val="0"/>
              <w:spacing w:line="320" w:lineRule="exact"/>
              <w:jc w:val="center"/>
              <w:rPr>
                <w:rFonts w:cstheme="minorHAnsi"/>
                <w:sz w:val="21"/>
                <w:szCs w:val="21"/>
              </w:rPr>
            </w:pPr>
          </w:p>
        </w:tc>
      </w:tr>
      <w:tr w14:paraId="02EA681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4369DB62">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4F120F86">
            <w:pPr>
              <w:autoSpaceDE w:val="0"/>
              <w:autoSpaceDN w:val="0"/>
              <w:adjustRightInd w:val="0"/>
              <w:spacing w:line="320" w:lineRule="exact"/>
              <w:jc w:val="center"/>
              <w:rPr>
                <w:rFonts w:cstheme="minorHAnsi"/>
                <w:sz w:val="21"/>
                <w:szCs w:val="21"/>
              </w:rPr>
            </w:pPr>
          </w:p>
        </w:tc>
      </w:tr>
      <w:tr w14:paraId="5EF6C5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75A8F19B">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6D49B5AE">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3FCBB40B">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04C6F021">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7BD641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3BF843F7">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pPr>
              <w:autoSpaceDE w:val="0"/>
              <w:autoSpaceDN w:val="0"/>
              <w:adjustRightInd w:val="0"/>
              <w:spacing w:line="320" w:lineRule="exact"/>
              <w:jc w:val="center"/>
              <w:rPr>
                <w:rFonts w:cstheme="minorHAnsi"/>
                <w:sz w:val="21"/>
                <w:szCs w:val="21"/>
              </w:rPr>
            </w:pPr>
          </w:p>
        </w:tc>
      </w:tr>
      <w:tr w14:paraId="3B8F82E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59AAF6C">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pPr>
              <w:autoSpaceDE w:val="0"/>
              <w:autoSpaceDN w:val="0"/>
              <w:adjustRightInd w:val="0"/>
              <w:spacing w:line="320" w:lineRule="exact"/>
              <w:jc w:val="center"/>
              <w:rPr>
                <w:rFonts w:cstheme="minorHAnsi"/>
                <w:sz w:val="21"/>
                <w:szCs w:val="21"/>
              </w:rPr>
            </w:pPr>
          </w:p>
        </w:tc>
      </w:tr>
      <w:tr w14:paraId="20F465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0B9CFF22">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338941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14:paraId="5AE53CDA">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275C60FF">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14:paraId="1E01DC66">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870ECA7">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2F3393F7">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68C047A4">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7473E1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14:paraId="339F2306">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14:paraId="7B0F7AC3">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F535F55">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4C7D20D6">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7618D3A">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307F42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1CB03F76">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6D408D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D159855">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081C3C7">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4FC226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07D4F4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pPr>
              <w:autoSpaceDE w:val="0"/>
              <w:autoSpaceDN w:val="0"/>
              <w:adjustRightInd w:val="0"/>
              <w:spacing w:line="320" w:lineRule="exact"/>
              <w:rPr>
                <w:rFonts w:cstheme="minorHAnsi"/>
                <w:bCs/>
                <w:sz w:val="21"/>
                <w:szCs w:val="21"/>
              </w:rPr>
            </w:pPr>
          </w:p>
        </w:tc>
      </w:tr>
      <w:tr w14:paraId="5F1123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665BB6E6">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pPr>
              <w:autoSpaceDE w:val="0"/>
              <w:autoSpaceDN w:val="0"/>
              <w:adjustRightInd w:val="0"/>
              <w:spacing w:line="320" w:lineRule="exact"/>
              <w:rPr>
                <w:rFonts w:cstheme="minorHAnsi"/>
                <w:bCs/>
                <w:sz w:val="21"/>
                <w:szCs w:val="21"/>
              </w:rPr>
            </w:pPr>
          </w:p>
        </w:tc>
      </w:tr>
      <w:tr w14:paraId="1B69BE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F7C3A91">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FA744">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成立时间至提交首次响应文件截止时间不足一年的可不填写</w:t>
            </w:r>
            <w:r>
              <w:rPr>
                <w:rFonts w:hint="eastAsia" w:asciiTheme="minorEastAsia" w:hAnsiTheme="minorEastAsia" w:cstheme="minorHAnsi"/>
                <w:color w:val="000000"/>
                <w:sz w:val="21"/>
                <w:szCs w:val="21"/>
              </w:rPr>
              <w:t>“上年度营业收入”；</w:t>
            </w:r>
          </w:p>
          <w:p w14:paraId="5E20A655">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② 谈判文件</w:t>
            </w:r>
            <w:r>
              <w:rPr>
                <w:rFonts w:asciiTheme="minorEastAsia" w:hAnsiTheme="minorEastAsia" w:cstheme="minorHAnsi"/>
                <w:color w:val="000000"/>
                <w:sz w:val="21"/>
                <w:szCs w:val="21"/>
              </w:rPr>
              <w:t>接受联合体的，联合体各方均应提供；</w:t>
            </w:r>
          </w:p>
          <w:p w14:paraId="2599E16C">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4AEA214B">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130C24B9">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53E984F4">
      <w:pPr>
        <w:pStyle w:val="81"/>
        <w:ind w:firstLine="480"/>
        <w:rPr>
          <w:i/>
          <w:color w:val="7030A0"/>
        </w:rPr>
      </w:pPr>
      <w:r>
        <w:rPr>
          <w:i/>
          <w:color w:val="7030A0"/>
        </w:rPr>
        <w:t>未签署下列承诺书的，将被视为无效响应，其责任由供应商自行承担。</w:t>
      </w:r>
    </w:p>
    <w:p w14:paraId="409E63E0">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176A5D0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14:paraId="6680529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63ECBA9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4CB8922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47413AE4">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14:paraId="5FCB3D60">
      <w:pPr>
        <w:ind w:firstLine="480" w:firstLineChars="200"/>
        <w:jc w:val="both"/>
        <w:rPr>
          <w:rFonts w:ascii="Calibri" w:hAnsi="Calibri" w:eastAsia="宋体" w:cstheme="minorHAnsi"/>
          <w:color w:val="000000"/>
          <w:kern w:val="24"/>
        </w:rPr>
      </w:pPr>
    </w:p>
    <w:p w14:paraId="12FE84F6">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14:paraId="493F993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27E600F7">
      <w:pPr>
        <w:ind w:firstLine="480" w:firstLineChars="200"/>
        <w:jc w:val="both"/>
        <w:rPr>
          <w:rFonts w:ascii="Calibri" w:hAnsi="Calibri" w:eastAsia="宋体" w:cstheme="minorHAnsi"/>
          <w:color w:val="000000"/>
          <w:kern w:val="24"/>
        </w:rPr>
      </w:pPr>
    </w:p>
    <w:p w14:paraId="3DBFD4BA">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14:paraId="0350CAF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4D877F6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622FA78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593AC25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3E3EEE8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0F50B5B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2657E1B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147AA763">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4074312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448E2A6A">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1CFDF369">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556FC0E2">
      <w:pPr>
        <w:ind w:firstLine="480" w:firstLineChars="200"/>
        <w:jc w:val="both"/>
        <w:rPr>
          <w:rFonts w:ascii="Calibri" w:hAnsi="Calibri" w:eastAsia="宋体" w:cstheme="minorHAnsi"/>
          <w:color w:val="000000"/>
          <w:kern w:val="24"/>
        </w:rPr>
      </w:pPr>
    </w:p>
    <w:p w14:paraId="6A75A10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667F1DB1">
      <w:pPr>
        <w:ind w:firstLine="480" w:firstLineChars="200"/>
        <w:jc w:val="both"/>
        <w:rPr>
          <w:rFonts w:ascii="Calibri Light" w:hAnsi="Calibri Light" w:eastAsia="华文仿宋" w:cs="Calibri Light"/>
          <w:color w:val="000000"/>
          <w:sz w:val="28"/>
          <w:szCs w:val="28"/>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48D38801">
      <w:pPr>
        <w:rPr>
          <w:rFonts w:ascii="Calibri Light" w:hAnsi="Calibri Light" w:eastAsia="华文仿宋" w:cs="Calibri Light"/>
          <w:color w:val="000000"/>
          <w:sz w:val="28"/>
          <w:szCs w:val="28"/>
        </w:rPr>
        <w:sectPr>
          <w:footerReference r:id="rId31" w:type="default"/>
          <w:footerReference r:id="rId32" w:type="even"/>
          <w:pgSz w:w="11906" w:h="16838"/>
          <w:pgMar w:top="1418" w:right="1418" w:bottom="1418" w:left="1418" w:header="851" w:footer="992" w:gutter="0"/>
          <w:cols w:space="425" w:num="1"/>
          <w:docGrid w:type="linesAndChars" w:linePitch="460" w:charSpace="0"/>
        </w:sectPr>
      </w:pPr>
    </w:p>
    <w:p w14:paraId="6A37718C">
      <w:pPr>
        <w:keepNext/>
        <w:spacing w:before="120" w:after="60"/>
        <w:outlineLvl w:val="2"/>
        <w:rPr>
          <w:rFonts w:ascii="Calibri" w:hAnsi="Calibri" w:eastAsia="黑体"/>
          <w:kern w:val="28"/>
          <w:sz w:val="28"/>
        </w:rPr>
      </w:pPr>
      <w:r>
        <w:rPr>
          <w:rFonts w:hint="eastAsia" w:ascii="Calibri" w:hAnsi="Calibri" w:eastAsia="黑体"/>
          <w:kern w:val="28"/>
          <w:sz w:val="28"/>
        </w:rPr>
        <w:t>（三</w:t>
      </w:r>
      <w:r>
        <w:rPr>
          <w:rFonts w:ascii="Calibri" w:hAnsi="Calibri" w:eastAsia="黑体"/>
          <w:kern w:val="28"/>
          <w:sz w:val="28"/>
        </w:rPr>
        <w:t>）享受</w:t>
      </w:r>
      <w:r>
        <w:rPr>
          <w:rFonts w:hint="eastAsia" w:ascii="Calibri" w:hAnsi="Calibri" w:eastAsia="黑体"/>
          <w:kern w:val="28"/>
          <w:sz w:val="28"/>
        </w:rPr>
        <w:t>政府采购优惠政策需要提供的资料</w:t>
      </w:r>
    </w:p>
    <w:p w14:paraId="3EEC5A01">
      <w:pPr>
        <w:keepNext/>
        <w:spacing w:before="120" w:after="60"/>
        <w:outlineLvl w:val="3"/>
        <w:rPr>
          <w:rFonts w:ascii="Calibri" w:hAnsi="Calibri" w:eastAsia="黑体"/>
          <w:kern w:val="28"/>
          <w:sz w:val="28"/>
        </w:rPr>
      </w:pPr>
      <w:r>
        <w:rPr>
          <w:rFonts w:hint="eastAsia" w:ascii="Calibri" w:hAnsi="Calibri" w:eastAsia="黑体"/>
          <w:kern w:val="28"/>
          <w:sz w:val="28"/>
        </w:rPr>
        <w:t>符合本国产品标准的声明函</w:t>
      </w:r>
    </w:p>
    <w:p w14:paraId="0C45C11E">
      <w:pPr>
        <w:ind w:firstLine="480" w:firstLineChars="200"/>
        <w:jc w:val="both"/>
        <w:rPr>
          <w:rFonts w:asciiTheme="minorEastAsia" w:hAnsiTheme="minorEastAsia"/>
          <w:color w:val="7030A0"/>
        </w:rPr>
      </w:pPr>
      <w:r>
        <w:rPr>
          <w:rFonts w:hint="eastAsia" w:asciiTheme="minorEastAsia" w:hAnsiTheme="minorEastAsia"/>
          <w:color w:val="7030A0"/>
        </w:rPr>
        <w:t>说明：</w:t>
      </w:r>
    </w:p>
    <w:p w14:paraId="6B0E4CD3">
      <w:pPr>
        <w:ind w:firstLine="480" w:firstLineChars="200"/>
        <w:jc w:val="both"/>
        <w:rPr>
          <w:rFonts w:cstheme="minorHAnsi"/>
          <w:i/>
          <w:color w:val="7030A0"/>
        </w:rPr>
      </w:pPr>
      <w:r>
        <w:rPr>
          <w:rFonts w:asciiTheme="minorEastAsia" w:hAnsiTheme="minorEastAsia"/>
          <w:color w:val="7030A0"/>
        </w:rPr>
        <w:t>①</w:t>
      </w:r>
      <w:r>
        <w:rPr>
          <w:rFonts w:hint="eastAsia" w:cstheme="minorHAnsi"/>
          <w:i/>
          <w:color w:val="7030A0"/>
        </w:rPr>
        <w:t xml:space="preserve"> </w:t>
      </w:r>
      <w:r>
        <w:rPr>
          <w:rFonts w:cstheme="minorHAnsi"/>
          <w:i/>
          <w:color w:val="7030A0"/>
        </w:rPr>
        <w:t>供应商在填报前请认真阅读</w:t>
      </w:r>
      <w:r>
        <w:rPr>
          <w:rFonts w:hint="eastAsia" w:cstheme="minorHAnsi"/>
          <w:i/>
          <w:color w:val="7030A0"/>
        </w:rPr>
        <w:t>《国务院办公厅关于在政府采购中实施本国产品标准及相关政策的通知》（国办发〔2025〕34号）。</w:t>
      </w:r>
    </w:p>
    <w:p w14:paraId="1EA62BF2">
      <w:pPr>
        <w:pStyle w:val="40"/>
        <w:wordWrap/>
        <w:spacing w:line="240" w:lineRule="auto"/>
        <w:ind w:firstLine="480" w:firstLineChars="200"/>
        <w:jc w:val="both"/>
        <w:rPr>
          <w:rFonts w:asciiTheme="minorHAnsi" w:hAnsiTheme="minorHAnsi" w:eastAsiaTheme="minorEastAsia" w:cstheme="minorHAnsi"/>
          <w:i/>
          <w:color w:val="7030A0"/>
          <w:sz w:val="24"/>
          <w:szCs w:val="24"/>
        </w:rPr>
      </w:pPr>
      <w:r>
        <w:rPr>
          <w:rFonts w:hint="eastAsia" w:asciiTheme="minorHAnsi" w:hAnsiTheme="minorHAnsi" w:eastAsiaTheme="minorEastAsia" w:cstheme="minorHAnsi"/>
          <w:color w:val="7030A0"/>
          <w:sz w:val="24"/>
          <w:szCs w:val="24"/>
        </w:rPr>
        <w:t>②</w:t>
      </w:r>
      <w:r>
        <w:rPr>
          <w:rFonts w:hint="eastAsia" w:asciiTheme="minorHAnsi" w:hAnsiTheme="minorHAnsi" w:eastAsiaTheme="minorEastAsia" w:cstheme="minorHAnsi"/>
          <w:i/>
          <w:color w:val="7030A0"/>
          <w:sz w:val="24"/>
          <w:szCs w:val="24"/>
        </w:rPr>
        <w:t xml:space="preserve"> 供应商提供</w:t>
      </w:r>
      <w:r>
        <w:rPr>
          <w:rFonts w:asciiTheme="minorHAnsi" w:hAnsiTheme="minorHAnsi" w:eastAsiaTheme="minorEastAsia" w:cstheme="minorHAnsi"/>
          <w:i/>
          <w:color w:val="7030A0"/>
          <w:sz w:val="24"/>
          <w:szCs w:val="24"/>
        </w:rPr>
        <w:t>的</w:t>
      </w:r>
      <w:r>
        <w:rPr>
          <w:rFonts w:hint="eastAsia" w:asciiTheme="minorHAnsi" w:hAnsiTheme="minorHAnsi" w:eastAsiaTheme="minorEastAsia" w:cstheme="minorHAnsi"/>
          <w:i/>
          <w:color w:val="7030A0"/>
          <w:sz w:val="24"/>
          <w:szCs w:val="24"/>
        </w:rPr>
        <w:t>产品</w:t>
      </w:r>
      <w:r>
        <w:rPr>
          <w:rFonts w:asciiTheme="minorHAnsi" w:hAnsiTheme="minorHAnsi" w:eastAsiaTheme="minorEastAsia" w:cstheme="minorHAnsi"/>
          <w:i/>
          <w:color w:val="7030A0"/>
          <w:sz w:val="24"/>
          <w:szCs w:val="24"/>
        </w:rPr>
        <w:t>为本国产品的，</w:t>
      </w:r>
      <w:r>
        <w:rPr>
          <w:rFonts w:hint="eastAsia" w:asciiTheme="minorHAnsi" w:hAnsiTheme="minorHAnsi" w:eastAsiaTheme="minorEastAsia" w:cstheme="minorHAnsi"/>
          <w:i/>
          <w:color w:val="7030A0"/>
          <w:sz w:val="24"/>
          <w:szCs w:val="24"/>
        </w:rPr>
        <w:t>按下文给定格式填写《关于符合本国产品标准的声明函》或者提供财政部会同有关部门规定的有关证明文件；出具符合要求的《声明函》或有关证明文件的，该产品视为本国产品。</w:t>
      </w:r>
    </w:p>
    <w:p w14:paraId="67F0AEF7">
      <w:pPr>
        <w:pStyle w:val="40"/>
        <w:wordWrap/>
        <w:spacing w:line="240" w:lineRule="auto"/>
        <w:ind w:firstLine="480" w:firstLineChars="200"/>
        <w:jc w:val="both"/>
        <w:rPr>
          <w:rFonts w:asciiTheme="minorHAnsi" w:hAnsiTheme="minorHAnsi" w:eastAsiaTheme="minorEastAsia" w:cstheme="minorHAnsi"/>
          <w:i/>
          <w:color w:val="7030A0"/>
          <w:sz w:val="24"/>
          <w:szCs w:val="24"/>
        </w:rPr>
      </w:pPr>
      <w:r>
        <w:rPr>
          <w:rFonts w:hint="eastAsia" w:asciiTheme="minorHAnsi" w:hAnsiTheme="minorHAnsi" w:eastAsiaTheme="minorEastAsia" w:cstheme="minorHAnsi"/>
          <w:i/>
          <w:color w:val="7030A0"/>
          <w:sz w:val="24"/>
          <w:szCs w:val="24"/>
        </w:rPr>
        <w:t>当采购项目或者采购包中含有多种产品的，供应商还应当提供《关于本国产品比例的声明函》，承诺提供的符合本国产品标准的产品成本之和占提供的全部产品成本之和的比例达到80%以上。</w:t>
      </w:r>
    </w:p>
    <w:p w14:paraId="17752195">
      <w:pPr>
        <w:ind w:firstLine="480" w:firstLineChars="200"/>
        <w:jc w:val="both"/>
        <w:rPr>
          <w:rFonts w:cstheme="minorHAnsi"/>
          <w:i/>
          <w:color w:val="7030A0"/>
        </w:rPr>
      </w:pPr>
      <w:r>
        <w:rPr>
          <w:rFonts w:hint="eastAsia" w:cstheme="minorHAnsi"/>
          <w:color w:val="7030A0"/>
        </w:rPr>
        <w:t>③</w:t>
      </w:r>
      <w:r>
        <w:rPr>
          <w:rFonts w:hint="eastAsia" w:cstheme="minorHAnsi"/>
          <w:i/>
          <w:color w:val="7030A0"/>
        </w:rPr>
        <w:t xml:space="preserve"> 供应商未按照上述要求提供相关内容的，不享受本国产品的支持政策，但不影响响应文件的有效性。</w:t>
      </w:r>
    </w:p>
    <w:p w14:paraId="03962188">
      <w:pPr>
        <w:jc w:val="center"/>
        <w:rPr>
          <w:rFonts w:cs="Calibri Light"/>
          <w:b/>
          <w:color w:val="1F4E79"/>
          <w:sz w:val="28"/>
          <w:szCs w:val="36"/>
        </w:rPr>
      </w:pPr>
    </w:p>
    <w:p w14:paraId="31910E10">
      <w:pPr>
        <w:jc w:val="center"/>
        <w:rPr>
          <w:rFonts w:cs="Calibri Light"/>
          <w:b/>
          <w:color w:val="1F4E79"/>
          <w:sz w:val="28"/>
          <w:szCs w:val="36"/>
        </w:rPr>
      </w:pPr>
      <w:r>
        <w:rPr>
          <w:rFonts w:hint="eastAsia" w:cs="Calibri Light"/>
          <w:b/>
          <w:color w:val="1F4E79"/>
          <w:sz w:val="28"/>
          <w:szCs w:val="36"/>
        </w:rPr>
        <w:t>关于符合本国产品标准的声明函</w:t>
      </w:r>
      <w:r>
        <w:rPr>
          <w:rFonts w:cs="Calibri Light"/>
          <w:b/>
          <w:color w:val="1F4E79"/>
          <w:sz w:val="28"/>
          <w:szCs w:val="36"/>
        </w:rPr>
        <w:t>（格式）</w:t>
      </w:r>
    </w:p>
    <w:p w14:paraId="24D5435F">
      <w:pPr>
        <w:ind w:firstLine="480" w:firstLineChars="200"/>
        <w:jc w:val="both"/>
        <w:rPr>
          <w:rFonts w:cstheme="minorHAnsi"/>
          <w:color w:val="000000"/>
        </w:rPr>
      </w:pPr>
      <w:r>
        <w:rPr>
          <w:rFonts w:hint="eastAsia" w:cstheme="minorHAnsi"/>
          <w:color w:val="000000"/>
        </w:rPr>
        <w:t>本公司（单位）郑重声明，根据《国务院办公厅关于在政府采购中实施本国产品标准及相关政策的通知》（国办发〔2025〕34号）的规定，本公司（单位）提供的以下产品属于本国产品。具体情况如下：</w:t>
      </w:r>
    </w:p>
    <w:p w14:paraId="248658E6">
      <w:pPr>
        <w:ind w:firstLine="480" w:firstLineChars="200"/>
        <w:jc w:val="both"/>
        <w:rPr>
          <w:rFonts w:cstheme="minorHAnsi"/>
          <w:color w:val="000000"/>
        </w:rPr>
      </w:pPr>
      <w:r>
        <w:rPr>
          <w:rFonts w:hint="eastAsia" w:cstheme="minorHAnsi"/>
          <w:color w:val="000000"/>
        </w:rPr>
        <w:t>1.</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，生产厂为</w:t>
      </w:r>
      <w:r>
        <w:rPr>
          <w:rFonts w:hint="eastAsia" w:cstheme="minorHAnsi"/>
          <w:color w:val="FF0000"/>
        </w:rPr>
        <w:t>［</w:t>
      </w:r>
      <w:r>
        <w:rPr>
          <w:rFonts w:hint="eastAsia" w:cstheme="minorHAnsi"/>
          <w:color w:val="FF0000"/>
          <w:u w:val="single"/>
        </w:rPr>
        <w:t>厂名</w:t>
      </w:r>
      <w:r>
        <w:rPr>
          <w:rFonts w:cstheme="minorHAnsi"/>
          <w:color w:val="FF0000"/>
          <w:kern w:val="24"/>
        </w:rPr>
        <w:t>］</w:t>
      </w:r>
      <w:r>
        <w:rPr>
          <w:rFonts w:hint="eastAsia" w:cstheme="minorHAnsi"/>
          <w:color w:val="000000"/>
        </w:rPr>
        <w:t>，厂址为</w:t>
      </w:r>
      <w:r>
        <w:rPr>
          <w:rFonts w:hint="eastAsia" w:cstheme="minorHAnsi"/>
          <w:color w:val="FF0000"/>
        </w:rPr>
        <w:t>［</w:t>
      </w:r>
      <w:r>
        <w:rPr>
          <w:rFonts w:hint="eastAsia" w:cstheme="minorHAnsi"/>
          <w:color w:val="FF0000"/>
          <w:u w:val="single"/>
        </w:rPr>
        <w:t>生产厂址</w:t>
      </w:r>
      <w:r>
        <w:rPr>
          <w:rFonts w:cstheme="minorHAnsi"/>
          <w:color w:val="FF0000"/>
          <w:kern w:val="24"/>
        </w:rPr>
        <w:t>］</w:t>
      </w:r>
      <w:r>
        <w:rPr>
          <w:rFonts w:hint="eastAsia" w:cstheme="minorHAnsi"/>
          <w:color w:val="000000"/>
        </w:rPr>
        <w:t>。</w:t>
      </w:r>
      <w:r>
        <w:rPr>
          <w:rFonts w:hint="eastAsia" w:cstheme="minorHAnsi"/>
          <w:color w:val="C0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的中国境内生产的组件成本占比≥</w:t>
      </w:r>
      <w:r>
        <w:rPr>
          <w:rFonts w:hint="eastAsia" w:cstheme="minorHAnsi"/>
          <w:color w:val="FF0000"/>
        </w:rPr>
        <w:t>［</w:t>
      </w:r>
      <w:r>
        <w:rPr>
          <w:rFonts w:hint="eastAsia" w:cstheme="minorHAnsi"/>
          <w:color w:val="FF0000"/>
          <w:u w:val="single"/>
        </w:rPr>
        <w:t>规定比例</w:t>
      </w:r>
      <w:r>
        <w:rPr>
          <w:rFonts w:cstheme="minorHAnsi"/>
          <w:color w:val="C00000"/>
          <w:kern w:val="24"/>
        </w:rPr>
        <w:t>］</w:t>
      </w:r>
      <w:r>
        <w:rPr>
          <w:rFonts w:hint="eastAsia" w:cstheme="minorHAnsi"/>
          <w:color w:val="000000"/>
        </w:rPr>
        <w:t>。</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关键组件</w:t>
      </w:r>
      <w:r>
        <w:rPr>
          <w:rFonts w:cstheme="minorHAnsi"/>
          <w:color w:val="FF0000"/>
          <w:kern w:val="24"/>
        </w:rPr>
        <w:t>］</w:t>
      </w:r>
      <w:r>
        <w:rPr>
          <w:rFonts w:hint="eastAsia" w:cstheme="minorHAnsi"/>
          <w:color w:val="000000"/>
        </w:rPr>
        <w:t>在中国境内生产。</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关键工序</w:t>
      </w:r>
      <w:r>
        <w:rPr>
          <w:rFonts w:cstheme="minorHAnsi"/>
          <w:color w:val="FF0000"/>
          <w:kern w:val="24"/>
        </w:rPr>
        <w:t>］</w:t>
      </w:r>
      <w:r>
        <w:rPr>
          <w:rFonts w:hint="eastAsia" w:cstheme="minorHAnsi"/>
          <w:color w:val="000000"/>
        </w:rPr>
        <w:t>在中国境内完成。</w:t>
      </w:r>
    </w:p>
    <w:p w14:paraId="510D2AAC">
      <w:pPr>
        <w:ind w:firstLine="480" w:firstLineChars="200"/>
        <w:jc w:val="both"/>
        <w:rPr>
          <w:rFonts w:cstheme="minorHAnsi"/>
          <w:color w:val="000000"/>
        </w:rPr>
      </w:pPr>
      <w:r>
        <w:rPr>
          <w:rFonts w:cstheme="minorHAnsi"/>
          <w:color w:val="000000"/>
        </w:rPr>
        <w:t>2</w:t>
      </w:r>
      <w:r>
        <w:rPr>
          <w:rFonts w:hint="eastAsia" w:cstheme="minorHAnsi"/>
          <w:color w:val="000000"/>
        </w:rPr>
        <w:t>.</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，生产厂为</w:t>
      </w:r>
      <w:r>
        <w:rPr>
          <w:rFonts w:hint="eastAsia" w:cstheme="minorHAnsi"/>
          <w:color w:val="FF0000"/>
        </w:rPr>
        <w:t>［</w:t>
      </w:r>
      <w:r>
        <w:rPr>
          <w:rFonts w:hint="eastAsia" w:cstheme="minorHAnsi"/>
          <w:color w:val="FF0000"/>
          <w:u w:val="single"/>
        </w:rPr>
        <w:t>厂名</w:t>
      </w:r>
      <w:r>
        <w:rPr>
          <w:rFonts w:cstheme="minorHAnsi"/>
          <w:color w:val="FF0000"/>
          <w:kern w:val="24"/>
        </w:rPr>
        <w:t>］</w:t>
      </w:r>
      <w:r>
        <w:rPr>
          <w:rFonts w:hint="eastAsia" w:cstheme="minorHAnsi"/>
          <w:color w:val="000000"/>
        </w:rPr>
        <w:t>，厂址为</w:t>
      </w:r>
      <w:r>
        <w:rPr>
          <w:rFonts w:hint="eastAsia" w:cstheme="minorHAnsi"/>
          <w:color w:val="FF0000"/>
        </w:rPr>
        <w:t>［</w:t>
      </w:r>
      <w:r>
        <w:rPr>
          <w:rFonts w:hint="eastAsia" w:cstheme="minorHAnsi"/>
          <w:color w:val="FF0000"/>
          <w:u w:val="single"/>
        </w:rPr>
        <w:t>生产厂址</w:t>
      </w:r>
      <w:r>
        <w:rPr>
          <w:rFonts w:cstheme="minorHAnsi"/>
          <w:color w:val="FF0000"/>
          <w:kern w:val="24"/>
        </w:rPr>
        <w:t>］</w:t>
      </w:r>
      <w:r>
        <w:rPr>
          <w:rFonts w:hint="eastAsia" w:cstheme="minorHAnsi"/>
          <w:color w:val="000000"/>
        </w:rPr>
        <w:t>。</w:t>
      </w:r>
      <w:r>
        <w:rPr>
          <w:rFonts w:hint="eastAsia" w:cstheme="minorHAnsi"/>
          <w:color w:val="C0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的中国境内生产的组件成本占比≥</w:t>
      </w:r>
      <w:r>
        <w:rPr>
          <w:rFonts w:hint="eastAsia" w:cstheme="minorHAnsi"/>
          <w:color w:val="FF0000"/>
        </w:rPr>
        <w:t>［</w:t>
      </w:r>
      <w:r>
        <w:rPr>
          <w:rFonts w:hint="eastAsia" w:cstheme="minorHAnsi"/>
          <w:color w:val="FF0000"/>
          <w:u w:val="single"/>
        </w:rPr>
        <w:t>规定比例</w:t>
      </w:r>
      <w:r>
        <w:rPr>
          <w:rFonts w:cstheme="minorHAnsi"/>
          <w:color w:val="C00000"/>
          <w:kern w:val="24"/>
        </w:rPr>
        <w:t>］</w:t>
      </w:r>
      <w:r>
        <w:rPr>
          <w:rFonts w:hint="eastAsia" w:cstheme="minorHAnsi"/>
          <w:color w:val="000000"/>
        </w:rPr>
        <w:t>。</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关键组件</w:t>
      </w:r>
      <w:r>
        <w:rPr>
          <w:rFonts w:cstheme="minorHAnsi"/>
          <w:color w:val="FF0000"/>
          <w:kern w:val="24"/>
        </w:rPr>
        <w:t>］</w:t>
      </w:r>
      <w:r>
        <w:rPr>
          <w:rFonts w:hint="eastAsia" w:cstheme="minorHAnsi"/>
          <w:color w:val="000000"/>
        </w:rPr>
        <w:t>在中国境内生产。</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关键工序</w:t>
      </w:r>
      <w:r>
        <w:rPr>
          <w:rFonts w:cstheme="minorHAnsi"/>
          <w:color w:val="FF0000"/>
          <w:kern w:val="24"/>
        </w:rPr>
        <w:t>］</w:t>
      </w:r>
      <w:r>
        <w:rPr>
          <w:rFonts w:hint="eastAsia" w:cstheme="minorHAnsi"/>
          <w:color w:val="000000"/>
        </w:rPr>
        <w:t>在中国境内完成。</w:t>
      </w:r>
    </w:p>
    <w:p w14:paraId="012AEE64">
      <w:pPr>
        <w:ind w:firstLine="480" w:firstLineChars="200"/>
        <w:jc w:val="both"/>
        <w:rPr>
          <w:rFonts w:cstheme="minorHAnsi"/>
          <w:color w:val="000000"/>
        </w:rPr>
      </w:pPr>
      <w:r>
        <w:rPr>
          <w:rFonts w:hint="eastAsia" w:cstheme="minorHAnsi"/>
          <w:color w:val="000000"/>
        </w:rPr>
        <w:t>……</w:t>
      </w:r>
    </w:p>
    <w:p w14:paraId="67082700">
      <w:pPr>
        <w:ind w:firstLine="480" w:firstLineChars="200"/>
        <w:jc w:val="both"/>
        <w:rPr>
          <w:rFonts w:cstheme="minorHAnsi"/>
          <w:color w:val="000000"/>
        </w:rPr>
      </w:pPr>
      <w:r>
        <w:rPr>
          <w:rFonts w:hint="eastAsia" w:cstheme="minorHAnsi"/>
          <w:color w:val="000000"/>
        </w:rPr>
        <w:t>本公司（单位）对上述声明内容的真实性负责。如有虚假，愿承担相应法律责任。</w:t>
      </w:r>
    </w:p>
    <w:p w14:paraId="3ECD1F71">
      <w:pPr>
        <w:ind w:firstLine="480" w:firstLineChars="200"/>
        <w:jc w:val="both"/>
        <w:rPr>
          <w:rFonts w:cstheme="minorHAnsi"/>
          <w:color w:val="000000"/>
        </w:rPr>
      </w:pPr>
    </w:p>
    <w:p w14:paraId="5E3BFB54">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3E25B815">
      <w:pPr>
        <w:tabs>
          <w:tab w:val="left" w:pos="5670"/>
        </w:tabs>
        <w:ind w:firstLine="480" w:firstLineChars="200"/>
        <w:jc w:val="both"/>
        <w:rPr>
          <w:rFonts w:cstheme="minorHAnsi"/>
          <w:color w:val="000000"/>
        </w:rPr>
      </w:pPr>
      <w:r>
        <w:rPr>
          <w:rFonts w:cstheme="minorHAnsi"/>
          <w:color w:val="000000"/>
        </w:rPr>
        <w:t>日　期：　　年　月　日</w:t>
      </w:r>
    </w:p>
    <w:p w14:paraId="4813CD0D">
      <w:pPr>
        <w:pStyle w:val="40"/>
        <w:wordWrap/>
        <w:spacing w:line="240" w:lineRule="auto"/>
        <w:ind w:firstLine="480" w:firstLineChars="200"/>
        <w:jc w:val="both"/>
        <w:rPr>
          <w:rFonts w:asciiTheme="minorEastAsia" w:hAnsiTheme="minorEastAsia" w:eastAsiaTheme="minorEastAsia"/>
          <w:i/>
          <w:color w:val="7030A0"/>
          <w:sz w:val="24"/>
          <w:szCs w:val="24"/>
        </w:rPr>
      </w:pPr>
    </w:p>
    <w:p w14:paraId="3AAE5A3E"/>
    <w:p w14:paraId="4DC8D34A">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填写说明</w:t>
      </w:r>
      <w:r>
        <w:rPr>
          <w:rFonts w:asciiTheme="minorEastAsia" w:hAnsiTheme="minorEastAsia" w:eastAsiaTheme="minorEastAsia"/>
          <w:i/>
          <w:color w:val="7030A0"/>
          <w:sz w:val="24"/>
          <w:szCs w:val="24"/>
        </w:rPr>
        <w:t>：</w:t>
      </w:r>
    </w:p>
    <w:p w14:paraId="2C5EA4C3">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（1）产品如有型号，请在“产品名称”栏一并填写。</w:t>
      </w:r>
    </w:p>
    <w:p w14:paraId="45E38F60">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（2）生产厂名与厂址应与生产厂营业执照载明的相关信息保持一致。</w:t>
      </w:r>
    </w:p>
    <w:p w14:paraId="46003B1A">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（3）该产品的中国境内生产的组件成本占比相关要求实施前，“规定比例”栏可不填。</w:t>
      </w:r>
    </w:p>
    <w:p w14:paraId="11E83D7F">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（4）该产品的关键组件要求实施前，“关键组件”栏可不填。</w:t>
      </w:r>
    </w:p>
    <w:p w14:paraId="158BFDF1">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（5）该产品的关键工序要求实施前，“关键工序”栏可不填。</w:t>
      </w:r>
    </w:p>
    <w:p w14:paraId="3699C0FF">
      <w:pPr>
        <w:tabs>
          <w:tab w:val="left" w:pos="5670"/>
        </w:tabs>
        <w:ind w:firstLine="480" w:firstLineChars="200"/>
        <w:jc w:val="both"/>
        <w:rPr>
          <w:rFonts w:cstheme="minorHAnsi"/>
          <w:color w:val="000000"/>
        </w:rPr>
      </w:pPr>
    </w:p>
    <w:p w14:paraId="438DC430">
      <w:pPr>
        <w:rPr>
          <w:rFonts w:cstheme="minorHAnsi"/>
          <w:color w:val="000000"/>
        </w:rPr>
      </w:pPr>
      <w:r>
        <w:rPr>
          <w:rFonts w:cstheme="minorHAnsi"/>
          <w:color w:val="000000"/>
        </w:rPr>
        <w:br w:type="page"/>
      </w:r>
      <w:bookmarkStart w:id="15" w:name="OLE_LINK7"/>
      <w:bookmarkStart w:id="16" w:name="OLE_LINK8"/>
    </w:p>
    <w:p w14:paraId="30AC3F34">
      <w:pPr>
        <w:jc w:val="center"/>
        <w:rPr>
          <w:rFonts w:cs="Calibri Light"/>
          <w:b/>
          <w:color w:val="1F4E79"/>
          <w:sz w:val="28"/>
          <w:szCs w:val="36"/>
        </w:rPr>
      </w:pPr>
      <w:r>
        <w:rPr>
          <w:rFonts w:hint="eastAsia" w:cs="Calibri Light"/>
          <w:b/>
          <w:color w:val="1F4E79"/>
          <w:sz w:val="28"/>
          <w:szCs w:val="36"/>
        </w:rPr>
        <w:t>所投产品为本国产品的有关证明文件</w:t>
      </w:r>
    </w:p>
    <w:p w14:paraId="5B017898">
      <w:pPr>
        <w:snapToGrid w:val="0"/>
        <w:spacing w:line="360" w:lineRule="auto"/>
        <w:ind w:firstLine="480" w:firstLineChars="200"/>
        <w:jc w:val="center"/>
        <w:rPr>
          <w:rFonts w:cstheme="minorHAnsi"/>
          <w:color w:val="000000"/>
        </w:rPr>
      </w:pPr>
      <w:r>
        <w:rPr>
          <w:rFonts w:hint="eastAsia" w:cstheme="minorHAnsi"/>
          <w:color w:val="000000"/>
        </w:rPr>
        <w:t>【以财政部会同有关部门规定的有关证明文件为准】</w:t>
      </w:r>
      <w:bookmarkEnd w:id="15"/>
      <w:bookmarkEnd w:id="16"/>
    </w:p>
    <w:p w14:paraId="627C3CBA">
      <w:pPr>
        <w:snapToGrid w:val="0"/>
        <w:spacing w:line="360" w:lineRule="auto"/>
        <w:rPr>
          <w:rFonts w:ascii="宋体" w:hAnsi="宋体" w:cs="宋体"/>
          <w:spacing w:val="6"/>
        </w:rPr>
        <w:sectPr>
          <w:footerReference r:id="rId33" w:type="default"/>
          <w:footerReference r:id="rId34" w:type="even"/>
          <w:pgSz w:w="11906" w:h="16838"/>
          <w:pgMar w:top="1418" w:right="1588" w:bottom="1021" w:left="1588" w:header="851" w:footer="992" w:gutter="0"/>
          <w:cols w:space="720" w:num="1"/>
          <w:docGrid w:type="lines" w:linePitch="326" w:charSpace="0"/>
        </w:sectPr>
      </w:pPr>
    </w:p>
    <w:p w14:paraId="53329FC9">
      <w:pPr>
        <w:jc w:val="center"/>
        <w:rPr>
          <w:rFonts w:cs="Calibri Light"/>
          <w:b/>
          <w:color w:val="1F4E79"/>
          <w:sz w:val="28"/>
          <w:szCs w:val="36"/>
        </w:rPr>
      </w:pPr>
      <w:r>
        <w:rPr>
          <w:rFonts w:hint="eastAsia" w:cs="Calibri Light"/>
          <w:b/>
          <w:color w:val="1F4E79"/>
          <w:sz w:val="28"/>
          <w:szCs w:val="36"/>
        </w:rPr>
        <w:t>关于本国产品比例的声明函（格式）</w:t>
      </w:r>
    </w:p>
    <w:p w14:paraId="5828B14B">
      <w:pPr>
        <w:snapToGrid w:val="0"/>
        <w:ind w:firstLine="480" w:firstLineChars="200"/>
        <w:jc w:val="both"/>
        <w:rPr>
          <w:rFonts w:cstheme="minorHAnsi"/>
          <w:color w:val="000000"/>
        </w:rPr>
      </w:pPr>
    </w:p>
    <w:p w14:paraId="2C266AD5">
      <w:pPr>
        <w:ind w:firstLine="480" w:firstLineChars="200"/>
        <w:jc w:val="both"/>
        <w:rPr>
          <w:rFonts w:cstheme="minorHAnsi"/>
          <w:color w:val="000000"/>
        </w:rPr>
      </w:pPr>
      <w:r>
        <w:rPr>
          <w:rFonts w:hint="eastAsia" w:cstheme="minorHAnsi"/>
          <w:color w:val="000000"/>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以上。</w:t>
      </w:r>
    </w:p>
    <w:p w14:paraId="58DD2606">
      <w:pPr>
        <w:ind w:firstLine="480" w:firstLineChars="200"/>
        <w:jc w:val="both"/>
        <w:rPr>
          <w:rFonts w:cstheme="minorHAnsi"/>
          <w:color w:val="000000"/>
        </w:rPr>
      </w:pPr>
      <w:r>
        <w:rPr>
          <w:rFonts w:hint="eastAsia" w:cstheme="minorHAnsi"/>
          <w:color w:val="000000"/>
        </w:rPr>
        <w:t>本公司（单位）对上述声明内容的真实性负责。如有虚假，愿承担相应法律责任。</w:t>
      </w:r>
    </w:p>
    <w:p w14:paraId="37089A4F">
      <w:pPr>
        <w:ind w:firstLine="480" w:firstLineChars="200"/>
        <w:jc w:val="both"/>
        <w:rPr>
          <w:rFonts w:ascii="宋体" w:hAnsi="宋体" w:cs="宋体"/>
          <w:lang w:bidi="ar"/>
        </w:rPr>
      </w:pPr>
    </w:p>
    <w:p w14:paraId="60149247">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103C95DF">
      <w:pPr>
        <w:tabs>
          <w:tab w:val="left" w:pos="5670"/>
        </w:tabs>
        <w:ind w:firstLine="480" w:firstLineChars="200"/>
        <w:jc w:val="both"/>
        <w:rPr>
          <w:rFonts w:cstheme="minorHAnsi"/>
          <w:color w:val="000000"/>
        </w:rPr>
      </w:pPr>
      <w:r>
        <w:rPr>
          <w:rFonts w:cstheme="minorHAnsi"/>
          <w:color w:val="000000"/>
        </w:rPr>
        <w:t>日　期：　　年　月　日</w:t>
      </w:r>
    </w:p>
    <w:p w14:paraId="7F4E4AF3">
      <w:pPr>
        <w:ind w:firstLine="480" w:firstLineChars="200"/>
        <w:jc w:val="both"/>
        <w:rPr>
          <w:rFonts w:ascii="Calibri" w:hAnsi="Calibri" w:eastAsia="宋体" w:cstheme="minorHAnsi"/>
          <w:color w:val="000000"/>
          <w:kern w:val="24"/>
        </w:rPr>
      </w:pPr>
    </w:p>
    <w:p w14:paraId="7880822C">
      <w:pPr>
        <w:keepNext/>
        <w:spacing w:before="120" w:after="60"/>
        <w:jc w:val="both"/>
        <w:outlineLvl w:val="2"/>
        <w:rPr>
          <w:rFonts w:ascii="Calibri" w:hAnsi="Calibri" w:eastAsia="宋体" w:cstheme="minorHAnsi"/>
          <w:color w:val="000000"/>
          <w:kern w:val="24"/>
        </w:rPr>
      </w:pPr>
    </w:p>
    <w:sectPr>
      <w:footerReference r:id="rId35" w:type="default"/>
      <w:footerReference r:id="rId36"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华文仿宋">
    <w:altName w:val="仿宋"/>
    <w:panose1 w:val="02010600040101010101"/>
    <w:charset w:val="86"/>
    <w:family w:val="auto"/>
    <w:pitch w:val="default"/>
    <w:sig w:usb0="00000000" w:usb1="00000000" w:usb2="00000010" w:usb3="00000000" w:csb0="0004009F" w:csb1="00000000"/>
  </w:font>
  <w:font w:name="Courier New">
    <w:panose1 w:val="02070309020205020404"/>
    <w:charset w:val="00"/>
    <w:family w:val="modern"/>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AFB84">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A0F77">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1B5B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BFDBB">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FD17D">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414D3">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81EC3">
    <w:pPr>
      <w:pStyle w:val="17"/>
      <w:tabs>
        <w:tab w:val="center" w:pos="7001"/>
        <w:tab w:val="right" w:pos="14002"/>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E5F60">
    <w:pPr>
      <w:pStyle w:val="17"/>
      <w:tabs>
        <w:tab w:val="center" w:pos="7001"/>
        <w:tab w:val="right" w:pos="14002"/>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60CE0">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D24A8">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540E0">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AA8A1">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21496">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1CA64">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4798F">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4E974">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D53B8">
    <w:pPr>
      <w:pStyle w:val="17"/>
      <w:tabs>
        <w:tab w:val="center" w:pos="7001"/>
        <w:tab w:val="right" w:pos="14002"/>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82D3A">
    <w:pPr>
      <w:pStyle w:val="17"/>
      <w:tabs>
        <w:tab w:val="center" w:pos="7001"/>
        <w:tab w:val="right" w:pos="14002"/>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A6B7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A3C11">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1D8A3">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9ECF4">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B0DCB">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F57A51">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19AF1">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DD285">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15FB2">
    <w:pPr>
      <w:pStyle w:val="17"/>
      <w:tabs>
        <w:tab w:val="center" w:pos="4365"/>
        <w:tab w:val="right" w:pos="873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E0254">
    <w:pPr>
      <w:pStyle w:val="17"/>
      <w:tabs>
        <w:tab w:val="center" w:pos="4365"/>
        <w:tab w:val="right" w:pos="873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C32F6">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FC19E">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73667">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13234">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西安市第八十三中学学校教学及辅助用房维修改造（办公设备）</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DE8F9">
    <w:pPr>
      <w:pStyle w:val="18"/>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西安市第八十三中学学校教学及辅助用房维修改造（办公设备）</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FE67D">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西安市第八十三中学学校教学及辅助用房维修改造（办公设备）</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846"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98"/>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attachedTemplate r:id="rId1"/>
  <w:documentProtection w:enforcement="0"/>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473B"/>
    <w:rsid w:val="00004F9A"/>
    <w:rsid w:val="00005E26"/>
    <w:rsid w:val="00006A52"/>
    <w:rsid w:val="0000732D"/>
    <w:rsid w:val="00010FED"/>
    <w:rsid w:val="00011424"/>
    <w:rsid w:val="00012137"/>
    <w:rsid w:val="00012844"/>
    <w:rsid w:val="00012F9B"/>
    <w:rsid w:val="0001350D"/>
    <w:rsid w:val="00013929"/>
    <w:rsid w:val="00014DAF"/>
    <w:rsid w:val="00015802"/>
    <w:rsid w:val="00016042"/>
    <w:rsid w:val="000162A2"/>
    <w:rsid w:val="00017463"/>
    <w:rsid w:val="000216C8"/>
    <w:rsid w:val="00021AF9"/>
    <w:rsid w:val="0002264A"/>
    <w:rsid w:val="00022A4E"/>
    <w:rsid w:val="00022F41"/>
    <w:rsid w:val="00023261"/>
    <w:rsid w:val="000234CF"/>
    <w:rsid w:val="0002357E"/>
    <w:rsid w:val="000235C8"/>
    <w:rsid w:val="000251DF"/>
    <w:rsid w:val="0002669B"/>
    <w:rsid w:val="00027B08"/>
    <w:rsid w:val="00027E6B"/>
    <w:rsid w:val="000307EC"/>
    <w:rsid w:val="000308EC"/>
    <w:rsid w:val="0003097B"/>
    <w:rsid w:val="0003251F"/>
    <w:rsid w:val="00032BB4"/>
    <w:rsid w:val="00032CC1"/>
    <w:rsid w:val="00033096"/>
    <w:rsid w:val="00033377"/>
    <w:rsid w:val="00033B5A"/>
    <w:rsid w:val="000351F5"/>
    <w:rsid w:val="00035CCD"/>
    <w:rsid w:val="00036784"/>
    <w:rsid w:val="000368F2"/>
    <w:rsid w:val="00037B29"/>
    <w:rsid w:val="00037F2F"/>
    <w:rsid w:val="00037FD3"/>
    <w:rsid w:val="000403A2"/>
    <w:rsid w:val="00040799"/>
    <w:rsid w:val="00040973"/>
    <w:rsid w:val="000416BE"/>
    <w:rsid w:val="00043830"/>
    <w:rsid w:val="000440AF"/>
    <w:rsid w:val="00044F32"/>
    <w:rsid w:val="0004737C"/>
    <w:rsid w:val="00047455"/>
    <w:rsid w:val="00051EF3"/>
    <w:rsid w:val="00052177"/>
    <w:rsid w:val="000543B4"/>
    <w:rsid w:val="00054879"/>
    <w:rsid w:val="000556F1"/>
    <w:rsid w:val="00055F81"/>
    <w:rsid w:val="0005692F"/>
    <w:rsid w:val="00056F31"/>
    <w:rsid w:val="00061066"/>
    <w:rsid w:val="00061A13"/>
    <w:rsid w:val="0006226C"/>
    <w:rsid w:val="00062828"/>
    <w:rsid w:val="00062D84"/>
    <w:rsid w:val="00063EEF"/>
    <w:rsid w:val="00063F3A"/>
    <w:rsid w:val="00064071"/>
    <w:rsid w:val="00064386"/>
    <w:rsid w:val="00067A39"/>
    <w:rsid w:val="00067D44"/>
    <w:rsid w:val="0007053B"/>
    <w:rsid w:val="00070AA6"/>
    <w:rsid w:val="00072084"/>
    <w:rsid w:val="00073A16"/>
    <w:rsid w:val="00073C15"/>
    <w:rsid w:val="00074562"/>
    <w:rsid w:val="00074C60"/>
    <w:rsid w:val="0007534F"/>
    <w:rsid w:val="000770B7"/>
    <w:rsid w:val="00077B80"/>
    <w:rsid w:val="0008232C"/>
    <w:rsid w:val="00084264"/>
    <w:rsid w:val="00084335"/>
    <w:rsid w:val="00084C15"/>
    <w:rsid w:val="000857F2"/>
    <w:rsid w:val="00085999"/>
    <w:rsid w:val="00086D2C"/>
    <w:rsid w:val="00090002"/>
    <w:rsid w:val="000904E6"/>
    <w:rsid w:val="000906B5"/>
    <w:rsid w:val="000911CC"/>
    <w:rsid w:val="000919CD"/>
    <w:rsid w:val="00092417"/>
    <w:rsid w:val="00092549"/>
    <w:rsid w:val="00092833"/>
    <w:rsid w:val="00093AD5"/>
    <w:rsid w:val="000951C6"/>
    <w:rsid w:val="000952F2"/>
    <w:rsid w:val="00095A8D"/>
    <w:rsid w:val="00096428"/>
    <w:rsid w:val="00096A52"/>
    <w:rsid w:val="00097CDB"/>
    <w:rsid w:val="000A0237"/>
    <w:rsid w:val="000A0EFD"/>
    <w:rsid w:val="000A159C"/>
    <w:rsid w:val="000A1B38"/>
    <w:rsid w:val="000A1F6A"/>
    <w:rsid w:val="000A2583"/>
    <w:rsid w:val="000A29B8"/>
    <w:rsid w:val="000A2B11"/>
    <w:rsid w:val="000A7A6A"/>
    <w:rsid w:val="000B051F"/>
    <w:rsid w:val="000B129A"/>
    <w:rsid w:val="000B2241"/>
    <w:rsid w:val="000B30B9"/>
    <w:rsid w:val="000B4360"/>
    <w:rsid w:val="000B5741"/>
    <w:rsid w:val="000B5ACF"/>
    <w:rsid w:val="000B5DE5"/>
    <w:rsid w:val="000B6858"/>
    <w:rsid w:val="000B7806"/>
    <w:rsid w:val="000B7B93"/>
    <w:rsid w:val="000C048C"/>
    <w:rsid w:val="000C078B"/>
    <w:rsid w:val="000C21A4"/>
    <w:rsid w:val="000C22A9"/>
    <w:rsid w:val="000C2CF8"/>
    <w:rsid w:val="000C3ADC"/>
    <w:rsid w:val="000C4C29"/>
    <w:rsid w:val="000C538D"/>
    <w:rsid w:val="000C59A5"/>
    <w:rsid w:val="000C774E"/>
    <w:rsid w:val="000D0AF3"/>
    <w:rsid w:val="000D0DE1"/>
    <w:rsid w:val="000D1277"/>
    <w:rsid w:val="000D12BE"/>
    <w:rsid w:val="000D159C"/>
    <w:rsid w:val="000D1825"/>
    <w:rsid w:val="000D4097"/>
    <w:rsid w:val="000D7EAE"/>
    <w:rsid w:val="000E1433"/>
    <w:rsid w:val="000E17C6"/>
    <w:rsid w:val="000E1919"/>
    <w:rsid w:val="000E208E"/>
    <w:rsid w:val="000E3C31"/>
    <w:rsid w:val="000E3FB5"/>
    <w:rsid w:val="000E49C1"/>
    <w:rsid w:val="000E5C68"/>
    <w:rsid w:val="000E5DED"/>
    <w:rsid w:val="000E6AE7"/>
    <w:rsid w:val="000F0C8A"/>
    <w:rsid w:val="000F1A9A"/>
    <w:rsid w:val="000F2036"/>
    <w:rsid w:val="000F233B"/>
    <w:rsid w:val="000F27AD"/>
    <w:rsid w:val="000F2BEC"/>
    <w:rsid w:val="000F35AB"/>
    <w:rsid w:val="000F3645"/>
    <w:rsid w:val="000F476D"/>
    <w:rsid w:val="000F499A"/>
    <w:rsid w:val="000F4ECB"/>
    <w:rsid w:val="000F56A5"/>
    <w:rsid w:val="000F66FE"/>
    <w:rsid w:val="000F6831"/>
    <w:rsid w:val="000F6A10"/>
    <w:rsid w:val="000F735B"/>
    <w:rsid w:val="000F7883"/>
    <w:rsid w:val="000F7C85"/>
    <w:rsid w:val="000F7DA6"/>
    <w:rsid w:val="00100C1B"/>
    <w:rsid w:val="00102167"/>
    <w:rsid w:val="00103379"/>
    <w:rsid w:val="00103D6B"/>
    <w:rsid w:val="00104D98"/>
    <w:rsid w:val="00105036"/>
    <w:rsid w:val="001059A0"/>
    <w:rsid w:val="00106530"/>
    <w:rsid w:val="001067F9"/>
    <w:rsid w:val="00107803"/>
    <w:rsid w:val="00107B8A"/>
    <w:rsid w:val="00107BFB"/>
    <w:rsid w:val="001101BD"/>
    <w:rsid w:val="0011093D"/>
    <w:rsid w:val="00111F0F"/>
    <w:rsid w:val="001131D6"/>
    <w:rsid w:val="00113B9B"/>
    <w:rsid w:val="001154B9"/>
    <w:rsid w:val="00116196"/>
    <w:rsid w:val="00121CBB"/>
    <w:rsid w:val="00121FC0"/>
    <w:rsid w:val="001221AC"/>
    <w:rsid w:val="00122D76"/>
    <w:rsid w:val="001232DE"/>
    <w:rsid w:val="001232E1"/>
    <w:rsid w:val="001240BB"/>
    <w:rsid w:val="001257D4"/>
    <w:rsid w:val="0013005B"/>
    <w:rsid w:val="0013015E"/>
    <w:rsid w:val="0013081C"/>
    <w:rsid w:val="00131904"/>
    <w:rsid w:val="0013342E"/>
    <w:rsid w:val="001338D9"/>
    <w:rsid w:val="00133ADB"/>
    <w:rsid w:val="00134EE2"/>
    <w:rsid w:val="001351E3"/>
    <w:rsid w:val="00135AA2"/>
    <w:rsid w:val="00136D4A"/>
    <w:rsid w:val="0013712F"/>
    <w:rsid w:val="00137CD5"/>
    <w:rsid w:val="00137E7B"/>
    <w:rsid w:val="00140177"/>
    <w:rsid w:val="00142244"/>
    <w:rsid w:val="001454AD"/>
    <w:rsid w:val="001455F6"/>
    <w:rsid w:val="001456C7"/>
    <w:rsid w:val="00145DA0"/>
    <w:rsid w:val="00151E88"/>
    <w:rsid w:val="00152476"/>
    <w:rsid w:val="001534EC"/>
    <w:rsid w:val="0015361E"/>
    <w:rsid w:val="00156ED5"/>
    <w:rsid w:val="0015782A"/>
    <w:rsid w:val="00160A34"/>
    <w:rsid w:val="00162008"/>
    <w:rsid w:val="00162710"/>
    <w:rsid w:val="00162DB4"/>
    <w:rsid w:val="001630D0"/>
    <w:rsid w:val="00163C62"/>
    <w:rsid w:val="00163F04"/>
    <w:rsid w:val="00164101"/>
    <w:rsid w:val="00164EE1"/>
    <w:rsid w:val="001664B2"/>
    <w:rsid w:val="00166804"/>
    <w:rsid w:val="001668AF"/>
    <w:rsid w:val="00166FD9"/>
    <w:rsid w:val="00167ECE"/>
    <w:rsid w:val="0017054A"/>
    <w:rsid w:val="0017164E"/>
    <w:rsid w:val="00171A61"/>
    <w:rsid w:val="00173749"/>
    <w:rsid w:val="00173A35"/>
    <w:rsid w:val="0017410F"/>
    <w:rsid w:val="00174285"/>
    <w:rsid w:val="00175756"/>
    <w:rsid w:val="00176CF3"/>
    <w:rsid w:val="00176F0E"/>
    <w:rsid w:val="0018219E"/>
    <w:rsid w:val="00182C33"/>
    <w:rsid w:val="00182EC0"/>
    <w:rsid w:val="0018316D"/>
    <w:rsid w:val="00184A1D"/>
    <w:rsid w:val="00184DE0"/>
    <w:rsid w:val="00184F72"/>
    <w:rsid w:val="00187440"/>
    <w:rsid w:val="00187846"/>
    <w:rsid w:val="00191693"/>
    <w:rsid w:val="00191834"/>
    <w:rsid w:val="001918B8"/>
    <w:rsid w:val="00191A7E"/>
    <w:rsid w:val="00191DD9"/>
    <w:rsid w:val="001925F4"/>
    <w:rsid w:val="00193B5F"/>
    <w:rsid w:val="001947E8"/>
    <w:rsid w:val="00194890"/>
    <w:rsid w:val="00195343"/>
    <w:rsid w:val="0019564E"/>
    <w:rsid w:val="00196A1C"/>
    <w:rsid w:val="00196DD9"/>
    <w:rsid w:val="00197C5C"/>
    <w:rsid w:val="001A0376"/>
    <w:rsid w:val="001A0C97"/>
    <w:rsid w:val="001A127F"/>
    <w:rsid w:val="001A2103"/>
    <w:rsid w:val="001A2EB3"/>
    <w:rsid w:val="001A5309"/>
    <w:rsid w:val="001A5764"/>
    <w:rsid w:val="001A6792"/>
    <w:rsid w:val="001B0699"/>
    <w:rsid w:val="001B0C7B"/>
    <w:rsid w:val="001B2019"/>
    <w:rsid w:val="001B2868"/>
    <w:rsid w:val="001B3E59"/>
    <w:rsid w:val="001B49FD"/>
    <w:rsid w:val="001B5302"/>
    <w:rsid w:val="001C0A0A"/>
    <w:rsid w:val="001C0BA3"/>
    <w:rsid w:val="001C0BBD"/>
    <w:rsid w:val="001C25ED"/>
    <w:rsid w:val="001C4259"/>
    <w:rsid w:val="001C4AFC"/>
    <w:rsid w:val="001C5BE5"/>
    <w:rsid w:val="001C607B"/>
    <w:rsid w:val="001C732E"/>
    <w:rsid w:val="001D04F0"/>
    <w:rsid w:val="001D1423"/>
    <w:rsid w:val="001D1BCB"/>
    <w:rsid w:val="001D22C0"/>
    <w:rsid w:val="001D2CE5"/>
    <w:rsid w:val="001D2E17"/>
    <w:rsid w:val="001D3803"/>
    <w:rsid w:val="001D4171"/>
    <w:rsid w:val="001D4442"/>
    <w:rsid w:val="001D4E3E"/>
    <w:rsid w:val="001D576E"/>
    <w:rsid w:val="001D60B9"/>
    <w:rsid w:val="001D70BC"/>
    <w:rsid w:val="001E0376"/>
    <w:rsid w:val="001E0C4B"/>
    <w:rsid w:val="001E1DFE"/>
    <w:rsid w:val="001E2BB9"/>
    <w:rsid w:val="001E568C"/>
    <w:rsid w:val="001E6560"/>
    <w:rsid w:val="001E6A70"/>
    <w:rsid w:val="001E7761"/>
    <w:rsid w:val="001E790E"/>
    <w:rsid w:val="001F0A60"/>
    <w:rsid w:val="001F2059"/>
    <w:rsid w:val="001F23C9"/>
    <w:rsid w:val="001F2A6A"/>
    <w:rsid w:val="001F4827"/>
    <w:rsid w:val="001F49A1"/>
    <w:rsid w:val="001F4ACC"/>
    <w:rsid w:val="001F4FBE"/>
    <w:rsid w:val="001F622E"/>
    <w:rsid w:val="001F7532"/>
    <w:rsid w:val="001F779A"/>
    <w:rsid w:val="001F7B19"/>
    <w:rsid w:val="001F7B5A"/>
    <w:rsid w:val="00200E55"/>
    <w:rsid w:val="0020104B"/>
    <w:rsid w:val="00201795"/>
    <w:rsid w:val="002017D8"/>
    <w:rsid w:val="002027F6"/>
    <w:rsid w:val="002039B1"/>
    <w:rsid w:val="0020498C"/>
    <w:rsid w:val="002051A7"/>
    <w:rsid w:val="00207790"/>
    <w:rsid w:val="00210476"/>
    <w:rsid w:val="00210CE7"/>
    <w:rsid w:val="00210CFC"/>
    <w:rsid w:val="00210FBE"/>
    <w:rsid w:val="002111A6"/>
    <w:rsid w:val="00212328"/>
    <w:rsid w:val="002125C8"/>
    <w:rsid w:val="00213205"/>
    <w:rsid w:val="002137AF"/>
    <w:rsid w:val="00216A9F"/>
    <w:rsid w:val="002174B0"/>
    <w:rsid w:val="00220787"/>
    <w:rsid w:val="00220822"/>
    <w:rsid w:val="002209DE"/>
    <w:rsid w:val="00220F3C"/>
    <w:rsid w:val="00221727"/>
    <w:rsid w:val="00223AA8"/>
    <w:rsid w:val="00223E30"/>
    <w:rsid w:val="00223EFE"/>
    <w:rsid w:val="00224257"/>
    <w:rsid w:val="00224D12"/>
    <w:rsid w:val="00225A6E"/>
    <w:rsid w:val="00226069"/>
    <w:rsid w:val="00226842"/>
    <w:rsid w:val="00226A70"/>
    <w:rsid w:val="0022724F"/>
    <w:rsid w:val="0023021B"/>
    <w:rsid w:val="0023070C"/>
    <w:rsid w:val="00230C6A"/>
    <w:rsid w:val="00232797"/>
    <w:rsid w:val="00233D53"/>
    <w:rsid w:val="002345B9"/>
    <w:rsid w:val="00235ECB"/>
    <w:rsid w:val="002362F9"/>
    <w:rsid w:val="002378CD"/>
    <w:rsid w:val="00237A3F"/>
    <w:rsid w:val="00237A4A"/>
    <w:rsid w:val="00237C8C"/>
    <w:rsid w:val="00240CD3"/>
    <w:rsid w:val="0024210D"/>
    <w:rsid w:val="00243629"/>
    <w:rsid w:val="00244C29"/>
    <w:rsid w:val="00244DB8"/>
    <w:rsid w:val="00244FE4"/>
    <w:rsid w:val="00247B11"/>
    <w:rsid w:val="00250468"/>
    <w:rsid w:val="00250A0D"/>
    <w:rsid w:val="00250B6E"/>
    <w:rsid w:val="002512DB"/>
    <w:rsid w:val="002519B6"/>
    <w:rsid w:val="00252050"/>
    <w:rsid w:val="00253B74"/>
    <w:rsid w:val="00254287"/>
    <w:rsid w:val="00254492"/>
    <w:rsid w:val="002547E0"/>
    <w:rsid w:val="00255DBC"/>
    <w:rsid w:val="00256AC1"/>
    <w:rsid w:val="0025777A"/>
    <w:rsid w:val="00257B25"/>
    <w:rsid w:val="00260306"/>
    <w:rsid w:val="00261898"/>
    <w:rsid w:val="002621C5"/>
    <w:rsid w:val="00264014"/>
    <w:rsid w:val="0026501F"/>
    <w:rsid w:val="00266611"/>
    <w:rsid w:val="00267AE5"/>
    <w:rsid w:val="00267C8A"/>
    <w:rsid w:val="00267FDD"/>
    <w:rsid w:val="00271136"/>
    <w:rsid w:val="00272146"/>
    <w:rsid w:val="002721CB"/>
    <w:rsid w:val="00272337"/>
    <w:rsid w:val="002724F0"/>
    <w:rsid w:val="00272E7E"/>
    <w:rsid w:val="00273219"/>
    <w:rsid w:val="00273A93"/>
    <w:rsid w:val="00273F51"/>
    <w:rsid w:val="002742EA"/>
    <w:rsid w:val="0027449B"/>
    <w:rsid w:val="00274AFC"/>
    <w:rsid w:val="00275284"/>
    <w:rsid w:val="00275C8F"/>
    <w:rsid w:val="00276641"/>
    <w:rsid w:val="00276C8A"/>
    <w:rsid w:val="002771C6"/>
    <w:rsid w:val="0028033D"/>
    <w:rsid w:val="0028114A"/>
    <w:rsid w:val="00282837"/>
    <w:rsid w:val="00282CF7"/>
    <w:rsid w:val="00283DD5"/>
    <w:rsid w:val="002848E9"/>
    <w:rsid w:val="00291777"/>
    <w:rsid w:val="0029384E"/>
    <w:rsid w:val="00294428"/>
    <w:rsid w:val="002961E2"/>
    <w:rsid w:val="00296372"/>
    <w:rsid w:val="00296C23"/>
    <w:rsid w:val="00297703"/>
    <w:rsid w:val="00297866"/>
    <w:rsid w:val="002979F7"/>
    <w:rsid w:val="00297F6F"/>
    <w:rsid w:val="002A26D5"/>
    <w:rsid w:val="002A3B25"/>
    <w:rsid w:val="002A4387"/>
    <w:rsid w:val="002A5B8E"/>
    <w:rsid w:val="002A62BF"/>
    <w:rsid w:val="002A6815"/>
    <w:rsid w:val="002A6BFB"/>
    <w:rsid w:val="002A703D"/>
    <w:rsid w:val="002A73EA"/>
    <w:rsid w:val="002A78B7"/>
    <w:rsid w:val="002A7B39"/>
    <w:rsid w:val="002A7BB1"/>
    <w:rsid w:val="002A7FF7"/>
    <w:rsid w:val="002B009B"/>
    <w:rsid w:val="002B0209"/>
    <w:rsid w:val="002B0971"/>
    <w:rsid w:val="002B0F05"/>
    <w:rsid w:val="002B12E1"/>
    <w:rsid w:val="002B35C4"/>
    <w:rsid w:val="002B36C2"/>
    <w:rsid w:val="002B59BE"/>
    <w:rsid w:val="002B5B32"/>
    <w:rsid w:val="002B60BE"/>
    <w:rsid w:val="002B65AB"/>
    <w:rsid w:val="002B696D"/>
    <w:rsid w:val="002B69BA"/>
    <w:rsid w:val="002C03FE"/>
    <w:rsid w:val="002C05A3"/>
    <w:rsid w:val="002C07D6"/>
    <w:rsid w:val="002C1612"/>
    <w:rsid w:val="002C4511"/>
    <w:rsid w:val="002C45C3"/>
    <w:rsid w:val="002C4DAE"/>
    <w:rsid w:val="002C6442"/>
    <w:rsid w:val="002C6F4A"/>
    <w:rsid w:val="002D038D"/>
    <w:rsid w:val="002D2B5F"/>
    <w:rsid w:val="002D327B"/>
    <w:rsid w:val="002D41DD"/>
    <w:rsid w:val="002D5205"/>
    <w:rsid w:val="002D65D4"/>
    <w:rsid w:val="002D6F29"/>
    <w:rsid w:val="002D7418"/>
    <w:rsid w:val="002E1283"/>
    <w:rsid w:val="002E1430"/>
    <w:rsid w:val="002E1660"/>
    <w:rsid w:val="002E1C9B"/>
    <w:rsid w:val="002E2435"/>
    <w:rsid w:val="002E379C"/>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7AF0"/>
    <w:rsid w:val="002F7D7D"/>
    <w:rsid w:val="00300067"/>
    <w:rsid w:val="00300B27"/>
    <w:rsid w:val="0030123B"/>
    <w:rsid w:val="00301E0D"/>
    <w:rsid w:val="00301FAE"/>
    <w:rsid w:val="003024CF"/>
    <w:rsid w:val="00302E0F"/>
    <w:rsid w:val="00304831"/>
    <w:rsid w:val="003050DB"/>
    <w:rsid w:val="003061B0"/>
    <w:rsid w:val="00306470"/>
    <w:rsid w:val="003073EE"/>
    <w:rsid w:val="00311862"/>
    <w:rsid w:val="0031590A"/>
    <w:rsid w:val="00316548"/>
    <w:rsid w:val="0031696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7A6B"/>
    <w:rsid w:val="003302D2"/>
    <w:rsid w:val="00330EA4"/>
    <w:rsid w:val="0033167F"/>
    <w:rsid w:val="00332A7C"/>
    <w:rsid w:val="0033590C"/>
    <w:rsid w:val="00335C58"/>
    <w:rsid w:val="00337CFC"/>
    <w:rsid w:val="0034052E"/>
    <w:rsid w:val="003406B1"/>
    <w:rsid w:val="00342A0C"/>
    <w:rsid w:val="00343305"/>
    <w:rsid w:val="003443D3"/>
    <w:rsid w:val="003450CD"/>
    <w:rsid w:val="00345F35"/>
    <w:rsid w:val="00346A88"/>
    <w:rsid w:val="00346D43"/>
    <w:rsid w:val="0034729C"/>
    <w:rsid w:val="0035004F"/>
    <w:rsid w:val="003509CA"/>
    <w:rsid w:val="003511FC"/>
    <w:rsid w:val="00351734"/>
    <w:rsid w:val="00354FCF"/>
    <w:rsid w:val="003551E0"/>
    <w:rsid w:val="003552C3"/>
    <w:rsid w:val="0035572B"/>
    <w:rsid w:val="00355D6E"/>
    <w:rsid w:val="00357EC3"/>
    <w:rsid w:val="00360083"/>
    <w:rsid w:val="00360830"/>
    <w:rsid w:val="00360B14"/>
    <w:rsid w:val="0036148F"/>
    <w:rsid w:val="00362A39"/>
    <w:rsid w:val="00364896"/>
    <w:rsid w:val="00366A2C"/>
    <w:rsid w:val="00366E1D"/>
    <w:rsid w:val="00366F5C"/>
    <w:rsid w:val="003704E3"/>
    <w:rsid w:val="00371456"/>
    <w:rsid w:val="00373AE9"/>
    <w:rsid w:val="00374506"/>
    <w:rsid w:val="0037495D"/>
    <w:rsid w:val="0037531B"/>
    <w:rsid w:val="00375819"/>
    <w:rsid w:val="00375881"/>
    <w:rsid w:val="00375C89"/>
    <w:rsid w:val="00376DAF"/>
    <w:rsid w:val="00381E43"/>
    <w:rsid w:val="0038204A"/>
    <w:rsid w:val="00382469"/>
    <w:rsid w:val="003833FB"/>
    <w:rsid w:val="003835C6"/>
    <w:rsid w:val="00383F8F"/>
    <w:rsid w:val="00384CD5"/>
    <w:rsid w:val="003872CB"/>
    <w:rsid w:val="00387AFC"/>
    <w:rsid w:val="00390290"/>
    <w:rsid w:val="0039216D"/>
    <w:rsid w:val="00392EBD"/>
    <w:rsid w:val="00393459"/>
    <w:rsid w:val="003943D1"/>
    <w:rsid w:val="0039449C"/>
    <w:rsid w:val="00395695"/>
    <w:rsid w:val="003966C3"/>
    <w:rsid w:val="003968EC"/>
    <w:rsid w:val="00397EEA"/>
    <w:rsid w:val="003A0002"/>
    <w:rsid w:val="003A0295"/>
    <w:rsid w:val="003A0D83"/>
    <w:rsid w:val="003A192D"/>
    <w:rsid w:val="003A2A14"/>
    <w:rsid w:val="003A3C6D"/>
    <w:rsid w:val="003A76F9"/>
    <w:rsid w:val="003B086A"/>
    <w:rsid w:val="003B0D75"/>
    <w:rsid w:val="003B25DE"/>
    <w:rsid w:val="003B2734"/>
    <w:rsid w:val="003B2AF6"/>
    <w:rsid w:val="003B3207"/>
    <w:rsid w:val="003B35A9"/>
    <w:rsid w:val="003B3E6D"/>
    <w:rsid w:val="003C309B"/>
    <w:rsid w:val="003C3325"/>
    <w:rsid w:val="003C52FD"/>
    <w:rsid w:val="003C61F3"/>
    <w:rsid w:val="003C636C"/>
    <w:rsid w:val="003C6AB2"/>
    <w:rsid w:val="003C6CC8"/>
    <w:rsid w:val="003C7C29"/>
    <w:rsid w:val="003D0275"/>
    <w:rsid w:val="003D0D2A"/>
    <w:rsid w:val="003D18B9"/>
    <w:rsid w:val="003D2606"/>
    <w:rsid w:val="003D39C7"/>
    <w:rsid w:val="003D3A50"/>
    <w:rsid w:val="003D45F5"/>
    <w:rsid w:val="003D4695"/>
    <w:rsid w:val="003D4976"/>
    <w:rsid w:val="003D5A2E"/>
    <w:rsid w:val="003D6B60"/>
    <w:rsid w:val="003E010E"/>
    <w:rsid w:val="003E0471"/>
    <w:rsid w:val="003E0A2C"/>
    <w:rsid w:val="003E1503"/>
    <w:rsid w:val="003E1D81"/>
    <w:rsid w:val="003E2F34"/>
    <w:rsid w:val="003E5BF5"/>
    <w:rsid w:val="003E5CDB"/>
    <w:rsid w:val="003E5CFF"/>
    <w:rsid w:val="003E7874"/>
    <w:rsid w:val="003E7DCF"/>
    <w:rsid w:val="003F0E1D"/>
    <w:rsid w:val="003F1C2D"/>
    <w:rsid w:val="003F3882"/>
    <w:rsid w:val="003F3F0B"/>
    <w:rsid w:val="003F60A3"/>
    <w:rsid w:val="003F7983"/>
    <w:rsid w:val="003F7C8E"/>
    <w:rsid w:val="004001BE"/>
    <w:rsid w:val="0040124D"/>
    <w:rsid w:val="004017C8"/>
    <w:rsid w:val="0040181A"/>
    <w:rsid w:val="00401D26"/>
    <w:rsid w:val="004024C2"/>
    <w:rsid w:val="00404A7B"/>
    <w:rsid w:val="00405285"/>
    <w:rsid w:val="004068A7"/>
    <w:rsid w:val="00406C11"/>
    <w:rsid w:val="00407BBB"/>
    <w:rsid w:val="004106B2"/>
    <w:rsid w:val="004115B0"/>
    <w:rsid w:val="00411C65"/>
    <w:rsid w:val="00412CBC"/>
    <w:rsid w:val="00413E5F"/>
    <w:rsid w:val="00414D38"/>
    <w:rsid w:val="004155E3"/>
    <w:rsid w:val="004155E5"/>
    <w:rsid w:val="004156E2"/>
    <w:rsid w:val="00415AB5"/>
    <w:rsid w:val="00416478"/>
    <w:rsid w:val="00416AE9"/>
    <w:rsid w:val="004173E5"/>
    <w:rsid w:val="0041776D"/>
    <w:rsid w:val="0041787E"/>
    <w:rsid w:val="00417AAE"/>
    <w:rsid w:val="00420875"/>
    <w:rsid w:val="00420C40"/>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7842"/>
    <w:rsid w:val="0044122A"/>
    <w:rsid w:val="00441977"/>
    <w:rsid w:val="00441D7B"/>
    <w:rsid w:val="00441DB2"/>
    <w:rsid w:val="00442041"/>
    <w:rsid w:val="004429BF"/>
    <w:rsid w:val="00444250"/>
    <w:rsid w:val="00444298"/>
    <w:rsid w:val="004456C5"/>
    <w:rsid w:val="004474B0"/>
    <w:rsid w:val="00452481"/>
    <w:rsid w:val="00454666"/>
    <w:rsid w:val="004547F6"/>
    <w:rsid w:val="004549DF"/>
    <w:rsid w:val="004550FE"/>
    <w:rsid w:val="00455F40"/>
    <w:rsid w:val="004574A4"/>
    <w:rsid w:val="0045788A"/>
    <w:rsid w:val="00460822"/>
    <w:rsid w:val="00460F96"/>
    <w:rsid w:val="00463236"/>
    <w:rsid w:val="00463834"/>
    <w:rsid w:val="004657D3"/>
    <w:rsid w:val="004667BB"/>
    <w:rsid w:val="0046690A"/>
    <w:rsid w:val="0046782F"/>
    <w:rsid w:val="00471E1E"/>
    <w:rsid w:val="0047278F"/>
    <w:rsid w:val="00473CE1"/>
    <w:rsid w:val="00474667"/>
    <w:rsid w:val="0047566E"/>
    <w:rsid w:val="0047590B"/>
    <w:rsid w:val="0047799A"/>
    <w:rsid w:val="004846F1"/>
    <w:rsid w:val="00485DFE"/>
    <w:rsid w:val="00487FE6"/>
    <w:rsid w:val="00490F98"/>
    <w:rsid w:val="00491349"/>
    <w:rsid w:val="00492F9F"/>
    <w:rsid w:val="00493684"/>
    <w:rsid w:val="00493DFE"/>
    <w:rsid w:val="00493E48"/>
    <w:rsid w:val="004966D8"/>
    <w:rsid w:val="00496ACE"/>
    <w:rsid w:val="00497530"/>
    <w:rsid w:val="004A00BF"/>
    <w:rsid w:val="004A00FD"/>
    <w:rsid w:val="004A0307"/>
    <w:rsid w:val="004A4399"/>
    <w:rsid w:val="004A570C"/>
    <w:rsid w:val="004A5A7A"/>
    <w:rsid w:val="004A5CFF"/>
    <w:rsid w:val="004A61D7"/>
    <w:rsid w:val="004A699E"/>
    <w:rsid w:val="004A6B5A"/>
    <w:rsid w:val="004A7113"/>
    <w:rsid w:val="004A73D4"/>
    <w:rsid w:val="004B1026"/>
    <w:rsid w:val="004B13F6"/>
    <w:rsid w:val="004B1760"/>
    <w:rsid w:val="004B48B0"/>
    <w:rsid w:val="004B532B"/>
    <w:rsid w:val="004B5992"/>
    <w:rsid w:val="004B6259"/>
    <w:rsid w:val="004B6DC3"/>
    <w:rsid w:val="004B6EF4"/>
    <w:rsid w:val="004C093C"/>
    <w:rsid w:val="004C0B7A"/>
    <w:rsid w:val="004C0CA0"/>
    <w:rsid w:val="004C17D4"/>
    <w:rsid w:val="004C48B9"/>
    <w:rsid w:val="004C5B48"/>
    <w:rsid w:val="004C6493"/>
    <w:rsid w:val="004C7371"/>
    <w:rsid w:val="004D0D88"/>
    <w:rsid w:val="004D11A6"/>
    <w:rsid w:val="004D2147"/>
    <w:rsid w:val="004D2BAF"/>
    <w:rsid w:val="004D2D8E"/>
    <w:rsid w:val="004D2F54"/>
    <w:rsid w:val="004D3590"/>
    <w:rsid w:val="004D4879"/>
    <w:rsid w:val="004D6A1A"/>
    <w:rsid w:val="004D7112"/>
    <w:rsid w:val="004D7397"/>
    <w:rsid w:val="004D7C23"/>
    <w:rsid w:val="004D7DD5"/>
    <w:rsid w:val="004D7EF5"/>
    <w:rsid w:val="004D7F2C"/>
    <w:rsid w:val="004E07B6"/>
    <w:rsid w:val="004E0B6D"/>
    <w:rsid w:val="004E4F56"/>
    <w:rsid w:val="004E5196"/>
    <w:rsid w:val="004E63AF"/>
    <w:rsid w:val="004E6B27"/>
    <w:rsid w:val="004E7520"/>
    <w:rsid w:val="004F01A5"/>
    <w:rsid w:val="004F04DD"/>
    <w:rsid w:val="004F08ED"/>
    <w:rsid w:val="004F0C8B"/>
    <w:rsid w:val="004F2B93"/>
    <w:rsid w:val="004F2CC5"/>
    <w:rsid w:val="004F3096"/>
    <w:rsid w:val="004F3159"/>
    <w:rsid w:val="004F32CF"/>
    <w:rsid w:val="004F411F"/>
    <w:rsid w:val="004F60D3"/>
    <w:rsid w:val="004F6E7E"/>
    <w:rsid w:val="004F7234"/>
    <w:rsid w:val="004F7D8F"/>
    <w:rsid w:val="00500AE6"/>
    <w:rsid w:val="00500B15"/>
    <w:rsid w:val="0050182A"/>
    <w:rsid w:val="00501CED"/>
    <w:rsid w:val="00501F56"/>
    <w:rsid w:val="0050264E"/>
    <w:rsid w:val="00502DAF"/>
    <w:rsid w:val="00502DB5"/>
    <w:rsid w:val="0050431E"/>
    <w:rsid w:val="005053C1"/>
    <w:rsid w:val="00506113"/>
    <w:rsid w:val="00506ECC"/>
    <w:rsid w:val="00510062"/>
    <w:rsid w:val="00510D3F"/>
    <w:rsid w:val="00511E18"/>
    <w:rsid w:val="00512B77"/>
    <w:rsid w:val="00512C56"/>
    <w:rsid w:val="00513510"/>
    <w:rsid w:val="0051502C"/>
    <w:rsid w:val="00515ADE"/>
    <w:rsid w:val="00515E63"/>
    <w:rsid w:val="00516B50"/>
    <w:rsid w:val="005176F4"/>
    <w:rsid w:val="005203BA"/>
    <w:rsid w:val="00521222"/>
    <w:rsid w:val="005220F8"/>
    <w:rsid w:val="00522932"/>
    <w:rsid w:val="00522C08"/>
    <w:rsid w:val="0052539A"/>
    <w:rsid w:val="005309DD"/>
    <w:rsid w:val="005330CB"/>
    <w:rsid w:val="0053320F"/>
    <w:rsid w:val="005340C0"/>
    <w:rsid w:val="00534E45"/>
    <w:rsid w:val="00534E48"/>
    <w:rsid w:val="00535F18"/>
    <w:rsid w:val="00537136"/>
    <w:rsid w:val="005406CD"/>
    <w:rsid w:val="005412C1"/>
    <w:rsid w:val="00541FEC"/>
    <w:rsid w:val="00542742"/>
    <w:rsid w:val="0054287D"/>
    <w:rsid w:val="00542A4A"/>
    <w:rsid w:val="00543027"/>
    <w:rsid w:val="0054390D"/>
    <w:rsid w:val="00544037"/>
    <w:rsid w:val="00544FDF"/>
    <w:rsid w:val="0054537C"/>
    <w:rsid w:val="00545E64"/>
    <w:rsid w:val="00547AD0"/>
    <w:rsid w:val="0055098B"/>
    <w:rsid w:val="005509F0"/>
    <w:rsid w:val="00550A0A"/>
    <w:rsid w:val="00551012"/>
    <w:rsid w:val="00553778"/>
    <w:rsid w:val="00553AC5"/>
    <w:rsid w:val="00554646"/>
    <w:rsid w:val="00554791"/>
    <w:rsid w:val="005555A0"/>
    <w:rsid w:val="005576E1"/>
    <w:rsid w:val="00557982"/>
    <w:rsid w:val="00557D72"/>
    <w:rsid w:val="0056006F"/>
    <w:rsid w:val="0056050F"/>
    <w:rsid w:val="00560BBE"/>
    <w:rsid w:val="0056216F"/>
    <w:rsid w:val="005627E9"/>
    <w:rsid w:val="0056349C"/>
    <w:rsid w:val="0056358D"/>
    <w:rsid w:val="0056377F"/>
    <w:rsid w:val="005642D3"/>
    <w:rsid w:val="005668B8"/>
    <w:rsid w:val="005676F6"/>
    <w:rsid w:val="005715AF"/>
    <w:rsid w:val="005722F7"/>
    <w:rsid w:val="00572506"/>
    <w:rsid w:val="00573AC9"/>
    <w:rsid w:val="00575980"/>
    <w:rsid w:val="0057772D"/>
    <w:rsid w:val="00577DC0"/>
    <w:rsid w:val="005801CF"/>
    <w:rsid w:val="005812BF"/>
    <w:rsid w:val="00581303"/>
    <w:rsid w:val="00581A4E"/>
    <w:rsid w:val="00581B70"/>
    <w:rsid w:val="00581DBA"/>
    <w:rsid w:val="00581F60"/>
    <w:rsid w:val="005829C2"/>
    <w:rsid w:val="00582A46"/>
    <w:rsid w:val="0058322B"/>
    <w:rsid w:val="00583A5C"/>
    <w:rsid w:val="0058471F"/>
    <w:rsid w:val="0058487A"/>
    <w:rsid w:val="00584CA1"/>
    <w:rsid w:val="0058509C"/>
    <w:rsid w:val="00585E3F"/>
    <w:rsid w:val="005866B9"/>
    <w:rsid w:val="00587EE5"/>
    <w:rsid w:val="005906A4"/>
    <w:rsid w:val="00592CFD"/>
    <w:rsid w:val="00593C8A"/>
    <w:rsid w:val="00594467"/>
    <w:rsid w:val="00594CC3"/>
    <w:rsid w:val="00594F66"/>
    <w:rsid w:val="00595B8E"/>
    <w:rsid w:val="005960B9"/>
    <w:rsid w:val="00596DDA"/>
    <w:rsid w:val="005A0B7F"/>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620"/>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1784"/>
    <w:rsid w:val="005C3272"/>
    <w:rsid w:val="005C3D94"/>
    <w:rsid w:val="005C50A4"/>
    <w:rsid w:val="005C50D1"/>
    <w:rsid w:val="005C6C4F"/>
    <w:rsid w:val="005D000E"/>
    <w:rsid w:val="005D035F"/>
    <w:rsid w:val="005D2A79"/>
    <w:rsid w:val="005D3C04"/>
    <w:rsid w:val="005D4C34"/>
    <w:rsid w:val="005D5E30"/>
    <w:rsid w:val="005D62E5"/>
    <w:rsid w:val="005D6C3D"/>
    <w:rsid w:val="005D7216"/>
    <w:rsid w:val="005D744D"/>
    <w:rsid w:val="005E032C"/>
    <w:rsid w:val="005E0A86"/>
    <w:rsid w:val="005E12F7"/>
    <w:rsid w:val="005E37E1"/>
    <w:rsid w:val="005E3B75"/>
    <w:rsid w:val="005E51CD"/>
    <w:rsid w:val="005E548A"/>
    <w:rsid w:val="005E5BCC"/>
    <w:rsid w:val="005E5CCE"/>
    <w:rsid w:val="005E6CCC"/>
    <w:rsid w:val="005F044A"/>
    <w:rsid w:val="005F1247"/>
    <w:rsid w:val="005F19BB"/>
    <w:rsid w:val="005F3B5B"/>
    <w:rsid w:val="005F6909"/>
    <w:rsid w:val="005F6C88"/>
    <w:rsid w:val="0060005D"/>
    <w:rsid w:val="006022C0"/>
    <w:rsid w:val="00602E42"/>
    <w:rsid w:val="00603657"/>
    <w:rsid w:val="00603BB4"/>
    <w:rsid w:val="00604448"/>
    <w:rsid w:val="0060479B"/>
    <w:rsid w:val="00606A55"/>
    <w:rsid w:val="0060740F"/>
    <w:rsid w:val="00611427"/>
    <w:rsid w:val="00611AC2"/>
    <w:rsid w:val="00611FFE"/>
    <w:rsid w:val="00613BB6"/>
    <w:rsid w:val="0061572C"/>
    <w:rsid w:val="00615E79"/>
    <w:rsid w:val="00616D0D"/>
    <w:rsid w:val="00617595"/>
    <w:rsid w:val="0061777B"/>
    <w:rsid w:val="00617F1C"/>
    <w:rsid w:val="00620C94"/>
    <w:rsid w:val="00623A3D"/>
    <w:rsid w:val="00624066"/>
    <w:rsid w:val="0062454A"/>
    <w:rsid w:val="00624620"/>
    <w:rsid w:val="006247E0"/>
    <w:rsid w:val="00624946"/>
    <w:rsid w:val="00625173"/>
    <w:rsid w:val="00630CCB"/>
    <w:rsid w:val="00631E71"/>
    <w:rsid w:val="0063350A"/>
    <w:rsid w:val="006340A0"/>
    <w:rsid w:val="00634FB6"/>
    <w:rsid w:val="0063581A"/>
    <w:rsid w:val="00636BF4"/>
    <w:rsid w:val="0063720C"/>
    <w:rsid w:val="00637FE9"/>
    <w:rsid w:val="0064101A"/>
    <w:rsid w:val="006429E6"/>
    <w:rsid w:val="00642CB1"/>
    <w:rsid w:val="00642DD8"/>
    <w:rsid w:val="006431A9"/>
    <w:rsid w:val="0064508B"/>
    <w:rsid w:val="006456E6"/>
    <w:rsid w:val="006460E3"/>
    <w:rsid w:val="006466DF"/>
    <w:rsid w:val="00646CF2"/>
    <w:rsid w:val="00647100"/>
    <w:rsid w:val="006518D0"/>
    <w:rsid w:val="00651A0E"/>
    <w:rsid w:val="00652156"/>
    <w:rsid w:val="00652393"/>
    <w:rsid w:val="006535E4"/>
    <w:rsid w:val="0065471D"/>
    <w:rsid w:val="00655173"/>
    <w:rsid w:val="00656003"/>
    <w:rsid w:val="00657150"/>
    <w:rsid w:val="006571DD"/>
    <w:rsid w:val="0065774D"/>
    <w:rsid w:val="0065792C"/>
    <w:rsid w:val="00661AA7"/>
    <w:rsid w:val="00662BF9"/>
    <w:rsid w:val="00662E32"/>
    <w:rsid w:val="00664343"/>
    <w:rsid w:val="0066634E"/>
    <w:rsid w:val="0066668A"/>
    <w:rsid w:val="00667CAB"/>
    <w:rsid w:val="00670BE1"/>
    <w:rsid w:val="00674641"/>
    <w:rsid w:val="00675065"/>
    <w:rsid w:val="00675563"/>
    <w:rsid w:val="00675DAD"/>
    <w:rsid w:val="00677CF0"/>
    <w:rsid w:val="00680252"/>
    <w:rsid w:val="00680E42"/>
    <w:rsid w:val="00682389"/>
    <w:rsid w:val="00682AC7"/>
    <w:rsid w:val="00682FD8"/>
    <w:rsid w:val="006834DA"/>
    <w:rsid w:val="00683A85"/>
    <w:rsid w:val="0068482C"/>
    <w:rsid w:val="00685346"/>
    <w:rsid w:val="00685B24"/>
    <w:rsid w:val="0068677F"/>
    <w:rsid w:val="006870E8"/>
    <w:rsid w:val="006879AE"/>
    <w:rsid w:val="00690BC5"/>
    <w:rsid w:val="00690C8E"/>
    <w:rsid w:val="00691341"/>
    <w:rsid w:val="0069149E"/>
    <w:rsid w:val="006918CB"/>
    <w:rsid w:val="00691D24"/>
    <w:rsid w:val="00691FEA"/>
    <w:rsid w:val="006933DD"/>
    <w:rsid w:val="0069471D"/>
    <w:rsid w:val="0069553A"/>
    <w:rsid w:val="00695670"/>
    <w:rsid w:val="00695B4C"/>
    <w:rsid w:val="00695E20"/>
    <w:rsid w:val="00697CAC"/>
    <w:rsid w:val="006A2505"/>
    <w:rsid w:val="006A2D90"/>
    <w:rsid w:val="006A3BA0"/>
    <w:rsid w:val="006A43D6"/>
    <w:rsid w:val="006A4EC6"/>
    <w:rsid w:val="006A6250"/>
    <w:rsid w:val="006A6B87"/>
    <w:rsid w:val="006A6DF3"/>
    <w:rsid w:val="006A7769"/>
    <w:rsid w:val="006B20D5"/>
    <w:rsid w:val="006B34F6"/>
    <w:rsid w:val="006B4952"/>
    <w:rsid w:val="006B59AB"/>
    <w:rsid w:val="006B5EA1"/>
    <w:rsid w:val="006B62C2"/>
    <w:rsid w:val="006B6316"/>
    <w:rsid w:val="006B6C2F"/>
    <w:rsid w:val="006B6D7B"/>
    <w:rsid w:val="006B7F10"/>
    <w:rsid w:val="006C042B"/>
    <w:rsid w:val="006C2543"/>
    <w:rsid w:val="006C2A45"/>
    <w:rsid w:val="006C3450"/>
    <w:rsid w:val="006C4042"/>
    <w:rsid w:val="006C56D9"/>
    <w:rsid w:val="006C5AB4"/>
    <w:rsid w:val="006C6530"/>
    <w:rsid w:val="006C6C85"/>
    <w:rsid w:val="006C700A"/>
    <w:rsid w:val="006C7B02"/>
    <w:rsid w:val="006C7C59"/>
    <w:rsid w:val="006D0312"/>
    <w:rsid w:val="006D05B4"/>
    <w:rsid w:val="006D06D5"/>
    <w:rsid w:val="006D214E"/>
    <w:rsid w:val="006D2DEA"/>
    <w:rsid w:val="006D2E9C"/>
    <w:rsid w:val="006D30BC"/>
    <w:rsid w:val="006D32F5"/>
    <w:rsid w:val="006D631F"/>
    <w:rsid w:val="006D68F0"/>
    <w:rsid w:val="006E04FC"/>
    <w:rsid w:val="006E1A0E"/>
    <w:rsid w:val="006E1ECB"/>
    <w:rsid w:val="006E2DF5"/>
    <w:rsid w:val="006E2F77"/>
    <w:rsid w:val="006E6241"/>
    <w:rsid w:val="006E6E8B"/>
    <w:rsid w:val="006E7C76"/>
    <w:rsid w:val="006F024F"/>
    <w:rsid w:val="006F04CD"/>
    <w:rsid w:val="006F07C9"/>
    <w:rsid w:val="006F0A6B"/>
    <w:rsid w:val="006F0F75"/>
    <w:rsid w:val="006F3496"/>
    <w:rsid w:val="006F388E"/>
    <w:rsid w:val="006F4633"/>
    <w:rsid w:val="006F5AC8"/>
    <w:rsid w:val="006F5F50"/>
    <w:rsid w:val="006F71FE"/>
    <w:rsid w:val="006F721C"/>
    <w:rsid w:val="006F7A75"/>
    <w:rsid w:val="007019E2"/>
    <w:rsid w:val="00703F7A"/>
    <w:rsid w:val="00704218"/>
    <w:rsid w:val="0070472C"/>
    <w:rsid w:val="00706102"/>
    <w:rsid w:val="00706B38"/>
    <w:rsid w:val="00711356"/>
    <w:rsid w:val="007121CF"/>
    <w:rsid w:val="007132BC"/>
    <w:rsid w:val="00713D33"/>
    <w:rsid w:val="00716375"/>
    <w:rsid w:val="007170E9"/>
    <w:rsid w:val="00717B21"/>
    <w:rsid w:val="00720F3C"/>
    <w:rsid w:val="00721876"/>
    <w:rsid w:val="00722880"/>
    <w:rsid w:val="00723928"/>
    <w:rsid w:val="007240F9"/>
    <w:rsid w:val="00724763"/>
    <w:rsid w:val="00724802"/>
    <w:rsid w:val="007303C2"/>
    <w:rsid w:val="0073139F"/>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3F8B"/>
    <w:rsid w:val="0074622A"/>
    <w:rsid w:val="00747EE2"/>
    <w:rsid w:val="00755065"/>
    <w:rsid w:val="007552A7"/>
    <w:rsid w:val="0075624C"/>
    <w:rsid w:val="007566E2"/>
    <w:rsid w:val="00757FC1"/>
    <w:rsid w:val="00760265"/>
    <w:rsid w:val="00761F1A"/>
    <w:rsid w:val="00763522"/>
    <w:rsid w:val="00763B46"/>
    <w:rsid w:val="00764A6D"/>
    <w:rsid w:val="0076550E"/>
    <w:rsid w:val="00766E1C"/>
    <w:rsid w:val="00767121"/>
    <w:rsid w:val="00770983"/>
    <w:rsid w:val="00770A23"/>
    <w:rsid w:val="00770D89"/>
    <w:rsid w:val="00771FBD"/>
    <w:rsid w:val="00772751"/>
    <w:rsid w:val="00772BFA"/>
    <w:rsid w:val="007732E5"/>
    <w:rsid w:val="007735B7"/>
    <w:rsid w:val="00773A1F"/>
    <w:rsid w:val="007747FE"/>
    <w:rsid w:val="007750D4"/>
    <w:rsid w:val="00775725"/>
    <w:rsid w:val="00775864"/>
    <w:rsid w:val="00776280"/>
    <w:rsid w:val="0078129F"/>
    <w:rsid w:val="00781798"/>
    <w:rsid w:val="00781A2A"/>
    <w:rsid w:val="007835FC"/>
    <w:rsid w:val="00786C7E"/>
    <w:rsid w:val="00786E59"/>
    <w:rsid w:val="0079003B"/>
    <w:rsid w:val="00791F35"/>
    <w:rsid w:val="0079398D"/>
    <w:rsid w:val="0079753A"/>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42B"/>
    <w:rsid w:val="007B29C8"/>
    <w:rsid w:val="007B2CDB"/>
    <w:rsid w:val="007B3AF9"/>
    <w:rsid w:val="007B4190"/>
    <w:rsid w:val="007B5A22"/>
    <w:rsid w:val="007B6747"/>
    <w:rsid w:val="007B7795"/>
    <w:rsid w:val="007C1E2E"/>
    <w:rsid w:val="007C2A5B"/>
    <w:rsid w:val="007C2F2F"/>
    <w:rsid w:val="007C32E6"/>
    <w:rsid w:val="007C4071"/>
    <w:rsid w:val="007C551E"/>
    <w:rsid w:val="007C6103"/>
    <w:rsid w:val="007C650C"/>
    <w:rsid w:val="007C7079"/>
    <w:rsid w:val="007C7414"/>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60C"/>
    <w:rsid w:val="007E1F6F"/>
    <w:rsid w:val="007E2BD2"/>
    <w:rsid w:val="007E5F41"/>
    <w:rsid w:val="007E6311"/>
    <w:rsid w:val="007E6CF2"/>
    <w:rsid w:val="007F0BE0"/>
    <w:rsid w:val="007F1EB4"/>
    <w:rsid w:val="007F5493"/>
    <w:rsid w:val="007F575C"/>
    <w:rsid w:val="007F5B53"/>
    <w:rsid w:val="007F60D5"/>
    <w:rsid w:val="007F6DC7"/>
    <w:rsid w:val="0080075E"/>
    <w:rsid w:val="008016E2"/>
    <w:rsid w:val="00802948"/>
    <w:rsid w:val="00802AAC"/>
    <w:rsid w:val="00806FED"/>
    <w:rsid w:val="008103CB"/>
    <w:rsid w:val="00811115"/>
    <w:rsid w:val="0081218D"/>
    <w:rsid w:val="008122DE"/>
    <w:rsid w:val="008134C7"/>
    <w:rsid w:val="008139EB"/>
    <w:rsid w:val="00813D5F"/>
    <w:rsid w:val="008143D7"/>
    <w:rsid w:val="00814CAE"/>
    <w:rsid w:val="008150A6"/>
    <w:rsid w:val="008151E2"/>
    <w:rsid w:val="00816091"/>
    <w:rsid w:val="00816182"/>
    <w:rsid w:val="00816710"/>
    <w:rsid w:val="00817ADF"/>
    <w:rsid w:val="00820427"/>
    <w:rsid w:val="0082111F"/>
    <w:rsid w:val="008216A5"/>
    <w:rsid w:val="00821BA2"/>
    <w:rsid w:val="00822824"/>
    <w:rsid w:val="008228B9"/>
    <w:rsid w:val="00822FF6"/>
    <w:rsid w:val="00823154"/>
    <w:rsid w:val="00824639"/>
    <w:rsid w:val="00826479"/>
    <w:rsid w:val="0082672E"/>
    <w:rsid w:val="00826C95"/>
    <w:rsid w:val="00826CD6"/>
    <w:rsid w:val="008272AE"/>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A87"/>
    <w:rsid w:val="00843C41"/>
    <w:rsid w:val="00843DDE"/>
    <w:rsid w:val="00844E83"/>
    <w:rsid w:val="0084500E"/>
    <w:rsid w:val="0084501F"/>
    <w:rsid w:val="00845138"/>
    <w:rsid w:val="008455FB"/>
    <w:rsid w:val="0084584F"/>
    <w:rsid w:val="008479F5"/>
    <w:rsid w:val="00847DB4"/>
    <w:rsid w:val="00850308"/>
    <w:rsid w:val="00850403"/>
    <w:rsid w:val="00850BC8"/>
    <w:rsid w:val="00850E33"/>
    <w:rsid w:val="0085172A"/>
    <w:rsid w:val="0085569C"/>
    <w:rsid w:val="00856715"/>
    <w:rsid w:val="0085674D"/>
    <w:rsid w:val="00856DC0"/>
    <w:rsid w:val="0085769A"/>
    <w:rsid w:val="008607CA"/>
    <w:rsid w:val="00861CE7"/>
    <w:rsid w:val="008623EA"/>
    <w:rsid w:val="00862E46"/>
    <w:rsid w:val="0086319C"/>
    <w:rsid w:val="00864D01"/>
    <w:rsid w:val="00864FAB"/>
    <w:rsid w:val="00865BFC"/>
    <w:rsid w:val="00870585"/>
    <w:rsid w:val="0087254B"/>
    <w:rsid w:val="00872633"/>
    <w:rsid w:val="0087394A"/>
    <w:rsid w:val="00873EAC"/>
    <w:rsid w:val="00874D32"/>
    <w:rsid w:val="00880D1C"/>
    <w:rsid w:val="00880EB6"/>
    <w:rsid w:val="00881B84"/>
    <w:rsid w:val="00882317"/>
    <w:rsid w:val="00882D57"/>
    <w:rsid w:val="00885CC3"/>
    <w:rsid w:val="00886362"/>
    <w:rsid w:val="008876A3"/>
    <w:rsid w:val="00887DFB"/>
    <w:rsid w:val="008901D8"/>
    <w:rsid w:val="00891F76"/>
    <w:rsid w:val="0089283A"/>
    <w:rsid w:val="00892ADC"/>
    <w:rsid w:val="008931DF"/>
    <w:rsid w:val="00893813"/>
    <w:rsid w:val="008957F7"/>
    <w:rsid w:val="0089658C"/>
    <w:rsid w:val="00897000"/>
    <w:rsid w:val="008A06A4"/>
    <w:rsid w:val="008A0739"/>
    <w:rsid w:val="008A2458"/>
    <w:rsid w:val="008A3682"/>
    <w:rsid w:val="008A4BA6"/>
    <w:rsid w:val="008A5D30"/>
    <w:rsid w:val="008A66B8"/>
    <w:rsid w:val="008A7EED"/>
    <w:rsid w:val="008A7F9C"/>
    <w:rsid w:val="008B0953"/>
    <w:rsid w:val="008B25E6"/>
    <w:rsid w:val="008B2B1D"/>
    <w:rsid w:val="008B3358"/>
    <w:rsid w:val="008B358E"/>
    <w:rsid w:val="008B3C27"/>
    <w:rsid w:val="008B4516"/>
    <w:rsid w:val="008B5009"/>
    <w:rsid w:val="008B5D80"/>
    <w:rsid w:val="008B675B"/>
    <w:rsid w:val="008B6C0C"/>
    <w:rsid w:val="008B7C8C"/>
    <w:rsid w:val="008B7E45"/>
    <w:rsid w:val="008C0552"/>
    <w:rsid w:val="008C1237"/>
    <w:rsid w:val="008C1D9E"/>
    <w:rsid w:val="008C2981"/>
    <w:rsid w:val="008C46FC"/>
    <w:rsid w:val="008C64FB"/>
    <w:rsid w:val="008C6FEC"/>
    <w:rsid w:val="008C7048"/>
    <w:rsid w:val="008C771B"/>
    <w:rsid w:val="008C77A4"/>
    <w:rsid w:val="008D0DB7"/>
    <w:rsid w:val="008D2683"/>
    <w:rsid w:val="008D2DAF"/>
    <w:rsid w:val="008D4EEC"/>
    <w:rsid w:val="008D5B0C"/>
    <w:rsid w:val="008D5BFC"/>
    <w:rsid w:val="008E00A3"/>
    <w:rsid w:val="008E098D"/>
    <w:rsid w:val="008E1C91"/>
    <w:rsid w:val="008E2EFF"/>
    <w:rsid w:val="008E3B9E"/>
    <w:rsid w:val="008E4AFF"/>
    <w:rsid w:val="008E4E0F"/>
    <w:rsid w:val="008E5935"/>
    <w:rsid w:val="008E5FFC"/>
    <w:rsid w:val="008E725C"/>
    <w:rsid w:val="008E738E"/>
    <w:rsid w:val="008F01BB"/>
    <w:rsid w:val="008F0A84"/>
    <w:rsid w:val="008F0CC3"/>
    <w:rsid w:val="008F175B"/>
    <w:rsid w:val="008F42AD"/>
    <w:rsid w:val="008F44C7"/>
    <w:rsid w:val="008F46A2"/>
    <w:rsid w:val="008F5035"/>
    <w:rsid w:val="008F5056"/>
    <w:rsid w:val="008F5950"/>
    <w:rsid w:val="008F5A80"/>
    <w:rsid w:val="008F6954"/>
    <w:rsid w:val="008F6E3D"/>
    <w:rsid w:val="008F721D"/>
    <w:rsid w:val="008F7E0B"/>
    <w:rsid w:val="008F7ED2"/>
    <w:rsid w:val="00900C2F"/>
    <w:rsid w:val="00902C93"/>
    <w:rsid w:val="0090408F"/>
    <w:rsid w:val="009066DC"/>
    <w:rsid w:val="00906F8A"/>
    <w:rsid w:val="009104E4"/>
    <w:rsid w:val="00910A37"/>
    <w:rsid w:val="00911C4C"/>
    <w:rsid w:val="00913EA0"/>
    <w:rsid w:val="00914B35"/>
    <w:rsid w:val="00915570"/>
    <w:rsid w:val="0091611D"/>
    <w:rsid w:val="00916267"/>
    <w:rsid w:val="00917373"/>
    <w:rsid w:val="009173A3"/>
    <w:rsid w:val="00917B62"/>
    <w:rsid w:val="0092016A"/>
    <w:rsid w:val="0092091C"/>
    <w:rsid w:val="00920CEB"/>
    <w:rsid w:val="00921082"/>
    <w:rsid w:val="0092123C"/>
    <w:rsid w:val="0092264D"/>
    <w:rsid w:val="00922A4F"/>
    <w:rsid w:val="00922DE7"/>
    <w:rsid w:val="00922EFB"/>
    <w:rsid w:val="00923A6C"/>
    <w:rsid w:val="00923B78"/>
    <w:rsid w:val="009249C8"/>
    <w:rsid w:val="00925816"/>
    <w:rsid w:val="0093115A"/>
    <w:rsid w:val="00931671"/>
    <w:rsid w:val="00933F00"/>
    <w:rsid w:val="00935257"/>
    <w:rsid w:val="00935401"/>
    <w:rsid w:val="00935BE0"/>
    <w:rsid w:val="00936A9D"/>
    <w:rsid w:val="0094003A"/>
    <w:rsid w:val="0094004A"/>
    <w:rsid w:val="00940404"/>
    <w:rsid w:val="009414BA"/>
    <w:rsid w:val="00941868"/>
    <w:rsid w:val="00942CA6"/>
    <w:rsid w:val="00942FCD"/>
    <w:rsid w:val="0094338B"/>
    <w:rsid w:val="009453D0"/>
    <w:rsid w:val="0094638E"/>
    <w:rsid w:val="00946455"/>
    <w:rsid w:val="00946A82"/>
    <w:rsid w:val="009501EB"/>
    <w:rsid w:val="0095071A"/>
    <w:rsid w:val="00951071"/>
    <w:rsid w:val="0095158B"/>
    <w:rsid w:val="0095333C"/>
    <w:rsid w:val="00953610"/>
    <w:rsid w:val="009537EE"/>
    <w:rsid w:val="009544D9"/>
    <w:rsid w:val="00955186"/>
    <w:rsid w:val="00955282"/>
    <w:rsid w:val="00956990"/>
    <w:rsid w:val="00956EE8"/>
    <w:rsid w:val="009570F6"/>
    <w:rsid w:val="00961028"/>
    <w:rsid w:val="0096484B"/>
    <w:rsid w:val="00965C09"/>
    <w:rsid w:val="00966B06"/>
    <w:rsid w:val="00966B6A"/>
    <w:rsid w:val="0097057C"/>
    <w:rsid w:val="00970C2C"/>
    <w:rsid w:val="00971419"/>
    <w:rsid w:val="009715C5"/>
    <w:rsid w:val="00971AF2"/>
    <w:rsid w:val="009723B8"/>
    <w:rsid w:val="00972647"/>
    <w:rsid w:val="00973264"/>
    <w:rsid w:val="009742A2"/>
    <w:rsid w:val="00975145"/>
    <w:rsid w:val="009764C0"/>
    <w:rsid w:val="009817A0"/>
    <w:rsid w:val="00982089"/>
    <w:rsid w:val="0098281C"/>
    <w:rsid w:val="009833A0"/>
    <w:rsid w:val="00983C0B"/>
    <w:rsid w:val="0098423D"/>
    <w:rsid w:val="00984871"/>
    <w:rsid w:val="009850E9"/>
    <w:rsid w:val="00985DFA"/>
    <w:rsid w:val="00985FC3"/>
    <w:rsid w:val="00986315"/>
    <w:rsid w:val="00986617"/>
    <w:rsid w:val="00986D21"/>
    <w:rsid w:val="009911E3"/>
    <w:rsid w:val="00991869"/>
    <w:rsid w:val="00992201"/>
    <w:rsid w:val="00993332"/>
    <w:rsid w:val="00993C0B"/>
    <w:rsid w:val="00993E24"/>
    <w:rsid w:val="00994416"/>
    <w:rsid w:val="0099454D"/>
    <w:rsid w:val="00994575"/>
    <w:rsid w:val="00994B4C"/>
    <w:rsid w:val="00994E42"/>
    <w:rsid w:val="00994E6A"/>
    <w:rsid w:val="00995178"/>
    <w:rsid w:val="009960E6"/>
    <w:rsid w:val="00997850"/>
    <w:rsid w:val="009A0911"/>
    <w:rsid w:val="009A1519"/>
    <w:rsid w:val="009A1A57"/>
    <w:rsid w:val="009A1C33"/>
    <w:rsid w:val="009A2439"/>
    <w:rsid w:val="009A2BF5"/>
    <w:rsid w:val="009A2BFF"/>
    <w:rsid w:val="009A5BD6"/>
    <w:rsid w:val="009A61F5"/>
    <w:rsid w:val="009A620D"/>
    <w:rsid w:val="009A6D30"/>
    <w:rsid w:val="009B039A"/>
    <w:rsid w:val="009B206F"/>
    <w:rsid w:val="009B32A8"/>
    <w:rsid w:val="009B3C34"/>
    <w:rsid w:val="009B5F6F"/>
    <w:rsid w:val="009B7A7F"/>
    <w:rsid w:val="009B7A90"/>
    <w:rsid w:val="009B7BA4"/>
    <w:rsid w:val="009B7EA5"/>
    <w:rsid w:val="009B7F07"/>
    <w:rsid w:val="009C1007"/>
    <w:rsid w:val="009C1F6E"/>
    <w:rsid w:val="009C2514"/>
    <w:rsid w:val="009C29E2"/>
    <w:rsid w:val="009C3C03"/>
    <w:rsid w:val="009C3C6C"/>
    <w:rsid w:val="009C3EBA"/>
    <w:rsid w:val="009C4C61"/>
    <w:rsid w:val="009C5377"/>
    <w:rsid w:val="009C58A2"/>
    <w:rsid w:val="009C7BA0"/>
    <w:rsid w:val="009C7C48"/>
    <w:rsid w:val="009D1B51"/>
    <w:rsid w:val="009D2F3C"/>
    <w:rsid w:val="009D3369"/>
    <w:rsid w:val="009D41EB"/>
    <w:rsid w:val="009D426B"/>
    <w:rsid w:val="009D52BF"/>
    <w:rsid w:val="009D5349"/>
    <w:rsid w:val="009D551D"/>
    <w:rsid w:val="009D6255"/>
    <w:rsid w:val="009D63B3"/>
    <w:rsid w:val="009D6DD3"/>
    <w:rsid w:val="009D6E7D"/>
    <w:rsid w:val="009E0560"/>
    <w:rsid w:val="009E3F57"/>
    <w:rsid w:val="009E4F8A"/>
    <w:rsid w:val="009E6471"/>
    <w:rsid w:val="009E6771"/>
    <w:rsid w:val="009E67E4"/>
    <w:rsid w:val="009E754B"/>
    <w:rsid w:val="009E7F8A"/>
    <w:rsid w:val="009F0511"/>
    <w:rsid w:val="009F092A"/>
    <w:rsid w:val="009F1DBD"/>
    <w:rsid w:val="009F22FE"/>
    <w:rsid w:val="009F410E"/>
    <w:rsid w:val="009F5D47"/>
    <w:rsid w:val="009F5E56"/>
    <w:rsid w:val="009F68EB"/>
    <w:rsid w:val="009F750B"/>
    <w:rsid w:val="00A00435"/>
    <w:rsid w:val="00A01FCD"/>
    <w:rsid w:val="00A025E8"/>
    <w:rsid w:val="00A03071"/>
    <w:rsid w:val="00A044F0"/>
    <w:rsid w:val="00A04764"/>
    <w:rsid w:val="00A04E73"/>
    <w:rsid w:val="00A0582B"/>
    <w:rsid w:val="00A05B11"/>
    <w:rsid w:val="00A0600A"/>
    <w:rsid w:val="00A06B7F"/>
    <w:rsid w:val="00A06FBD"/>
    <w:rsid w:val="00A07D9C"/>
    <w:rsid w:val="00A105C0"/>
    <w:rsid w:val="00A109CC"/>
    <w:rsid w:val="00A13EDB"/>
    <w:rsid w:val="00A14C4D"/>
    <w:rsid w:val="00A14C72"/>
    <w:rsid w:val="00A15845"/>
    <w:rsid w:val="00A16B48"/>
    <w:rsid w:val="00A17B52"/>
    <w:rsid w:val="00A2021A"/>
    <w:rsid w:val="00A21110"/>
    <w:rsid w:val="00A2141C"/>
    <w:rsid w:val="00A21B16"/>
    <w:rsid w:val="00A22D76"/>
    <w:rsid w:val="00A2438C"/>
    <w:rsid w:val="00A24D47"/>
    <w:rsid w:val="00A25EAE"/>
    <w:rsid w:val="00A271E8"/>
    <w:rsid w:val="00A30370"/>
    <w:rsid w:val="00A31242"/>
    <w:rsid w:val="00A32017"/>
    <w:rsid w:val="00A335F7"/>
    <w:rsid w:val="00A3527C"/>
    <w:rsid w:val="00A352E6"/>
    <w:rsid w:val="00A35CB4"/>
    <w:rsid w:val="00A36E1D"/>
    <w:rsid w:val="00A37E7E"/>
    <w:rsid w:val="00A4093C"/>
    <w:rsid w:val="00A4098F"/>
    <w:rsid w:val="00A4193A"/>
    <w:rsid w:val="00A41E41"/>
    <w:rsid w:val="00A422C3"/>
    <w:rsid w:val="00A42D4A"/>
    <w:rsid w:val="00A451FE"/>
    <w:rsid w:val="00A4553A"/>
    <w:rsid w:val="00A45C6F"/>
    <w:rsid w:val="00A46DCC"/>
    <w:rsid w:val="00A47B0A"/>
    <w:rsid w:val="00A5014E"/>
    <w:rsid w:val="00A528A8"/>
    <w:rsid w:val="00A55DD6"/>
    <w:rsid w:val="00A562E3"/>
    <w:rsid w:val="00A569D3"/>
    <w:rsid w:val="00A5706D"/>
    <w:rsid w:val="00A57983"/>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94A"/>
    <w:rsid w:val="00A74D3C"/>
    <w:rsid w:val="00A7550A"/>
    <w:rsid w:val="00A75DB1"/>
    <w:rsid w:val="00A760CB"/>
    <w:rsid w:val="00A761C2"/>
    <w:rsid w:val="00A76BBD"/>
    <w:rsid w:val="00A76D29"/>
    <w:rsid w:val="00A81335"/>
    <w:rsid w:val="00A8151A"/>
    <w:rsid w:val="00A816A1"/>
    <w:rsid w:val="00A816E2"/>
    <w:rsid w:val="00A81ADF"/>
    <w:rsid w:val="00A82026"/>
    <w:rsid w:val="00A82952"/>
    <w:rsid w:val="00A82ABC"/>
    <w:rsid w:val="00A83745"/>
    <w:rsid w:val="00A837DC"/>
    <w:rsid w:val="00A83B44"/>
    <w:rsid w:val="00A845DF"/>
    <w:rsid w:val="00A85093"/>
    <w:rsid w:val="00A86383"/>
    <w:rsid w:val="00A86960"/>
    <w:rsid w:val="00A869B7"/>
    <w:rsid w:val="00A86B01"/>
    <w:rsid w:val="00A91267"/>
    <w:rsid w:val="00A9185C"/>
    <w:rsid w:val="00A91A54"/>
    <w:rsid w:val="00A91B7E"/>
    <w:rsid w:val="00A94247"/>
    <w:rsid w:val="00A947DD"/>
    <w:rsid w:val="00A94D67"/>
    <w:rsid w:val="00A96F13"/>
    <w:rsid w:val="00AA00E5"/>
    <w:rsid w:val="00AA1080"/>
    <w:rsid w:val="00AA16D3"/>
    <w:rsid w:val="00AA18CA"/>
    <w:rsid w:val="00AA1D98"/>
    <w:rsid w:val="00AA3063"/>
    <w:rsid w:val="00AA3BFA"/>
    <w:rsid w:val="00AA4BCE"/>
    <w:rsid w:val="00AA5A0A"/>
    <w:rsid w:val="00AA5E84"/>
    <w:rsid w:val="00AA642C"/>
    <w:rsid w:val="00AA725C"/>
    <w:rsid w:val="00AB02D5"/>
    <w:rsid w:val="00AB18DF"/>
    <w:rsid w:val="00AB3274"/>
    <w:rsid w:val="00AB3E05"/>
    <w:rsid w:val="00AB6831"/>
    <w:rsid w:val="00AB68E1"/>
    <w:rsid w:val="00AB7A0E"/>
    <w:rsid w:val="00AC0409"/>
    <w:rsid w:val="00AC0C60"/>
    <w:rsid w:val="00AC178D"/>
    <w:rsid w:val="00AC1897"/>
    <w:rsid w:val="00AC1A52"/>
    <w:rsid w:val="00AC205D"/>
    <w:rsid w:val="00AC2C43"/>
    <w:rsid w:val="00AC2E63"/>
    <w:rsid w:val="00AC2EA5"/>
    <w:rsid w:val="00AC3A70"/>
    <w:rsid w:val="00AC4404"/>
    <w:rsid w:val="00AC6053"/>
    <w:rsid w:val="00AC63F8"/>
    <w:rsid w:val="00AC7144"/>
    <w:rsid w:val="00AC75AF"/>
    <w:rsid w:val="00AC7AD3"/>
    <w:rsid w:val="00AD00DB"/>
    <w:rsid w:val="00AD340C"/>
    <w:rsid w:val="00AD3849"/>
    <w:rsid w:val="00AD3D18"/>
    <w:rsid w:val="00AD4A61"/>
    <w:rsid w:val="00AD4D41"/>
    <w:rsid w:val="00AD4DD2"/>
    <w:rsid w:val="00AD6114"/>
    <w:rsid w:val="00AD74EC"/>
    <w:rsid w:val="00AE01B3"/>
    <w:rsid w:val="00AE0C96"/>
    <w:rsid w:val="00AE0CFD"/>
    <w:rsid w:val="00AE16D0"/>
    <w:rsid w:val="00AE1978"/>
    <w:rsid w:val="00AE1DA8"/>
    <w:rsid w:val="00AE4A39"/>
    <w:rsid w:val="00AE4D94"/>
    <w:rsid w:val="00AE5612"/>
    <w:rsid w:val="00AE6664"/>
    <w:rsid w:val="00AE6A4B"/>
    <w:rsid w:val="00AE6EED"/>
    <w:rsid w:val="00AE74AC"/>
    <w:rsid w:val="00AE7F1F"/>
    <w:rsid w:val="00AF11E6"/>
    <w:rsid w:val="00AF2614"/>
    <w:rsid w:val="00AF4155"/>
    <w:rsid w:val="00AF78B2"/>
    <w:rsid w:val="00AF7E3E"/>
    <w:rsid w:val="00B005A5"/>
    <w:rsid w:val="00B01853"/>
    <w:rsid w:val="00B0186D"/>
    <w:rsid w:val="00B0228E"/>
    <w:rsid w:val="00B02758"/>
    <w:rsid w:val="00B02B5A"/>
    <w:rsid w:val="00B0302F"/>
    <w:rsid w:val="00B036CF"/>
    <w:rsid w:val="00B03790"/>
    <w:rsid w:val="00B03C45"/>
    <w:rsid w:val="00B03CDC"/>
    <w:rsid w:val="00B04B8A"/>
    <w:rsid w:val="00B04BFB"/>
    <w:rsid w:val="00B104AA"/>
    <w:rsid w:val="00B10972"/>
    <w:rsid w:val="00B11872"/>
    <w:rsid w:val="00B11877"/>
    <w:rsid w:val="00B12CAA"/>
    <w:rsid w:val="00B1360C"/>
    <w:rsid w:val="00B13758"/>
    <w:rsid w:val="00B13979"/>
    <w:rsid w:val="00B15E4F"/>
    <w:rsid w:val="00B2012B"/>
    <w:rsid w:val="00B204EF"/>
    <w:rsid w:val="00B20B29"/>
    <w:rsid w:val="00B20CB9"/>
    <w:rsid w:val="00B20D52"/>
    <w:rsid w:val="00B2167C"/>
    <w:rsid w:val="00B22598"/>
    <w:rsid w:val="00B24691"/>
    <w:rsid w:val="00B246D3"/>
    <w:rsid w:val="00B25171"/>
    <w:rsid w:val="00B25264"/>
    <w:rsid w:val="00B256EC"/>
    <w:rsid w:val="00B262C9"/>
    <w:rsid w:val="00B26A2C"/>
    <w:rsid w:val="00B26BDA"/>
    <w:rsid w:val="00B2753F"/>
    <w:rsid w:val="00B27C83"/>
    <w:rsid w:val="00B30526"/>
    <w:rsid w:val="00B31155"/>
    <w:rsid w:val="00B3125B"/>
    <w:rsid w:val="00B31B0D"/>
    <w:rsid w:val="00B32F9A"/>
    <w:rsid w:val="00B32FCD"/>
    <w:rsid w:val="00B3318C"/>
    <w:rsid w:val="00B34577"/>
    <w:rsid w:val="00B34E07"/>
    <w:rsid w:val="00B34ED0"/>
    <w:rsid w:val="00B35897"/>
    <w:rsid w:val="00B36628"/>
    <w:rsid w:val="00B367EB"/>
    <w:rsid w:val="00B41FF2"/>
    <w:rsid w:val="00B4240C"/>
    <w:rsid w:val="00B4289E"/>
    <w:rsid w:val="00B42E13"/>
    <w:rsid w:val="00B4334F"/>
    <w:rsid w:val="00B43464"/>
    <w:rsid w:val="00B45223"/>
    <w:rsid w:val="00B45C7D"/>
    <w:rsid w:val="00B461F3"/>
    <w:rsid w:val="00B46548"/>
    <w:rsid w:val="00B47DA1"/>
    <w:rsid w:val="00B47EFD"/>
    <w:rsid w:val="00B50065"/>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2FE"/>
    <w:rsid w:val="00B76EAC"/>
    <w:rsid w:val="00B80DF9"/>
    <w:rsid w:val="00B81B80"/>
    <w:rsid w:val="00B81D7F"/>
    <w:rsid w:val="00B81E44"/>
    <w:rsid w:val="00B81ECA"/>
    <w:rsid w:val="00B830E9"/>
    <w:rsid w:val="00B838D7"/>
    <w:rsid w:val="00B83DCC"/>
    <w:rsid w:val="00B83F53"/>
    <w:rsid w:val="00B848C2"/>
    <w:rsid w:val="00B84E2E"/>
    <w:rsid w:val="00B85358"/>
    <w:rsid w:val="00B85ABC"/>
    <w:rsid w:val="00B86A3E"/>
    <w:rsid w:val="00B87299"/>
    <w:rsid w:val="00B87B51"/>
    <w:rsid w:val="00B903B2"/>
    <w:rsid w:val="00B9113C"/>
    <w:rsid w:val="00B91DE8"/>
    <w:rsid w:val="00B92CD2"/>
    <w:rsid w:val="00B93ECE"/>
    <w:rsid w:val="00B94367"/>
    <w:rsid w:val="00B94B9D"/>
    <w:rsid w:val="00B96111"/>
    <w:rsid w:val="00B96411"/>
    <w:rsid w:val="00B975ED"/>
    <w:rsid w:val="00B979E2"/>
    <w:rsid w:val="00B97D1F"/>
    <w:rsid w:val="00B97E9D"/>
    <w:rsid w:val="00BA1085"/>
    <w:rsid w:val="00BA1740"/>
    <w:rsid w:val="00BA193A"/>
    <w:rsid w:val="00BA25DB"/>
    <w:rsid w:val="00BA38E0"/>
    <w:rsid w:val="00BA4649"/>
    <w:rsid w:val="00BA51C2"/>
    <w:rsid w:val="00BA619F"/>
    <w:rsid w:val="00BA7D43"/>
    <w:rsid w:val="00BB02EB"/>
    <w:rsid w:val="00BB08FA"/>
    <w:rsid w:val="00BB0940"/>
    <w:rsid w:val="00BB0A6C"/>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254"/>
    <w:rsid w:val="00BC4501"/>
    <w:rsid w:val="00BC4B27"/>
    <w:rsid w:val="00BC4BC8"/>
    <w:rsid w:val="00BC5C23"/>
    <w:rsid w:val="00BC71FD"/>
    <w:rsid w:val="00BD04F3"/>
    <w:rsid w:val="00BD15BE"/>
    <w:rsid w:val="00BD23DC"/>
    <w:rsid w:val="00BD2E19"/>
    <w:rsid w:val="00BD3BF3"/>
    <w:rsid w:val="00BD44D4"/>
    <w:rsid w:val="00BD5316"/>
    <w:rsid w:val="00BD6613"/>
    <w:rsid w:val="00BD6745"/>
    <w:rsid w:val="00BD7A29"/>
    <w:rsid w:val="00BE073C"/>
    <w:rsid w:val="00BE1373"/>
    <w:rsid w:val="00BE1F49"/>
    <w:rsid w:val="00BE32FA"/>
    <w:rsid w:val="00BE41BE"/>
    <w:rsid w:val="00BE4EBB"/>
    <w:rsid w:val="00BE510C"/>
    <w:rsid w:val="00BE6F8C"/>
    <w:rsid w:val="00BE735F"/>
    <w:rsid w:val="00BE74B5"/>
    <w:rsid w:val="00BF0B0F"/>
    <w:rsid w:val="00BF150A"/>
    <w:rsid w:val="00BF2661"/>
    <w:rsid w:val="00BF30A5"/>
    <w:rsid w:val="00BF3210"/>
    <w:rsid w:val="00BF3B09"/>
    <w:rsid w:val="00BF42DD"/>
    <w:rsid w:val="00BF449C"/>
    <w:rsid w:val="00BF4A06"/>
    <w:rsid w:val="00BF4B27"/>
    <w:rsid w:val="00BF6721"/>
    <w:rsid w:val="00C02DA8"/>
    <w:rsid w:val="00C03270"/>
    <w:rsid w:val="00C03937"/>
    <w:rsid w:val="00C03D8E"/>
    <w:rsid w:val="00C044EA"/>
    <w:rsid w:val="00C048FB"/>
    <w:rsid w:val="00C04CFA"/>
    <w:rsid w:val="00C05F28"/>
    <w:rsid w:val="00C074A8"/>
    <w:rsid w:val="00C076EF"/>
    <w:rsid w:val="00C1262A"/>
    <w:rsid w:val="00C12688"/>
    <w:rsid w:val="00C127C5"/>
    <w:rsid w:val="00C1444A"/>
    <w:rsid w:val="00C144BA"/>
    <w:rsid w:val="00C15E59"/>
    <w:rsid w:val="00C15E84"/>
    <w:rsid w:val="00C166F1"/>
    <w:rsid w:val="00C16C84"/>
    <w:rsid w:val="00C17537"/>
    <w:rsid w:val="00C20D1A"/>
    <w:rsid w:val="00C21DB4"/>
    <w:rsid w:val="00C224CD"/>
    <w:rsid w:val="00C25539"/>
    <w:rsid w:val="00C25B4A"/>
    <w:rsid w:val="00C25C2B"/>
    <w:rsid w:val="00C2744F"/>
    <w:rsid w:val="00C2764C"/>
    <w:rsid w:val="00C31307"/>
    <w:rsid w:val="00C33D5F"/>
    <w:rsid w:val="00C34648"/>
    <w:rsid w:val="00C34717"/>
    <w:rsid w:val="00C34D95"/>
    <w:rsid w:val="00C34F84"/>
    <w:rsid w:val="00C357EB"/>
    <w:rsid w:val="00C359C0"/>
    <w:rsid w:val="00C363FF"/>
    <w:rsid w:val="00C37015"/>
    <w:rsid w:val="00C37B62"/>
    <w:rsid w:val="00C40072"/>
    <w:rsid w:val="00C408BD"/>
    <w:rsid w:val="00C40CA2"/>
    <w:rsid w:val="00C4213E"/>
    <w:rsid w:val="00C434BB"/>
    <w:rsid w:val="00C438D5"/>
    <w:rsid w:val="00C45741"/>
    <w:rsid w:val="00C4699F"/>
    <w:rsid w:val="00C4711A"/>
    <w:rsid w:val="00C472A3"/>
    <w:rsid w:val="00C5096B"/>
    <w:rsid w:val="00C50C4A"/>
    <w:rsid w:val="00C524B1"/>
    <w:rsid w:val="00C53D6E"/>
    <w:rsid w:val="00C544EF"/>
    <w:rsid w:val="00C54D1B"/>
    <w:rsid w:val="00C56B9D"/>
    <w:rsid w:val="00C56D79"/>
    <w:rsid w:val="00C60706"/>
    <w:rsid w:val="00C61A1B"/>
    <w:rsid w:val="00C6464D"/>
    <w:rsid w:val="00C64F51"/>
    <w:rsid w:val="00C64FE6"/>
    <w:rsid w:val="00C66FED"/>
    <w:rsid w:val="00C67BE9"/>
    <w:rsid w:val="00C70E74"/>
    <w:rsid w:val="00C71217"/>
    <w:rsid w:val="00C72672"/>
    <w:rsid w:val="00C72DBC"/>
    <w:rsid w:val="00C74041"/>
    <w:rsid w:val="00C75F5C"/>
    <w:rsid w:val="00C769D2"/>
    <w:rsid w:val="00C76B39"/>
    <w:rsid w:val="00C76F57"/>
    <w:rsid w:val="00C77891"/>
    <w:rsid w:val="00C8081E"/>
    <w:rsid w:val="00C8194B"/>
    <w:rsid w:val="00C8249C"/>
    <w:rsid w:val="00C82B35"/>
    <w:rsid w:val="00C831A1"/>
    <w:rsid w:val="00C84ACF"/>
    <w:rsid w:val="00C8510F"/>
    <w:rsid w:val="00C856C4"/>
    <w:rsid w:val="00C8634C"/>
    <w:rsid w:val="00C86B88"/>
    <w:rsid w:val="00C86F92"/>
    <w:rsid w:val="00C87FD1"/>
    <w:rsid w:val="00C90072"/>
    <w:rsid w:val="00C909E8"/>
    <w:rsid w:val="00C91B57"/>
    <w:rsid w:val="00C92EEA"/>
    <w:rsid w:val="00C9533B"/>
    <w:rsid w:val="00C95A92"/>
    <w:rsid w:val="00CA14A2"/>
    <w:rsid w:val="00CA5311"/>
    <w:rsid w:val="00CA5654"/>
    <w:rsid w:val="00CA597B"/>
    <w:rsid w:val="00CA6E89"/>
    <w:rsid w:val="00CB0748"/>
    <w:rsid w:val="00CB18BD"/>
    <w:rsid w:val="00CB1B09"/>
    <w:rsid w:val="00CB232C"/>
    <w:rsid w:val="00CB26DB"/>
    <w:rsid w:val="00CB2D79"/>
    <w:rsid w:val="00CB2E90"/>
    <w:rsid w:val="00CB31D0"/>
    <w:rsid w:val="00CB3AE6"/>
    <w:rsid w:val="00CB4405"/>
    <w:rsid w:val="00CB4EF4"/>
    <w:rsid w:val="00CB51F6"/>
    <w:rsid w:val="00CB5BD0"/>
    <w:rsid w:val="00CB63F6"/>
    <w:rsid w:val="00CB6CF9"/>
    <w:rsid w:val="00CC042F"/>
    <w:rsid w:val="00CC0CB4"/>
    <w:rsid w:val="00CC11D6"/>
    <w:rsid w:val="00CC1A2E"/>
    <w:rsid w:val="00CC237A"/>
    <w:rsid w:val="00CC5447"/>
    <w:rsid w:val="00CC5D7B"/>
    <w:rsid w:val="00CC6247"/>
    <w:rsid w:val="00CD2332"/>
    <w:rsid w:val="00CD2668"/>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70DB"/>
    <w:rsid w:val="00CE7D62"/>
    <w:rsid w:val="00CE7FEB"/>
    <w:rsid w:val="00CF001E"/>
    <w:rsid w:val="00CF3031"/>
    <w:rsid w:val="00CF363A"/>
    <w:rsid w:val="00CF50D5"/>
    <w:rsid w:val="00CF5C9B"/>
    <w:rsid w:val="00CF5CAA"/>
    <w:rsid w:val="00CF6662"/>
    <w:rsid w:val="00D0010D"/>
    <w:rsid w:val="00D01058"/>
    <w:rsid w:val="00D01136"/>
    <w:rsid w:val="00D02DEF"/>
    <w:rsid w:val="00D03474"/>
    <w:rsid w:val="00D03476"/>
    <w:rsid w:val="00D03645"/>
    <w:rsid w:val="00D03C0F"/>
    <w:rsid w:val="00D04372"/>
    <w:rsid w:val="00D04C9A"/>
    <w:rsid w:val="00D04FB0"/>
    <w:rsid w:val="00D04FD4"/>
    <w:rsid w:val="00D06998"/>
    <w:rsid w:val="00D06B71"/>
    <w:rsid w:val="00D06DC1"/>
    <w:rsid w:val="00D0741A"/>
    <w:rsid w:val="00D07F63"/>
    <w:rsid w:val="00D105D9"/>
    <w:rsid w:val="00D11197"/>
    <w:rsid w:val="00D11FB0"/>
    <w:rsid w:val="00D129B0"/>
    <w:rsid w:val="00D1422B"/>
    <w:rsid w:val="00D163CD"/>
    <w:rsid w:val="00D16736"/>
    <w:rsid w:val="00D1756F"/>
    <w:rsid w:val="00D17950"/>
    <w:rsid w:val="00D20BC2"/>
    <w:rsid w:val="00D2100C"/>
    <w:rsid w:val="00D21893"/>
    <w:rsid w:val="00D22054"/>
    <w:rsid w:val="00D230E9"/>
    <w:rsid w:val="00D23183"/>
    <w:rsid w:val="00D233EA"/>
    <w:rsid w:val="00D23A71"/>
    <w:rsid w:val="00D23DB6"/>
    <w:rsid w:val="00D242FC"/>
    <w:rsid w:val="00D24F90"/>
    <w:rsid w:val="00D262D9"/>
    <w:rsid w:val="00D26400"/>
    <w:rsid w:val="00D264F9"/>
    <w:rsid w:val="00D26E9A"/>
    <w:rsid w:val="00D270C3"/>
    <w:rsid w:val="00D27651"/>
    <w:rsid w:val="00D305E8"/>
    <w:rsid w:val="00D31768"/>
    <w:rsid w:val="00D330DB"/>
    <w:rsid w:val="00D33C2D"/>
    <w:rsid w:val="00D344FD"/>
    <w:rsid w:val="00D35E6A"/>
    <w:rsid w:val="00D361F7"/>
    <w:rsid w:val="00D36681"/>
    <w:rsid w:val="00D367A3"/>
    <w:rsid w:val="00D36F7E"/>
    <w:rsid w:val="00D379C7"/>
    <w:rsid w:val="00D37A4D"/>
    <w:rsid w:val="00D37BDA"/>
    <w:rsid w:val="00D41D8D"/>
    <w:rsid w:val="00D42370"/>
    <w:rsid w:val="00D42755"/>
    <w:rsid w:val="00D43711"/>
    <w:rsid w:val="00D46FE0"/>
    <w:rsid w:val="00D50FB1"/>
    <w:rsid w:val="00D51C08"/>
    <w:rsid w:val="00D51F3E"/>
    <w:rsid w:val="00D53E3F"/>
    <w:rsid w:val="00D55644"/>
    <w:rsid w:val="00D55D74"/>
    <w:rsid w:val="00D568D6"/>
    <w:rsid w:val="00D6016F"/>
    <w:rsid w:val="00D613B2"/>
    <w:rsid w:val="00D61D4F"/>
    <w:rsid w:val="00D62526"/>
    <w:rsid w:val="00D62CEA"/>
    <w:rsid w:val="00D6587C"/>
    <w:rsid w:val="00D65B3B"/>
    <w:rsid w:val="00D66284"/>
    <w:rsid w:val="00D6655A"/>
    <w:rsid w:val="00D66E7E"/>
    <w:rsid w:val="00D70734"/>
    <w:rsid w:val="00D73BEF"/>
    <w:rsid w:val="00D75375"/>
    <w:rsid w:val="00D75DD7"/>
    <w:rsid w:val="00D75F4C"/>
    <w:rsid w:val="00D764E4"/>
    <w:rsid w:val="00D76D45"/>
    <w:rsid w:val="00D7704E"/>
    <w:rsid w:val="00D80DD2"/>
    <w:rsid w:val="00D8461E"/>
    <w:rsid w:val="00D848AF"/>
    <w:rsid w:val="00D84D41"/>
    <w:rsid w:val="00D8584C"/>
    <w:rsid w:val="00D85867"/>
    <w:rsid w:val="00D879F2"/>
    <w:rsid w:val="00D90438"/>
    <w:rsid w:val="00D90F7C"/>
    <w:rsid w:val="00D91BBB"/>
    <w:rsid w:val="00D930EE"/>
    <w:rsid w:val="00D93BBB"/>
    <w:rsid w:val="00D9483F"/>
    <w:rsid w:val="00D957E5"/>
    <w:rsid w:val="00D9612C"/>
    <w:rsid w:val="00D963A4"/>
    <w:rsid w:val="00D96B41"/>
    <w:rsid w:val="00DA02CE"/>
    <w:rsid w:val="00DA0A9B"/>
    <w:rsid w:val="00DA0DFD"/>
    <w:rsid w:val="00DA1F4C"/>
    <w:rsid w:val="00DA26D1"/>
    <w:rsid w:val="00DA4697"/>
    <w:rsid w:val="00DA7EC9"/>
    <w:rsid w:val="00DB18FC"/>
    <w:rsid w:val="00DB1DFA"/>
    <w:rsid w:val="00DB240D"/>
    <w:rsid w:val="00DB2769"/>
    <w:rsid w:val="00DB3180"/>
    <w:rsid w:val="00DB4762"/>
    <w:rsid w:val="00DB51D0"/>
    <w:rsid w:val="00DB5C1A"/>
    <w:rsid w:val="00DB630A"/>
    <w:rsid w:val="00DB6473"/>
    <w:rsid w:val="00DC1FC6"/>
    <w:rsid w:val="00DC3ED2"/>
    <w:rsid w:val="00DC4AE1"/>
    <w:rsid w:val="00DC585C"/>
    <w:rsid w:val="00DC5939"/>
    <w:rsid w:val="00DC6B38"/>
    <w:rsid w:val="00DC7182"/>
    <w:rsid w:val="00DC767D"/>
    <w:rsid w:val="00DC7A15"/>
    <w:rsid w:val="00DD0CDD"/>
    <w:rsid w:val="00DD1B5D"/>
    <w:rsid w:val="00DD26EA"/>
    <w:rsid w:val="00DD2A54"/>
    <w:rsid w:val="00DD2DE3"/>
    <w:rsid w:val="00DD2FC8"/>
    <w:rsid w:val="00DD35BB"/>
    <w:rsid w:val="00DD5EDD"/>
    <w:rsid w:val="00DD6B34"/>
    <w:rsid w:val="00DD7198"/>
    <w:rsid w:val="00DE1598"/>
    <w:rsid w:val="00DE35B0"/>
    <w:rsid w:val="00DE3B48"/>
    <w:rsid w:val="00DE766D"/>
    <w:rsid w:val="00DF06D5"/>
    <w:rsid w:val="00DF06E1"/>
    <w:rsid w:val="00DF0FF1"/>
    <w:rsid w:val="00DF1557"/>
    <w:rsid w:val="00DF253B"/>
    <w:rsid w:val="00DF414D"/>
    <w:rsid w:val="00DF4505"/>
    <w:rsid w:val="00DF49C5"/>
    <w:rsid w:val="00DF5347"/>
    <w:rsid w:val="00DF5B2A"/>
    <w:rsid w:val="00DF6B72"/>
    <w:rsid w:val="00DF7223"/>
    <w:rsid w:val="00DF749E"/>
    <w:rsid w:val="00DF7523"/>
    <w:rsid w:val="00DF7988"/>
    <w:rsid w:val="00E0112E"/>
    <w:rsid w:val="00E01CEC"/>
    <w:rsid w:val="00E02056"/>
    <w:rsid w:val="00E036A6"/>
    <w:rsid w:val="00E037D5"/>
    <w:rsid w:val="00E0458D"/>
    <w:rsid w:val="00E046DC"/>
    <w:rsid w:val="00E05CCE"/>
    <w:rsid w:val="00E05F80"/>
    <w:rsid w:val="00E071D6"/>
    <w:rsid w:val="00E07564"/>
    <w:rsid w:val="00E07EB9"/>
    <w:rsid w:val="00E10A87"/>
    <w:rsid w:val="00E114BC"/>
    <w:rsid w:val="00E11D50"/>
    <w:rsid w:val="00E13310"/>
    <w:rsid w:val="00E13609"/>
    <w:rsid w:val="00E138AE"/>
    <w:rsid w:val="00E14B3C"/>
    <w:rsid w:val="00E16067"/>
    <w:rsid w:val="00E20560"/>
    <w:rsid w:val="00E212E3"/>
    <w:rsid w:val="00E21EB3"/>
    <w:rsid w:val="00E22505"/>
    <w:rsid w:val="00E227F4"/>
    <w:rsid w:val="00E2297E"/>
    <w:rsid w:val="00E23903"/>
    <w:rsid w:val="00E2465F"/>
    <w:rsid w:val="00E2575E"/>
    <w:rsid w:val="00E25E0D"/>
    <w:rsid w:val="00E2723D"/>
    <w:rsid w:val="00E27DAA"/>
    <w:rsid w:val="00E27FDC"/>
    <w:rsid w:val="00E303C9"/>
    <w:rsid w:val="00E30627"/>
    <w:rsid w:val="00E30E7D"/>
    <w:rsid w:val="00E31BA9"/>
    <w:rsid w:val="00E332F8"/>
    <w:rsid w:val="00E33659"/>
    <w:rsid w:val="00E403F9"/>
    <w:rsid w:val="00E40872"/>
    <w:rsid w:val="00E40BC4"/>
    <w:rsid w:val="00E41594"/>
    <w:rsid w:val="00E41B5C"/>
    <w:rsid w:val="00E4296F"/>
    <w:rsid w:val="00E44D88"/>
    <w:rsid w:val="00E46034"/>
    <w:rsid w:val="00E46A08"/>
    <w:rsid w:val="00E47547"/>
    <w:rsid w:val="00E47BE1"/>
    <w:rsid w:val="00E518FB"/>
    <w:rsid w:val="00E51911"/>
    <w:rsid w:val="00E56FE8"/>
    <w:rsid w:val="00E57388"/>
    <w:rsid w:val="00E57C5E"/>
    <w:rsid w:val="00E57FE6"/>
    <w:rsid w:val="00E6057C"/>
    <w:rsid w:val="00E607A7"/>
    <w:rsid w:val="00E60C5E"/>
    <w:rsid w:val="00E612B4"/>
    <w:rsid w:val="00E637C3"/>
    <w:rsid w:val="00E63BD1"/>
    <w:rsid w:val="00E63F36"/>
    <w:rsid w:val="00E6435C"/>
    <w:rsid w:val="00E6467D"/>
    <w:rsid w:val="00E6581A"/>
    <w:rsid w:val="00E65AC4"/>
    <w:rsid w:val="00E66BCF"/>
    <w:rsid w:val="00E71342"/>
    <w:rsid w:val="00E71C55"/>
    <w:rsid w:val="00E7277A"/>
    <w:rsid w:val="00E728E4"/>
    <w:rsid w:val="00E74627"/>
    <w:rsid w:val="00E7538A"/>
    <w:rsid w:val="00E755BA"/>
    <w:rsid w:val="00E761F2"/>
    <w:rsid w:val="00E77471"/>
    <w:rsid w:val="00E777FC"/>
    <w:rsid w:val="00E77878"/>
    <w:rsid w:val="00E82651"/>
    <w:rsid w:val="00E838CB"/>
    <w:rsid w:val="00E83B54"/>
    <w:rsid w:val="00E83DB2"/>
    <w:rsid w:val="00E840FB"/>
    <w:rsid w:val="00E8555A"/>
    <w:rsid w:val="00E85DAF"/>
    <w:rsid w:val="00E86A39"/>
    <w:rsid w:val="00E8703F"/>
    <w:rsid w:val="00E87864"/>
    <w:rsid w:val="00E87AEE"/>
    <w:rsid w:val="00E90EE7"/>
    <w:rsid w:val="00E90F5E"/>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6401"/>
    <w:rsid w:val="00EA68DB"/>
    <w:rsid w:val="00EA6B0B"/>
    <w:rsid w:val="00EA7277"/>
    <w:rsid w:val="00EA7FFB"/>
    <w:rsid w:val="00EB0764"/>
    <w:rsid w:val="00EB1322"/>
    <w:rsid w:val="00EB1A62"/>
    <w:rsid w:val="00EB4FC8"/>
    <w:rsid w:val="00EB538F"/>
    <w:rsid w:val="00EB56E0"/>
    <w:rsid w:val="00EB7672"/>
    <w:rsid w:val="00EB7A4C"/>
    <w:rsid w:val="00EC0DD8"/>
    <w:rsid w:val="00EC1729"/>
    <w:rsid w:val="00EC2A66"/>
    <w:rsid w:val="00EC3672"/>
    <w:rsid w:val="00EC44FF"/>
    <w:rsid w:val="00ED0960"/>
    <w:rsid w:val="00ED3632"/>
    <w:rsid w:val="00ED3782"/>
    <w:rsid w:val="00ED3C0A"/>
    <w:rsid w:val="00ED4099"/>
    <w:rsid w:val="00ED56C1"/>
    <w:rsid w:val="00ED6961"/>
    <w:rsid w:val="00ED7CED"/>
    <w:rsid w:val="00ED7D80"/>
    <w:rsid w:val="00EE0300"/>
    <w:rsid w:val="00EE08BA"/>
    <w:rsid w:val="00EE1F49"/>
    <w:rsid w:val="00EE1F87"/>
    <w:rsid w:val="00EE3720"/>
    <w:rsid w:val="00EE3F92"/>
    <w:rsid w:val="00EE4E4F"/>
    <w:rsid w:val="00EE68DF"/>
    <w:rsid w:val="00EE7634"/>
    <w:rsid w:val="00EF08C2"/>
    <w:rsid w:val="00EF1AA0"/>
    <w:rsid w:val="00EF271D"/>
    <w:rsid w:val="00EF405A"/>
    <w:rsid w:val="00EF4228"/>
    <w:rsid w:val="00EF473E"/>
    <w:rsid w:val="00EF4DC8"/>
    <w:rsid w:val="00EF59D7"/>
    <w:rsid w:val="00EF659E"/>
    <w:rsid w:val="00EF6A13"/>
    <w:rsid w:val="00F01751"/>
    <w:rsid w:val="00F02CF2"/>
    <w:rsid w:val="00F0385A"/>
    <w:rsid w:val="00F04ADF"/>
    <w:rsid w:val="00F078C6"/>
    <w:rsid w:val="00F1070F"/>
    <w:rsid w:val="00F13BB5"/>
    <w:rsid w:val="00F14992"/>
    <w:rsid w:val="00F16434"/>
    <w:rsid w:val="00F16A50"/>
    <w:rsid w:val="00F21456"/>
    <w:rsid w:val="00F21D20"/>
    <w:rsid w:val="00F22674"/>
    <w:rsid w:val="00F22B78"/>
    <w:rsid w:val="00F24269"/>
    <w:rsid w:val="00F244F9"/>
    <w:rsid w:val="00F25220"/>
    <w:rsid w:val="00F25309"/>
    <w:rsid w:val="00F25320"/>
    <w:rsid w:val="00F26191"/>
    <w:rsid w:val="00F26726"/>
    <w:rsid w:val="00F26FA6"/>
    <w:rsid w:val="00F2789B"/>
    <w:rsid w:val="00F27FAB"/>
    <w:rsid w:val="00F304CF"/>
    <w:rsid w:val="00F306D7"/>
    <w:rsid w:val="00F308B7"/>
    <w:rsid w:val="00F31501"/>
    <w:rsid w:val="00F3188A"/>
    <w:rsid w:val="00F31BE1"/>
    <w:rsid w:val="00F31CAB"/>
    <w:rsid w:val="00F31EA9"/>
    <w:rsid w:val="00F31ECE"/>
    <w:rsid w:val="00F31FF7"/>
    <w:rsid w:val="00F326E6"/>
    <w:rsid w:val="00F32A46"/>
    <w:rsid w:val="00F32CCE"/>
    <w:rsid w:val="00F349A1"/>
    <w:rsid w:val="00F37170"/>
    <w:rsid w:val="00F3783E"/>
    <w:rsid w:val="00F416A4"/>
    <w:rsid w:val="00F418AC"/>
    <w:rsid w:val="00F43040"/>
    <w:rsid w:val="00F436A2"/>
    <w:rsid w:val="00F44520"/>
    <w:rsid w:val="00F44E00"/>
    <w:rsid w:val="00F44EC3"/>
    <w:rsid w:val="00F459DC"/>
    <w:rsid w:val="00F46AFA"/>
    <w:rsid w:val="00F46B72"/>
    <w:rsid w:val="00F46DD6"/>
    <w:rsid w:val="00F473AB"/>
    <w:rsid w:val="00F474AB"/>
    <w:rsid w:val="00F476F6"/>
    <w:rsid w:val="00F47A28"/>
    <w:rsid w:val="00F5050C"/>
    <w:rsid w:val="00F5134E"/>
    <w:rsid w:val="00F528DD"/>
    <w:rsid w:val="00F52A18"/>
    <w:rsid w:val="00F52C68"/>
    <w:rsid w:val="00F53CC6"/>
    <w:rsid w:val="00F564CD"/>
    <w:rsid w:val="00F57BB0"/>
    <w:rsid w:val="00F61702"/>
    <w:rsid w:val="00F62E71"/>
    <w:rsid w:val="00F6306C"/>
    <w:rsid w:val="00F630C8"/>
    <w:rsid w:val="00F64372"/>
    <w:rsid w:val="00F64C12"/>
    <w:rsid w:val="00F6552D"/>
    <w:rsid w:val="00F6573B"/>
    <w:rsid w:val="00F667F5"/>
    <w:rsid w:val="00F66C1D"/>
    <w:rsid w:val="00F67278"/>
    <w:rsid w:val="00F67524"/>
    <w:rsid w:val="00F67ABE"/>
    <w:rsid w:val="00F710E9"/>
    <w:rsid w:val="00F733F0"/>
    <w:rsid w:val="00F75E36"/>
    <w:rsid w:val="00F75F28"/>
    <w:rsid w:val="00F76A72"/>
    <w:rsid w:val="00F77340"/>
    <w:rsid w:val="00F8042D"/>
    <w:rsid w:val="00F85256"/>
    <w:rsid w:val="00F8751C"/>
    <w:rsid w:val="00F87572"/>
    <w:rsid w:val="00F87CA2"/>
    <w:rsid w:val="00F87FF7"/>
    <w:rsid w:val="00F911A7"/>
    <w:rsid w:val="00F91976"/>
    <w:rsid w:val="00F91D51"/>
    <w:rsid w:val="00F92C8D"/>
    <w:rsid w:val="00F92D86"/>
    <w:rsid w:val="00F931AD"/>
    <w:rsid w:val="00F95FE5"/>
    <w:rsid w:val="00F9641E"/>
    <w:rsid w:val="00F96E61"/>
    <w:rsid w:val="00F9741A"/>
    <w:rsid w:val="00FA1393"/>
    <w:rsid w:val="00FA18B4"/>
    <w:rsid w:val="00FA1F53"/>
    <w:rsid w:val="00FA2095"/>
    <w:rsid w:val="00FA244D"/>
    <w:rsid w:val="00FA7224"/>
    <w:rsid w:val="00FB1215"/>
    <w:rsid w:val="00FB2935"/>
    <w:rsid w:val="00FB3D8E"/>
    <w:rsid w:val="00FB4CB0"/>
    <w:rsid w:val="00FB608E"/>
    <w:rsid w:val="00FB6392"/>
    <w:rsid w:val="00FB6B49"/>
    <w:rsid w:val="00FB6F34"/>
    <w:rsid w:val="00FC0A59"/>
    <w:rsid w:val="00FC149A"/>
    <w:rsid w:val="00FC1A96"/>
    <w:rsid w:val="00FC3953"/>
    <w:rsid w:val="00FC39BA"/>
    <w:rsid w:val="00FC3DAC"/>
    <w:rsid w:val="00FC5864"/>
    <w:rsid w:val="00FD1428"/>
    <w:rsid w:val="00FD20C5"/>
    <w:rsid w:val="00FD2761"/>
    <w:rsid w:val="00FD2AA0"/>
    <w:rsid w:val="00FD37B5"/>
    <w:rsid w:val="00FD4568"/>
    <w:rsid w:val="00FD5B5E"/>
    <w:rsid w:val="00FD613E"/>
    <w:rsid w:val="00FD6F4D"/>
    <w:rsid w:val="00FD728F"/>
    <w:rsid w:val="00FE0559"/>
    <w:rsid w:val="00FE05A0"/>
    <w:rsid w:val="00FE12FC"/>
    <w:rsid w:val="00FE1F37"/>
    <w:rsid w:val="00FE3884"/>
    <w:rsid w:val="00FE3FCF"/>
    <w:rsid w:val="00FE7494"/>
    <w:rsid w:val="00FF025A"/>
    <w:rsid w:val="00FF2B59"/>
    <w:rsid w:val="00FF2C7E"/>
    <w:rsid w:val="00FF2E19"/>
    <w:rsid w:val="00FF568F"/>
    <w:rsid w:val="00FF7091"/>
    <w:rsid w:val="00FF756F"/>
    <w:rsid w:val="525D5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6"/>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8"/>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59"/>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0"/>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1"/>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2"/>
    <w:semiHidden/>
    <w:unhideWhenUsed/>
    <w:qFormat/>
    <w:uiPriority w:val="9"/>
    <w:pPr>
      <w:numPr>
        <w:ilvl w:val="6"/>
        <w:numId w:val="1"/>
      </w:numPr>
      <w:spacing w:before="240" w:after="60"/>
      <w:outlineLvl w:val="6"/>
    </w:pPr>
  </w:style>
  <w:style w:type="paragraph" w:styleId="9">
    <w:name w:val="heading 8"/>
    <w:basedOn w:val="1"/>
    <w:next w:val="1"/>
    <w:link w:val="63"/>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4"/>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8"/>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0"/>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2"/>
    <w:unhideWhenUsed/>
    <w:qFormat/>
    <w:uiPriority w:val="0"/>
    <w:rPr>
      <w:rFonts w:ascii="宋体" w:hAnsi="Courier New" w:eastAsia="宋体" w:cs="Courier New"/>
      <w:sz w:val="21"/>
      <w:szCs w:val="21"/>
    </w:rPr>
  </w:style>
  <w:style w:type="paragraph" w:styleId="15">
    <w:name w:val="Date"/>
    <w:basedOn w:val="1"/>
    <w:next w:val="1"/>
    <w:link w:val="53"/>
    <w:semiHidden/>
    <w:unhideWhenUsed/>
    <w:qFormat/>
    <w:uiPriority w:val="99"/>
    <w:pPr>
      <w:ind w:left="100" w:leftChars="2500"/>
    </w:pPr>
  </w:style>
  <w:style w:type="paragraph" w:styleId="16">
    <w:name w:val="Balloon Text"/>
    <w:basedOn w:val="1"/>
    <w:link w:val="79"/>
    <w:semiHidden/>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spacing w:line="240" w:lineRule="atLeast"/>
    </w:pPr>
    <w:rPr>
      <w:sz w:val="18"/>
      <w:szCs w:val="18"/>
    </w:rPr>
  </w:style>
  <w:style w:type="paragraph" w:styleId="18">
    <w:name w:val="header"/>
    <w:basedOn w:val="1"/>
    <w:link w:val="54"/>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9">
    <w:name w:val="toc 1"/>
    <w:basedOn w:val="1"/>
    <w:next w:val="1"/>
    <w:autoRedefine/>
    <w:unhideWhenUsed/>
    <w:qFormat/>
    <w:uiPriority w:val="39"/>
    <w:pPr>
      <w:tabs>
        <w:tab w:val="right" w:leader="dot" w:pos="9060"/>
      </w:tabs>
      <w:spacing w:before="460" w:beforeLines="100" w:after="460" w:afterLines="100"/>
    </w:pPr>
    <w:rPr>
      <w:rFonts w:asciiTheme="majorEastAsia" w:hAnsiTheme="majorEastAsia" w:eastAsiaTheme="majorEastAsia"/>
      <w:bCs/>
      <w:kern w:val="36"/>
      <w:sz w:val="32"/>
    </w:rPr>
  </w:style>
  <w:style w:type="paragraph" w:styleId="20">
    <w:name w:val="Subtitle"/>
    <w:basedOn w:val="1"/>
    <w:next w:val="1"/>
    <w:link w:val="66"/>
    <w:qFormat/>
    <w:uiPriority w:val="11"/>
    <w:pPr>
      <w:keepNext/>
      <w:spacing w:before="50" w:beforeLines="50" w:after="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65"/>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7"/>
    <w:semiHidden/>
    <w:unhideWhenUsed/>
    <w:qFormat/>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14:textFill>
        <w14:solidFill>
          <w14:schemeClr w14:val="hlink"/>
        </w14:solidFill>
      </w14:textFill>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20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0"/>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日期 Char"/>
    <w:basedOn w:val="26"/>
    <w:link w:val="15"/>
    <w:semiHidden/>
    <w:qFormat/>
    <w:uiPriority w:val="99"/>
    <w:rPr>
      <w:rFonts w:ascii="华文仿宋" w:hAnsi="华文仿宋" w:eastAsia="华文仿宋"/>
      <w:sz w:val="28"/>
      <w:szCs w:val="28"/>
    </w:rPr>
  </w:style>
  <w:style w:type="character" w:customStyle="1" w:styleId="54">
    <w:name w:val="页眉 Char"/>
    <w:basedOn w:val="26"/>
    <w:link w:val="18"/>
    <w:qFormat/>
    <w:uiPriority w:val="0"/>
    <w:rPr>
      <w:rFonts w:ascii="华文仿宋" w:hAnsi="华文仿宋" w:eastAsia="华文仿宋"/>
      <w:sz w:val="18"/>
      <w:szCs w:val="18"/>
    </w:rPr>
  </w:style>
  <w:style w:type="character" w:customStyle="1" w:styleId="55">
    <w:name w:val="页脚 Char"/>
    <w:basedOn w:val="26"/>
    <w:link w:val="17"/>
    <w:qFormat/>
    <w:uiPriority w:val="99"/>
    <w:rPr>
      <w:rFonts w:ascii="华文仿宋" w:hAnsi="华文仿宋" w:eastAsia="华文仿宋"/>
      <w:sz w:val="18"/>
      <w:szCs w:val="18"/>
    </w:rPr>
  </w:style>
  <w:style w:type="character" w:customStyle="1" w:styleId="56">
    <w:name w:val="标题 1 Char"/>
    <w:basedOn w:val="26"/>
    <w:link w:val="2"/>
    <w:qFormat/>
    <w:uiPriority w:val="9"/>
    <w:rPr>
      <w:rFonts w:ascii="Calibri" w:hAnsi="Calibri" w:eastAsia="黑体"/>
      <w:bCs/>
      <w:kern w:val="36"/>
      <w:sz w:val="32"/>
      <w:szCs w:val="32"/>
    </w:rPr>
  </w:style>
  <w:style w:type="character" w:customStyle="1" w:styleId="57">
    <w:name w:val="标题 2 Char"/>
    <w:basedOn w:val="26"/>
    <w:link w:val="3"/>
    <w:qFormat/>
    <w:uiPriority w:val="9"/>
    <w:rPr>
      <w:rFonts w:ascii="Calibri" w:hAnsi="Calibri" w:eastAsia="黑体" w:cstheme="majorBidi"/>
      <w:bCs/>
      <w:iCs/>
      <w:kern w:val="32"/>
      <w:sz w:val="28"/>
      <w:szCs w:val="28"/>
    </w:rPr>
  </w:style>
  <w:style w:type="character" w:customStyle="1" w:styleId="58">
    <w:name w:val="标题 3 Char"/>
    <w:basedOn w:val="26"/>
    <w:link w:val="4"/>
    <w:qFormat/>
    <w:uiPriority w:val="9"/>
    <w:rPr>
      <w:rFonts w:ascii="Calibri Light" w:hAnsi="Calibri Light" w:eastAsia="宋体"/>
      <w:b/>
      <w:bCs/>
      <w:kern w:val="30"/>
      <w:sz w:val="24"/>
      <w:szCs w:val="26"/>
    </w:rPr>
  </w:style>
  <w:style w:type="character" w:customStyle="1" w:styleId="59">
    <w:name w:val="标题 4 Char"/>
    <w:basedOn w:val="26"/>
    <w:link w:val="5"/>
    <w:semiHidden/>
    <w:qFormat/>
    <w:uiPriority w:val="9"/>
    <w:rPr>
      <w:rFonts w:cstheme="majorBidi"/>
      <w:b/>
      <w:bCs/>
      <w:sz w:val="28"/>
      <w:szCs w:val="28"/>
    </w:rPr>
  </w:style>
  <w:style w:type="character" w:customStyle="1" w:styleId="60">
    <w:name w:val="标题 5 Char"/>
    <w:basedOn w:val="26"/>
    <w:link w:val="6"/>
    <w:semiHidden/>
    <w:qFormat/>
    <w:uiPriority w:val="9"/>
    <w:rPr>
      <w:b/>
      <w:bCs/>
      <w:i/>
      <w:iCs/>
      <w:sz w:val="26"/>
      <w:szCs w:val="26"/>
    </w:rPr>
  </w:style>
  <w:style w:type="character" w:customStyle="1" w:styleId="61">
    <w:name w:val="标题 6 Char"/>
    <w:basedOn w:val="26"/>
    <w:link w:val="7"/>
    <w:semiHidden/>
    <w:qFormat/>
    <w:uiPriority w:val="9"/>
    <w:rPr>
      <w:rFonts w:cstheme="majorBidi"/>
      <w:b/>
      <w:bCs/>
    </w:rPr>
  </w:style>
  <w:style w:type="character" w:customStyle="1" w:styleId="62">
    <w:name w:val="标题 7 Char"/>
    <w:basedOn w:val="26"/>
    <w:link w:val="8"/>
    <w:semiHidden/>
    <w:qFormat/>
    <w:uiPriority w:val="9"/>
    <w:rPr>
      <w:sz w:val="24"/>
      <w:szCs w:val="24"/>
    </w:rPr>
  </w:style>
  <w:style w:type="character" w:customStyle="1" w:styleId="63">
    <w:name w:val="标题 8 Char"/>
    <w:basedOn w:val="26"/>
    <w:link w:val="9"/>
    <w:semiHidden/>
    <w:qFormat/>
    <w:uiPriority w:val="9"/>
    <w:rPr>
      <w:rFonts w:cstheme="majorBidi"/>
      <w:i/>
      <w:iCs/>
      <w:sz w:val="24"/>
      <w:szCs w:val="24"/>
    </w:rPr>
  </w:style>
  <w:style w:type="character" w:customStyle="1" w:styleId="64">
    <w:name w:val="标题 9 Char"/>
    <w:basedOn w:val="26"/>
    <w:link w:val="10"/>
    <w:semiHidden/>
    <w:qFormat/>
    <w:uiPriority w:val="9"/>
    <w:rPr>
      <w:rFonts w:asciiTheme="majorHAnsi" w:hAnsiTheme="majorHAnsi" w:eastAsiaTheme="majorEastAsia" w:cstheme="majorBidi"/>
    </w:rPr>
  </w:style>
  <w:style w:type="character" w:customStyle="1" w:styleId="65">
    <w:name w:val="标题 Char"/>
    <w:basedOn w:val="26"/>
    <w:link w:val="22"/>
    <w:qFormat/>
    <w:uiPriority w:val="10"/>
    <w:rPr>
      <w:rFonts w:asciiTheme="majorHAnsi" w:hAnsiTheme="majorHAnsi" w:eastAsiaTheme="majorEastAsia" w:cstheme="majorBidi"/>
      <w:b/>
      <w:bCs/>
      <w:kern w:val="28"/>
      <w:sz w:val="32"/>
      <w:szCs w:val="32"/>
    </w:rPr>
  </w:style>
  <w:style w:type="character" w:customStyle="1" w:styleId="66">
    <w:name w:val="副标题 Char"/>
    <w:basedOn w:val="26"/>
    <w:link w:val="20"/>
    <w:qFormat/>
    <w:uiPriority w:val="11"/>
    <w:rPr>
      <w:rFonts w:ascii="Calibri" w:hAnsi="Calibri" w:eastAsia="黑体" w:cstheme="majorBidi"/>
      <w:sz w:val="32"/>
      <w:szCs w:val="24"/>
    </w:rPr>
  </w:style>
  <w:style w:type="paragraph" w:styleId="67">
    <w:name w:val="No Spacing"/>
    <w:basedOn w:val="1"/>
    <w:qFormat/>
    <w:uiPriority w:val="1"/>
    <w:rPr>
      <w:szCs w:val="32"/>
    </w:rPr>
  </w:style>
  <w:style w:type="paragraph" w:styleId="68">
    <w:name w:val="List Paragraph"/>
    <w:basedOn w:val="1"/>
    <w:qFormat/>
    <w:uiPriority w:val="0"/>
    <w:pPr>
      <w:ind w:left="720"/>
      <w:contextualSpacing/>
    </w:pPr>
  </w:style>
  <w:style w:type="paragraph" w:styleId="69">
    <w:name w:val="Quote"/>
    <w:basedOn w:val="1"/>
    <w:next w:val="1"/>
    <w:link w:val="70"/>
    <w:qFormat/>
    <w:uiPriority w:val="29"/>
    <w:rPr>
      <w:i/>
    </w:rPr>
  </w:style>
  <w:style w:type="character" w:customStyle="1" w:styleId="70">
    <w:name w:val="引用 Char"/>
    <w:basedOn w:val="26"/>
    <w:link w:val="69"/>
    <w:qFormat/>
    <w:uiPriority w:val="29"/>
    <w:rPr>
      <w:i/>
      <w:sz w:val="24"/>
      <w:szCs w:val="24"/>
    </w:rPr>
  </w:style>
  <w:style w:type="paragraph" w:styleId="71">
    <w:name w:val="Intense Quote"/>
    <w:basedOn w:val="1"/>
    <w:next w:val="1"/>
    <w:link w:val="72"/>
    <w:qFormat/>
    <w:uiPriority w:val="30"/>
    <w:pPr>
      <w:ind w:left="720" w:right="720"/>
    </w:pPr>
    <w:rPr>
      <w:b/>
      <w:i/>
      <w:szCs w:val="22"/>
    </w:rPr>
  </w:style>
  <w:style w:type="character" w:customStyle="1" w:styleId="72">
    <w:name w:val="明显引用 Char"/>
    <w:basedOn w:val="26"/>
    <w:link w:val="71"/>
    <w:qFormat/>
    <w:uiPriority w:val="30"/>
    <w:rPr>
      <w:b/>
      <w:i/>
      <w:sz w:val="24"/>
    </w:rPr>
  </w:style>
  <w:style w:type="character" w:customStyle="1" w:styleId="73">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74">
    <w:name w:val="Intense Emphasis"/>
    <w:basedOn w:val="26"/>
    <w:qFormat/>
    <w:uiPriority w:val="21"/>
    <w:rPr>
      <w:b/>
      <w:i/>
      <w:sz w:val="24"/>
      <w:szCs w:val="24"/>
      <w:u w:val="single"/>
    </w:rPr>
  </w:style>
  <w:style w:type="character" w:customStyle="1" w:styleId="75">
    <w:name w:val="Subtle Reference"/>
    <w:basedOn w:val="26"/>
    <w:qFormat/>
    <w:uiPriority w:val="31"/>
    <w:rPr>
      <w:sz w:val="24"/>
      <w:szCs w:val="24"/>
      <w:u w:val="single"/>
    </w:rPr>
  </w:style>
  <w:style w:type="character" w:customStyle="1" w:styleId="76">
    <w:name w:val="Intense Reference"/>
    <w:basedOn w:val="26"/>
    <w:qFormat/>
    <w:uiPriority w:val="32"/>
    <w:rPr>
      <w:b/>
      <w:sz w:val="24"/>
      <w:u w:val="single"/>
    </w:rPr>
  </w:style>
  <w:style w:type="character" w:customStyle="1" w:styleId="77">
    <w:name w:val="Book Title"/>
    <w:basedOn w:val="26"/>
    <w:qFormat/>
    <w:uiPriority w:val="33"/>
    <w:rPr>
      <w:rFonts w:asciiTheme="majorHAnsi" w:hAnsiTheme="majorHAnsi" w:eastAsiaTheme="majorEastAsia"/>
      <w:b/>
      <w:i/>
      <w:sz w:val="24"/>
      <w:szCs w:val="24"/>
    </w:rPr>
  </w:style>
  <w:style w:type="paragraph" w:customStyle="1" w:styleId="78">
    <w:name w:val="TOC Heading"/>
    <w:basedOn w:val="2"/>
    <w:next w:val="1"/>
    <w:semiHidden/>
    <w:unhideWhenUsed/>
    <w:qFormat/>
    <w:uiPriority w:val="39"/>
    <w:pPr>
      <w:outlineLvl w:val="9"/>
    </w:pPr>
  </w:style>
  <w:style w:type="character" w:customStyle="1" w:styleId="79">
    <w:name w:val="批注框文本 Char"/>
    <w:basedOn w:val="26"/>
    <w:link w:val="16"/>
    <w:semiHidden/>
    <w:qFormat/>
    <w:uiPriority w:val="99"/>
    <w:rPr>
      <w:sz w:val="18"/>
      <w:szCs w:val="18"/>
    </w:rPr>
  </w:style>
  <w:style w:type="character" w:customStyle="1" w:styleId="80">
    <w:name w:val="批注文字 Char"/>
    <w:basedOn w:val="26"/>
    <w:link w:val="13"/>
    <w:qFormat/>
    <w:uiPriority w:val="99"/>
    <w:rPr>
      <w:rFonts w:ascii="Calibri Light" w:hAnsi="Calibri Light" w:eastAsia="华文仿宋" w:cs="Calibri Light"/>
      <w:kern w:val="2"/>
      <w:sz w:val="28"/>
      <w:szCs w:val="28"/>
    </w:rPr>
  </w:style>
  <w:style w:type="paragraph" w:customStyle="1" w:styleId="81">
    <w:name w:val="@正文"/>
    <w:basedOn w:val="4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2">
    <w:name w:val="@一级小标题"/>
    <w:basedOn w:val="1"/>
    <w:next w:val="81"/>
    <w:qFormat/>
    <w:uiPriority w:val="0"/>
    <w:pPr>
      <w:keepNext/>
      <w:spacing w:before="120" w:after="60"/>
      <w:outlineLvl w:val="2"/>
    </w:pPr>
    <w:rPr>
      <w:rFonts w:ascii="Calibri" w:hAnsi="Calibri" w:eastAsia="黑体"/>
      <w:kern w:val="28"/>
      <w:sz w:val="28"/>
    </w:rPr>
  </w:style>
  <w:style w:type="paragraph" w:customStyle="1" w:styleId="83">
    <w:name w:val="@标题"/>
    <w:basedOn w:val="1"/>
    <w:next w:val="81"/>
    <w:qFormat/>
    <w:uiPriority w:val="0"/>
    <w:pPr>
      <w:keepNext/>
      <w:spacing w:before="50" w:beforeLines="50" w:after="50" w:afterLines="50"/>
      <w:jc w:val="center"/>
      <w:outlineLvl w:val="1"/>
    </w:pPr>
    <w:rPr>
      <w:rFonts w:ascii="Calibri" w:hAnsi="Calibri" w:eastAsia="黑体"/>
      <w:kern w:val="32"/>
      <w:sz w:val="32"/>
    </w:rPr>
  </w:style>
  <w:style w:type="table" w:customStyle="1" w:styleId="84">
    <w:name w:val="网格型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5">
    <w:name w:val="页眉 Char1"/>
    <w:basedOn w:val="26"/>
    <w:semiHidden/>
    <w:qFormat/>
    <w:uiPriority w:val="99"/>
    <w:rPr>
      <w:rFonts w:cs="Calibri Light"/>
      <w:sz w:val="18"/>
      <w:szCs w:val="18"/>
    </w:rPr>
  </w:style>
  <w:style w:type="character" w:customStyle="1" w:styleId="86">
    <w:name w:val="页脚 Char1"/>
    <w:basedOn w:val="26"/>
    <w:semiHidden/>
    <w:qFormat/>
    <w:uiPriority w:val="99"/>
    <w:rPr>
      <w:rFonts w:cs="Calibri Light"/>
      <w:sz w:val="18"/>
      <w:szCs w:val="18"/>
    </w:rPr>
  </w:style>
  <w:style w:type="character" w:customStyle="1" w:styleId="87">
    <w:name w:val="批注主题 Char"/>
    <w:basedOn w:val="80"/>
    <w:link w:val="23"/>
    <w:semiHidden/>
    <w:qFormat/>
    <w:uiPriority w:val="99"/>
    <w:rPr>
      <w:rFonts w:ascii="Calibri Light" w:hAnsi="Calibri Light" w:eastAsia="华文仿宋" w:cs="Calibri Light"/>
      <w:b/>
      <w:bCs/>
      <w:kern w:val="2"/>
      <w:sz w:val="28"/>
      <w:szCs w:val="28"/>
    </w:rPr>
  </w:style>
  <w:style w:type="character" w:customStyle="1" w:styleId="88">
    <w:name w:val="文档结构图 Char"/>
    <w:basedOn w:val="26"/>
    <w:link w:val="12"/>
    <w:semiHidden/>
    <w:qFormat/>
    <w:uiPriority w:val="99"/>
    <w:rPr>
      <w:rFonts w:ascii="宋体" w:hAnsi="Calibri Light" w:eastAsia="宋体" w:cs="Calibri Light"/>
      <w:kern w:val="2"/>
      <w:sz w:val="18"/>
      <w:szCs w:val="18"/>
    </w:rPr>
  </w:style>
  <w:style w:type="character" w:styleId="89">
    <w:name w:val="Placeholder Text"/>
    <w:basedOn w:val="26"/>
    <w:semiHidden/>
    <w:qFormat/>
    <w:uiPriority w:val="99"/>
    <w:rPr>
      <w:color w:val="808080"/>
    </w:rPr>
  </w:style>
  <w:style w:type="table" w:customStyle="1" w:styleId="90">
    <w:name w:val="网格型1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91">
    <w:name w:val="网格型2"/>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2">
    <w:name w:val="纯文本 Char"/>
    <w:basedOn w:val="26"/>
    <w:link w:val="14"/>
    <w:qFormat/>
    <w:uiPriority w:val="0"/>
    <w:rPr>
      <w:rFonts w:ascii="宋体" w:hAnsi="Courier New" w:eastAsia="宋体" w:cs="Courier New"/>
      <w:sz w:val="21"/>
      <w:szCs w:val="21"/>
    </w:rPr>
  </w:style>
  <w:style w:type="character" w:customStyle="1" w:styleId="93">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4">
    <w:name w:val="明显强调1"/>
    <w:basedOn w:val="26"/>
    <w:qFormat/>
    <w:uiPriority w:val="21"/>
    <w:rPr>
      <w:b/>
      <w:i/>
      <w:sz w:val="24"/>
      <w:szCs w:val="24"/>
      <w:u w:val="single"/>
    </w:rPr>
  </w:style>
  <w:style w:type="character" w:customStyle="1" w:styleId="95">
    <w:name w:val="不明显参考1"/>
    <w:basedOn w:val="26"/>
    <w:qFormat/>
    <w:uiPriority w:val="31"/>
    <w:rPr>
      <w:sz w:val="24"/>
      <w:szCs w:val="24"/>
      <w:u w:val="single"/>
    </w:rPr>
  </w:style>
  <w:style w:type="character" w:customStyle="1" w:styleId="96">
    <w:name w:val="明显参考1"/>
    <w:basedOn w:val="26"/>
    <w:qFormat/>
    <w:uiPriority w:val="32"/>
    <w:rPr>
      <w:b/>
      <w:sz w:val="24"/>
      <w:u w:val="single"/>
    </w:rPr>
  </w:style>
  <w:style w:type="character" w:customStyle="1" w:styleId="97">
    <w:name w:val="书籍标题1"/>
    <w:basedOn w:val="26"/>
    <w:qFormat/>
    <w:uiPriority w:val="33"/>
    <w:rPr>
      <w:rFonts w:asciiTheme="majorHAnsi" w:hAnsiTheme="majorHAnsi" w:eastAsiaTheme="majorEastAsia"/>
      <w:b/>
      <w:i/>
      <w:sz w:val="24"/>
      <w:szCs w:val="24"/>
    </w:rPr>
  </w:style>
  <w:style w:type="paragraph" w:customStyle="1" w:styleId="98">
    <w:name w:val="TOC 标题1"/>
    <w:basedOn w:val="2"/>
    <w:next w:val="1"/>
    <w:semiHidden/>
    <w:unhideWhenUsed/>
    <w:qFormat/>
    <w:uiPriority w:val="39"/>
    <w:pPr>
      <w:numPr>
        <w:numId w:val="2"/>
      </w:numPr>
      <w:outlineLvl w:val="9"/>
    </w:pPr>
  </w:style>
  <w:style w:type="paragraph" w:customStyle="1" w:styleId="99">
    <w:name w:val="样式1"/>
    <w:basedOn w:val="1"/>
    <w:qFormat/>
    <w:uiPriority w:val="0"/>
    <w:pPr>
      <w:widowControl w:val="0"/>
      <w:adjustRightInd w:val="0"/>
      <w:jc w:val="both"/>
      <w:textAlignment w:val="baseline"/>
    </w:pPr>
    <w:rPr>
      <w:rFonts w:ascii="宋体" w:hAnsi="Times New Roman" w:eastAsia="宋体"/>
      <w:sz w:val="21"/>
      <w:szCs w:val="21"/>
    </w:rPr>
  </w:style>
  <w:style w:type="table" w:customStyle="1" w:styleId="100">
    <w:name w:val="网格型3"/>
    <w:basedOn w:val="24"/>
    <w:qFormat/>
    <w:uiPriority w:val="39"/>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1">
    <w:name w:val="Revision"/>
    <w:hidden/>
    <w:semiHidden/>
    <w:qFormat/>
    <w:uiPriority w:val="99"/>
    <w:rPr>
      <w:rFonts w:cs="Times New Roman" w:asciiTheme="minorHAnsi" w:hAnsiTheme="minorHAnsi" w:eastAsiaTheme="minorEastAsia"/>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7" Type="http://schemas.openxmlformats.org/officeDocument/2006/relationships/fontTable" Target="fontTable.xml"/><Relationship Id="rId46" Type="http://schemas.openxmlformats.org/officeDocument/2006/relationships/customXml" Target="../customXml/item1.xml"/><Relationship Id="rId45" Type="http://schemas.openxmlformats.org/officeDocument/2006/relationships/numbering" Target="numbering.xml"/><Relationship Id="rId44" Type="http://schemas.openxmlformats.org/officeDocument/2006/relationships/image" Target="media/image7.png"/><Relationship Id="rId43" Type="http://schemas.openxmlformats.org/officeDocument/2006/relationships/image" Target="media/image6.png"/><Relationship Id="rId42" Type="http://schemas.openxmlformats.org/officeDocument/2006/relationships/image" Target="media/image5.png"/><Relationship Id="rId41" Type="http://schemas.openxmlformats.org/officeDocument/2006/relationships/image" Target="media/image4.png"/><Relationship Id="rId40" Type="http://schemas.openxmlformats.org/officeDocument/2006/relationships/image" Target="media/image3.png"/><Relationship Id="rId4" Type="http://schemas.openxmlformats.org/officeDocument/2006/relationships/header" Target="header2.xml"/><Relationship Id="rId39" Type="http://schemas.openxmlformats.org/officeDocument/2006/relationships/image" Target="media/image2.png"/><Relationship Id="rId38" Type="http://schemas.openxmlformats.org/officeDocument/2006/relationships/image" Target="media/image1.png"/><Relationship Id="rId37" Type="http://schemas.openxmlformats.org/officeDocument/2006/relationships/theme" Target="theme/theme1.xml"/><Relationship Id="rId36" Type="http://schemas.openxmlformats.org/officeDocument/2006/relationships/footer" Target="footer30.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6FB54-5059-464B-91AE-EB7DCB8CDF4E}">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2023版公开招标文件（货物和服务，暗标盲评）.dotx</Template>
  <Company>Lenovo</Company>
  <Pages>5</Pages>
  <Words>1948</Words>
  <Characters>2186</Characters>
  <Lines>1109</Lines>
  <Paragraphs>1176</Paragraphs>
  <TotalTime>6774</TotalTime>
  <ScaleCrop>false</ScaleCrop>
  <LinksUpToDate>false</LinksUpToDate>
  <CharactersWithSpaces>2204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2023-10-20T01:08:00Z</dcterms:created>
  <dc:creator>admin</dc:creator>
  <cp:lastModifiedBy>常巧利</cp:lastModifiedBy>
  <cp:lastPrinted>2026-08-11T07:41:00Z</cp:lastPrinted>
  <dcterms:modified xsi:type="dcterms:W3CDTF">2026-08-20T02:10:10Z</dcterms:modified>
  <cp:revision>185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3D21A31B5D7A411EA9D8D67E0B908792_13</vt:lpwstr>
  </property>
</Properties>
</file>