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488EE">
      <w:pPr>
        <w:pStyle w:val="10"/>
        <w:jc w:val="center"/>
        <w:outlineLvl w:val="1"/>
        <w:rPr>
          <w:rFonts w:hint="default" w:ascii="宋体" w:hAnsi="宋体" w:cs="宋体"/>
          <w:color w:val="000000"/>
          <w:sz w:val="28"/>
          <w:szCs w:val="28"/>
        </w:rPr>
      </w:pPr>
      <w:r>
        <w:rPr>
          <w:rFonts w:ascii="宋体" w:hAnsi="宋体" w:cs="宋体"/>
          <w:b/>
          <w:color w:val="000000"/>
          <w:sz w:val="28"/>
          <w:szCs w:val="28"/>
        </w:rPr>
        <w:t>拟签订采购合同文本</w:t>
      </w:r>
    </w:p>
    <w:p w14:paraId="2F92B032">
      <w:pPr>
        <w:pStyle w:val="7"/>
        <w:spacing w:beforeAutospacing="0" w:afterAutospacing="0" w:line="324" w:lineRule="auto"/>
        <w:ind w:firstLine="420" w:firstLineChars="200"/>
        <w:rPr>
          <w:color w:val="000000"/>
          <w:sz w:val="21"/>
          <w:szCs w:val="21"/>
        </w:rPr>
      </w:pPr>
      <w:r>
        <w:rPr>
          <w:rFonts w:hint="eastAsia"/>
          <w:color w:val="000000"/>
          <w:sz w:val="21"/>
          <w:szCs w:val="21"/>
        </w:rPr>
        <w:t xml:space="preserve">合同编号： </w:t>
      </w:r>
    </w:p>
    <w:p w14:paraId="2EC7F506">
      <w:pPr>
        <w:pStyle w:val="7"/>
        <w:spacing w:beforeAutospacing="0" w:afterAutospacing="0" w:line="324" w:lineRule="auto"/>
        <w:ind w:firstLine="420" w:firstLineChars="200"/>
        <w:rPr>
          <w:color w:val="000000"/>
          <w:sz w:val="21"/>
          <w:szCs w:val="21"/>
        </w:rPr>
      </w:pPr>
      <w:r>
        <w:rPr>
          <w:rFonts w:hint="eastAsia"/>
          <w:color w:val="000000"/>
          <w:sz w:val="21"/>
          <w:szCs w:val="21"/>
        </w:rPr>
        <w:t xml:space="preserve">签订地点： </w:t>
      </w:r>
    </w:p>
    <w:p w14:paraId="6645E56E">
      <w:pPr>
        <w:pStyle w:val="7"/>
        <w:spacing w:beforeAutospacing="0" w:afterAutospacing="0" w:line="324" w:lineRule="auto"/>
        <w:ind w:firstLine="420" w:firstLineChars="200"/>
        <w:rPr>
          <w:color w:val="000000"/>
          <w:sz w:val="21"/>
          <w:szCs w:val="21"/>
        </w:rPr>
      </w:pPr>
      <w:r>
        <w:rPr>
          <w:rFonts w:hint="eastAsia"/>
          <w:color w:val="000000"/>
          <w:sz w:val="21"/>
          <w:szCs w:val="21"/>
        </w:rPr>
        <w:t>签订时间：</w:t>
      </w:r>
    </w:p>
    <w:p w14:paraId="2A3B97FB">
      <w:pPr>
        <w:pStyle w:val="7"/>
        <w:spacing w:beforeAutospacing="0" w:afterAutospacing="0" w:line="324" w:lineRule="auto"/>
        <w:ind w:firstLine="420" w:firstLineChars="200"/>
        <w:rPr>
          <w:color w:val="000000"/>
          <w:sz w:val="21"/>
          <w:szCs w:val="21"/>
        </w:rPr>
      </w:pPr>
      <w:r>
        <w:rPr>
          <w:rFonts w:hint="eastAsia"/>
          <w:color w:val="000000"/>
          <w:sz w:val="21"/>
          <w:szCs w:val="21"/>
        </w:rPr>
        <w:t>甲方（甲方）：西安市雁塔区人民政府办公室</w:t>
      </w:r>
    </w:p>
    <w:p w14:paraId="374D4123">
      <w:pPr>
        <w:pStyle w:val="7"/>
        <w:spacing w:beforeAutospacing="0" w:afterAutospacing="0" w:line="324" w:lineRule="auto"/>
        <w:ind w:firstLine="420" w:firstLineChars="200"/>
        <w:rPr>
          <w:color w:val="000000"/>
          <w:sz w:val="21"/>
          <w:szCs w:val="21"/>
        </w:rPr>
      </w:pPr>
      <w:r>
        <w:rPr>
          <w:rFonts w:hint="eastAsia"/>
          <w:color w:val="000000"/>
          <w:sz w:val="21"/>
          <w:szCs w:val="21"/>
        </w:rPr>
        <w:t>供应商（乙方）：</w:t>
      </w:r>
    </w:p>
    <w:p w14:paraId="18960628">
      <w:pPr>
        <w:pStyle w:val="3"/>
        <w:spacing w:line="324" w:lineRule="auto"/>
        <w:rPr>
          <w:rFonts w:ascii="宋体" w:hAnsi="宋体" w:cs="宋体"/>
          <w:color w:val="000000"/>
          <w:szCs w:val="21"/>
        </w:rPr>
      </w:pPr>
      <w:r>
        <w:rPr>
          <w:rFonts w:hint="eastAsia" w:ascii="宋体" w:hAnsi="宋体" w:cs="宋体"/>
          <w:color w:val="000000"/>
          <w:szCs w:val="21"/>
        </w:rPr>
        <w:t>根据《中华人民共和国政府采购法》及实施条例、《中华人民共和国民法典》和甲方</w:t>
      </w:r>
      <w:r>
        <w:rPr>
          <w:rFonts w:hint="eastAsia" w:ascii="宋体" w:hAnsi="宋体" w:cs="宋体"/>
          <w:color w:val="000000"/>
          <w:szCs w:val="21"/>
          <w:u w:val="single"/>
        </w:rPr>
        <w:t>项目名称：雁塔区第三轮修志编纂,项目编号：SZT2026-SN-QC-ZC-HW-0673</w:t>
      </w:r>
      <w:r>
        <w:rPr>
          <w:rFonts w:hint="eastAsia" w:ascii="宋体" w:hAnsi="宋体" w:cs="宋体"/>
          <w:color w:val="000000"/>
          <w:szCs w:val="21"/>
        </w:rPr>
        <w:t>的采购文件、响应文件等有关规定，为确保甲方采购项目的顺利实施，甲、乙双方在平等自愿原则下签订本合同，并共同遵守如下条款：</w:t>
      </w:r>
      <w:bookmarkStart w:id="0" w:name="_Toc14987"/>
    </w:p>
    <w:bookmarkEnd w:id="0"/>
    <w:p w14:paraId="0D007D1E">
      <w:pPr>
        <w:spacing w:line="324" w:lineRule="auto"/>
        <w:rPr>
          <w:rFonts w:ascii="宋体" w:hAnsi="宋体" w:cs="宋体"/>
          <w:b/>
          <w:color w:val="000000"/>
          <w:szCs w:val="21"/>
        </w:rPr>
      </w:pPr>
      <w:r>
        <w:rPr>
          <w:rFonts w:hint="eastAsia" w:ascii="宋体" w:hAnsi="宋体" w:cs="宋体"/>
          <w:b/>
          <w:color w:val="000000"/>
          <w:szCs w:val="21"/>
        </w:rPr>
        <w:t>第一条 项目概况</w:t>
      </w:r>
    </w:p>
    <w:p w14:paraId="1916ADA3">
      <w:pPr>
        <w:spacing w:line="324" w:lineRule="auto"/>
        <w:ind w:right="-199" w:rightChars="-95" w:firstLine="420" w:firstLineChars="200"/>
        <w:rPr>
          <w:rFonts w:ascii="宋体" w:hAnsi="宋体" w:cs="宋体"/>
          <w:color w:val="000000"/>
          <w:szCs w:val="21"/>
        </w:rPr>
      </w:pPr>
      <w:r>
        <w:rPr>
          <w:rFonts w:hint="eastAsia" w:ascii="宋体" w:hAnsi="宋体" w:cs="宋体"/>
          <w:color w:val="000000"/>
          <w:szCs w:val="21"/>
        </w:rPr>
        <w:t>乙方根据《陕西省人民政府办公厅关于推进新时代全省地方志事业高质量发展的实施意见》（陕政办发〔2024〕8号）要求，2025年起，全省各市、县、区政府全面启动第三轮修志工作。为确保雁塔区第三轮修志工作顺利推进，在规定期限内高质量完成修志任务，按照省、市相关专家意见，参照试点区县工作经验，拟对第三轮修志编纂人员进行聘用,依据具体岗位设置和招聘条件要求，提供 8 人的服务外包岗位，具体人员需求根据当年度实际工作量调整，配合并促进甲方完成修志目标；各项服务标准符合国家、省、市（行业）强制性标准及甲方要求。</w:t>
      </w:r>
    </w:p>
    <w:p w14:paraId="6945A233">
      <w:pPr>
        <w:spacing w:line="324" w:lineRule="auto"/>
        <w:rPr>
          <w:rFonts w:ascii="宋体" w:hAnsi="宋体" w:cs="宋体"/>
          <w:b/>
          <w:color w:val="000000"/>
          <w:szCs w:val="21"/>
        </w:rPr>
      </w:pPr>
      <w:r>
        <w:rPr>
          <w:rFonts w:hint="eastAsia" w:ascii="宋体" w:hAnsi="宋体" w:cs="宋体"/>
          <w:b/>
          <w:color w:val="000000"/>
          <w:szCs w:val="21"/>
        </w:rPr>
        <w:t>第二条 服务内容及要求</w:t>
      </w:r>
    </w:p>
    <w:p w14:paraId="26C37959">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（一）服务内容：</w:t>
      </w:r>
    </w:p>
    <w:p w14:paraId="19F750B4">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乙方接受甲方委托，为甲方提供以下服务：</w:t>
      </w:r>
    </w:p>
    <w:p w14:paraId="2F38E8F8">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招聘服务—根据工作需求、具体岗位设置和招聘条件要求，提供8人的服务外包岗位。</w:t>
      </w:r>
    </w:p>
    <w:p w14:paraId="15EEADB7">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人力资源外包服务—乙方为甲方提供人力资源外包服务，具体用工人数根据甲方的工作要求确定。外包员工与乙方签订书面用工合同，外包员工的工作地点、岗位、方式等工作状况由乙方根据甲方业务需要安排。乙方负责为外包员工办理以下手续：</w:t>
      </w:r>
    </w:p>
    <w:p w14:paraId="620363D7">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（1）为外包员工办理合法用工手续；</w:t>
      </w:r>
    </w:p>
    <w:p w14:paraId="0F4130B3">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（2）为外包员工建立员工档案；</w:t>
      </w:r>
    </w:p>
    <w:p w14:paraId="082A61C9">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（3）为符合条件的外包员工依法缴纳社会保险、住房公积金，为不符合条件的员工购买商业保险；</w:t>
      </w:r>
    </w:p>
    <w:p w14:paraId="0D78BF4D">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（4）处理外包员工发生工伤、生育、医疗、失业等社会保险相关事宜；</w:t>
      </w:r>
    </w:p>
    <w:p w14:paraId="092C5324">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（5）根据实际需要为外包员工出具各种有关证明等；</w:t>
      </w:r>
    </w:p>
    <w:p w14:paraId="442F34CD">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（6）协助外包员工办理党员组织关系的接收手续；</w:t>
      </w:r>
    </w:p>
    <w:p w14:paraId="22D6A098">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退工服务—乙方为离职的外包员工办理合法退工手续：</w:t>
      </w:r>
    </w:p>
    <w:p w14:paraId="20679298">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（1）为符合条件的外包员工办理失业金申领手续；</w:t>
      </w:r>
    </w:p>
    <w:p w14:paraId="592C760F">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（2）为符合条件的外包员工办理社保、住房公积金的转移手续；</w:t>
      </w:r>
    </w:p>
    <w:p w14:paraId="2E02A013">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（3）协助外包员工办理党员关系的转移。</w:t>
      </w:r>
    </w:p>
    <w:p w14:paraId="7C3C8420">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工资发放服务—乙方负责编制外包员工的工资及奖金明细，经甲方确认无误后，由乙方负责发放至外包员工个人银行卡；乙方将为发放工资的外包员工统一代扣代缴个人所得税和社会保险、住房公积金个人缴费部分，参照社会平均工资标准和本行业薪资现状综合确定相应岗位工资，及时、足额发放工资和福利。</w:t>
      </w:r>
    </w:p>
    <w:p w14:paraId="16EF6D49">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福利发放—节假日福利采购和发放</w:t>
      </w:r>
    </w:p>
    <w:p w14:paraId="5C8B4EEE">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劳动纠纷处理—负责处理合同期内所有劳务、劳资纠纷和调解管理纠纷，及时更换不能胜任工作的员工，维护正常工作秩序。</w:t>
      </w:r>
    </w:p>
    <w:p w14:paraId="66F957AE">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政策咨询服务—根据甲方的情况，乙方提供本地范围内的人事、劳动、社保待遇政策咨询，仅以政府发布政策的提供和解释为限。</w:t>
      </w:r>
    </w:p>
    <w:p w14:paraId="56E3309E">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（二）服务要求：</w:t>
      </w:r>
    </w:p>
    <w:p w14:paraId="5378D9D1">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1、岗位所需人员标准</w:t>
      </w:r>
    </w:p>
    <w:p w14:paraId="3D95A325">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（1）政治素养良好，无犯罪违法违纪记录，严格遵守国家各项规章制度、保密制度、服务规范等。</w:t>
      </w:r>
    </w:p>
    <w:p w14:paraId="025CC689">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（2）掌握服务基础知识，普通话标准，口齿清晰，口头表达能力强，具有亲和力。</w:t>
      </w:r>
    </w:p>
    <w:p w14:paraId="692112E5">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（3）具有良好的服务意识和团队精神，具有较强的应变能力、沟通技巧、判断能力、学习及适应能力。</w:t>
      </w:r>
    </w:p>
    <w:p w14:paraId="6F37FA25">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（4）熟悉电脑操作、常用办公软件的使用、有一定的写作能力。</w:t>
      </w:r>
    </w:p>
    <w:p w14:paraId="49750F43">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（5）普通高校全日制大专及以上学历，专业不限。</w:t>
      </w:r>
    </w:p>
    <w:p w14:paraId="732CC79D">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（6）身体健康，品行端正，积极上进。</w:t>
      </w:r>
    </w:p>
    <w:p w14:paraId="3D1CA8BD">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（7）主编、副主编年纪不限，编辑原则上年龄35 岁以下（含 35岁）。</w:t>
      </w:r>
    </w:p>
    <w:p w14:paraId="06243096">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8）具备开展修志编纂的技术力量和经验，采取科学、严谨、针对性强的编纂方案，按照国家法律法规的有关规定及操作规程做好项目的实施计划、组织协调、难点、重点把握、质量控制等全方面工作，符合国务院、陕西省、西安市等各级政府部门相关文件精神。</w:t>
      </w:r>
    </w:p>
    <w:p w14:paraId="1BC942CD">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（9）有相关工作经验者优先考虑。</w:t>
      </w:r>
    </w:p>
    <w:p w14:paraId="73B93DFB">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2、岗位所需人员禁止情形</w:t>
      </w:r>
    </w:p>
    <w:p w14:paraId="6FCB2B82">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（1）违反国家法律法规且受过刑事处罚的人员；</w:t>
      </w:r>
    </w:p>
    <w:p w14:paraId="5C560937">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（2）受到党纪政纪处分且影响期未结束的人员；</w:t>
      </w:r>
    </w:p>
    <w:p w14:paraId="25FFFE60">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（3）组织和参与宗教、邪教、封建迷信活动的人员；</w:t>
      </w:r>
    </w:p>
    <w:p w14:paraId="1529C5E1">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（4）政治素质和道德品质差，不履行法定义务，公益观念淡薄；</w:t>
      </w:r>
    </w:p>
    <w:p w14:paraId="578D1BDA">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（5）患有严重疾病、无法正常工作的人员。</w:t>
      </w:r>
    </w:p>
    <w:p w14:paraId="535C520C">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3、岗位分布情况及职责：</w:t>
      </w:r>
    </w:p>
    <w:p w14:paraId="5F2EC1F8">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（1）主编：负责主持雁塔区第三轮修志整体工作，组织并领导日常编纂事务，如审稿、审样、撰写重要言论等。要求熟悉雁塔区情况，政治站位高，大局观念强，具有丰富的行政、文字工作经验。</w:t>
      </w:r>
    </w:p>
    <w:p w14:paraId="485A31A5">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（2）副主编：负责雁塔区第三轮修志中部分专项工作。要求文字功底强，对经济建设、体制机制、城市管理、财政税务、教育文化等专业领域较为熟悉。</w:t>
      </w:r>
    </w:p>
    <w:p w14:paraId="2123E676">
      <w:pPr>
        <w:pStyle w:val="10"/>
        <w:spacing w:line="324" w:lineRule="auto"/>
        <w:ind w:firstLine="422"/>
        <w:jc w:val="both"/>
        <w:rPr>
          <w:rFonts w:hint="default" w:ascii="宋体" w:hAnsi="宋体" w:cs="宋体"/>
          <w:color w:val="000000"/>
          <w:kern w:val="2"/>
          <w:sz w:val="21"/>
          <w:szCs w:val="21"/>
        </w:rPr>
      </w:pPr>
      <w:r>
        <w:rPr>
          <w:rFonts w:ascii="宋体" w:hAnsi="宋体" w:cs="宋体"/>
          <w:color w:val="000000"/>
          <w:kern w:val="2"/>
          <w:sz w:val="21"/>
          <w:szCs w:val="21"/>
        </w:rPr>
        <w:t>（3）编辑：负责雁塔区第三轮修志中具体篇目的组织、审阅编选、校对工作。要求文字能力较强，能够顺利使用计算机等信息化工作设备。</w:t>
      </w:r>
    </w:p>
    <w:p w14:paraId="59AAC743">
      <w:pPr>
        <w:pStyle w:val="10"/>
        <w:spacing w:line="324" w:lineRule="auto"/>
        <w:jc w:val="both"/>
        <w:rPr>
          <w:rFonts w:hint="default" w:ascii="宋体" w:hAnsi="宋体" w:cs="宋体"/>
          <w:b/>
          <w:color w:val="000000"/>
          <w:sz w:val="21"/>
          <w:szCs w:val="21"/>
        </w:rPr>
      </w:pPr>
      <w:r>
        <w:rPr>
          <w:rFonts w:ascii="宋体" w:hAnsi="宋体" w:cs="宋体"/>
          <w:b/>
          <w:color w:val="000000"/>
          <w:kern w:val="2"/>
          <w:sz w:val="21"/>
          <w:szCs w:val="21"/>
        </w:rPr>
        <w:t>第三条 服务期限</w:t>
      </w:r>
    </w:p>
    <w:p w14:paraId="70DBFF8F">
      <w:pPr>
        <w:spacing w:line="324" w:lineRule="auto"/>
        <w:ind w:firstLine="420"/>
        <w:rPr>
          <w:rFonts w:ascii="宋体" w:hAnsi="宋体" w:cs="宋体"/>
          <w:color w:val="000000"/>
          <w:szCs w:val="21"/>
        </w:rPr>
      </w:pPr>
      <w:r>
        <w:rPr>
          <w:rFonts w:hint="eastAsia" w:ascii="宋体" w:hAnsi="宋体" w:cs="宋体"/>
          <w:color w:val="000000"/>
          <w:szCs w:val="21"/>
        </w:rPr>
        <w:t>自合同签订生效之日起1年(自年月日起至年月日止)</w:t>
      </w:r>
    </w:p>
    <w:p w14:paraId="74A44F82">
      <w:pPr>
        <w:spacing w:line="324" w:lineRule="auto"/>
        <w:rPr>
          <w:rFonts w:ascii="宋体" w:hAnsi="宋体" w:cs="宋体"/>
          <w:color w:val="000000"/>
          <w:spacing w:val="6"/>
          <w:kern w:val="60"/>
          <w:szCs w:val="21"/>
        </w:rPr>
      </w:pPr>
      <w:r>
        <w:rPr>
          <w:rFonts w:hint="eastAsia" w:ascii="宋体" w:hAnsi="宋体" w:cs="宋体"/>
          <w:b/>
          <w:color w:val="000000"/>
          <w:szCs w:val="21"/>
        </w:rPr>
        <w:t>第四条  合同价款及支付方式</w:t>
      </w:r>
    </w:p>
    <w:p w14:paraId="480D492F">
      <w:pPr>
        <w:spacing w:line="324" w:lineRule="auto"/>
        <w:ind w:firstLine="420" w:firstLineChars="200"/>
        <w:rPr>
          <w:rFonts w:ascii="宋体" w:hAnsi="宋体" w:cs="宋体"/>
          <w:color w:val="000000"/>
          <w:szCs w:val="21"/>
          <w:shd w:val="clear" w:color="auto" w:fill="FFFFFF"/>
        </w:rPr>
      </w:pPr>
      <w:r>
        <w:rPr>
          <w:rFonts w:hint="eastAsia" w:ascii="宋体" w:hAnsi="宋体" w:cs="宋体"/>
          <w:color w:val="000000"/>
          <w:szCs w:val="21"/>
          <w:shd w:val="clear" w:color="auto" w:fill="FFFFFF"/>
        </w:rPr>
        <w:t>1、合同价款暂定为人民币(大写) (¥ )。</w:t>
      </w:r>
    </w:p>
    <w:p w14:paraId="4B7BD10C">
      <w:pPr>
        <w:spacing w:line="324" w:lineRule="auto"/>
        <w:ind w:left="3812" w:firstLine="406"/>
        <w:rPr>
          <w:rFonts w:ascii="宋体" w:hAnsi="宋体" w:cs="宋体"/>
          <w:b/>
          <w:bCs/>
          <w:color w:val="000000"/>
          <w:spacing w:val="-4"/>
          <w:szCs w:val="21"/>
        </w:rPr>
      </w:pPr>
      <w:r>
        <w:rPr>
          <w:rFonts w:hint="eastAsia" w:ascii="宋体" w:hAnsi="宋体" w:cs="宋体"/>
          <w:b/>
          <w:bCs/>
          <w:color w:val="000000"/>
          <w:spacing w:val="-4"/>
          <w:szCs w:val="21"/>
        </w:rPr>
        <w:t>服务清单一览表</w:t>
      </w:r>
    </w:p>
    <w:tbl>
      <w:tblPr>
        <w:tblStyle w:val="11"/>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61554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315E0CC2">
            <w:pPr>
              <w:pStyle w:val="3"/>
              <w:spacing w:line="324" w:lineRule="auto"/>
              <w:ind w:firstLine="0"/>
              <w:jc w:val="center"/>
              <w:rPr>
                <w:rFonts w:ascii="宋体" w:hAnsi="宋体" w:cs="宋体"/>
                <w:b/>
                <w:color w:val="000000"/>
                <w:kern w:val="0"/>
                <w:szCs w:val="21"/>
              </w:rPr>
            </w:pPr>
            <w:r>
              <w:rPr>
                <w:rFonts w:hint="eastAsia" w:ascii="宋体" w:hAnsi="宋体" w:cs="宋体"/>
                <w:b/>
                <w:color w:val="000000"/>
                <w:kern w:val="0"/>
                <w:szCs w:val="21"/>
              </w:rPr>
              <w:t>序号</w:t>
            </w:r>
          </w:p>
        </w:tc>
        <w:tc>
          <w:tcPr>
            <w:tcW w:w="2578" w:type="dxa"/>
            <w:vAlign w:val="center"/>
          </w:tcPr>
          <w:p w14:paraId="76DC8D56">
            <w:pPr>
              <w:pStyle w:val="3"/>
              <w:spacing w:line="324" w:lineRule="auto"/>
              <w:ind w:firstLine="0"/>
              <w:jc w:val="center"/>
              <w:rPr>
                <w:rFonts w:ascii="宋体" w:hAnsi="宋体" w:cs="宋体"/>
                <w:b/>
                <w:color w:val="000000"/>
                <w:kern w:val="0"/>
                <w:szCs w:val="21"/>
              </w:rPr>
            </w:pPr>
            <w:r>
              <w:rPr>
                <w:rFonts w:hint="eastAsia" w:ascii="宋体" w:hAnsi="宋体" w:cs="宋体"/>
                <w:b/>
                <w:color w:val="000000"/>
                <w:kern w:val="0"/>
                <w:szCs w:val="21"/>
              </w:rPr>
              <w:t>服务名称</w:t>
            </w:r>
          </w:p>
        </w:tc>
        <w:tc>
          <w:tcPr>
            <w:tcW w:w="1985" w:type="dxa"/>
            <w:vAlign w:val="center"/>
          </w:tcPr>
          <w:p w14:paraId="13F74461">
            <w:pPr>
              <w:pStyle w:val="3"/>
              <w:spacing w:line="324" w:lineRule="auto"/>
              <w:ind w:firstLine="0"/>
              <w:jc w:val="center"/>
              <w:rPr>
                <w:rFonts w:ascii="宋体" w:hAnsi="宋体" w:cs="宋体"/>
                <w:b/>
                <w:color w:val="000000"/>
                <w:kern w:val="0"/>
                <w:szCs w:val="21"/>
              </w:rPr>
            </w:pPr>
            <w:r>
              <w:rPr>
                <w:rFonts w:hint="eastAsia" w:ascii="宋体" w:hAnsi="宋体" w:cs="宋体"/>
                <w:b/>
                <w:color w:val="000000"/>
                <w:kern w:val="0"/>
                <w:szCs w:val="21"/>
              </w:rPr>
              <w:t>服务内容</w:t>
            </w:r>
          </w:p>
        </w:tc>
        <w:tc>
          <w:tcPr>
            <w:tcW w:w="1276" w:type="dxa"/>
            <w:vAlign w:val="center"/>
          </w:tcPr>
          <w:p w14:paraId="46CFDDBC">
            <w:pPr>
              <w:pStyle w:val="3"/>
              <w:spacing w:line="324" w:lineRule="auto"/>
              <w:ind w:firstLine="0"/>
              <w:jc w:val="center"/>
              <w:rPr>
                <w:rFonts w:ascii="宋体" w:hAnsi="宋体" w:cs="宋体"/>
                <w:b/>
                <w:color w:val="000000"/>
                <w:kern w:val="0"/>
                <w:szCs w:val="21"/>
              </w:rPr>
            </w:pPr>
            <w:r>
              <w:rPr>
                <w:rFonts w:hint="eastAsia" w:ascii="宋体" w:hAnsi="宋体" w:cs="宋体"/>
                <w:b/>
                <w:color w:val="000000"/>
                <w:kern w:val="0"/>
                <w:szCs w:val="21"/>
              </w:rPr>
              <w:t>计量单位</w:t>
            </w:r>
          </w:p>
        </w:tc>
        <w:tc>
          <w:tcPr>
            <w:tcW w:w="1417" w:type="dxa"/>
            <w:vAlign w:val="center"/>
          </w:tcPr>
          <w:p w14:paraId="36D66923">
            <w:pPr>
              <w:pStyle w:val="3"/>
              <w:spacing w:line="324" w:lineRule="auto"/>
              <w:ind w:firstLine="0"/>
              <w:jc w:val="center"/>
              <w:rPr>
                <w:rFonts w:ascii="宋体" w:hAnsi="宋体" w:cs="宋体"/>
                <w:b/>
                <w:color w:val="000000"/>
                <w:kern w:val="0"/>
                <w:szCs w:val="21"/>
              </w:rPr>
            </w:pPr>
            <w:r>
              <w:rPr>
                <w:rFonts w:hint="eastAsia" w:ascii="宋体" w:hAnsi="宋体" w:cs="宋体"/>
                <w:b/>
                <w:color w:val="000000"/>
                <w:kern w:val="0"/>
                <w:szCs w:val="21"/>
              </w:rPr>
              <w:t>数量</w:t>
            </w:r>
          </w:p>
        </w:tc>
        <w:tc>
          <w:tcPr>
            <w:tcW w:w="1559" w:type="dxa"/>
            <w:vAlign w:val="center"/>
          </w:tcPr>
          <w:p w14:paraId="5FAFB42C">
            <w:pPr>
              <w:pStyle w:val="3"/>
              <w:spacing w:line="324" w:lineRule="auto"/>
              <w:ind w:firstLine="0"/>
              <w:jc w:val="center"/>
              <w:rPr>
                <w:rFonts w:ascii="宋体" w:hAnsi="宋体" w:cs="宋体"/>
                <w:b/>
                <w:color w:val="000000"/>
                <w:kern w:val="0"/>
                <w:szCs w:val="21"/>
              </w:rPr>
            </w:pPr>
            <w:r>
              <w:rPr>
                <w:rFonts w:hint="eastAsia" w:ascii="宋体" w:hAnsi="宋体" w:cs="宋体"/>
                <w:b/>
                <w:color w:val="000000"/>
                <w:kern w:val="0"/>
                <w:szCs w:val="21"/>
              </w:rPr>
              <w:t>服务费用</w:t>
            </w:r>
          </w:p>
        </w:tc>
      </w:tr>
      <w:tr w14:paraId="72458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00AD08D9">
            <w:pPr>
              <w:pStyle w:val="12"/>
              <w:spacing w:before="0" w:line="324" w:lineRule="auto"/>
              <w:ind w:firstLine="210"/>
              <w:rPr>
                <w:rFonts w:ascii="宋体" w:hAnsi="宋体" w:cs="宋体"/>
                <w:snapToGrid/>
                <w:color w:val="000000"/>
                <w:sz w:val="21"/>
              </w:rPr>
            </w:pPr>
          </w:p>
        </w:tc>
        <w:tc>
          <w:tcPr>
            <w:tcW w:w="2578" w:type="dxa"/>
            <w:vAlign w:val="center"/>
          </w:tcPr>
          <w:p w14:paraId="26E89529">
            <w:pPr>
              <w:pStyle w:val="12"/>
              <w:spacing w:before="0" w:line="324" w:lineRule="auto"/>
              <w:ind w:firstLine="210"/>
              <w:rPr>
                <w:rFonts w:ascii="宋体" w:hAnsi="宋体" w:cs="宋体"/>
                <w:snapToGrid/>
                <w:color w:val="000000"/>
                <w:sz w:val="21"/>
              </w:rPr>
            </w:pPr>
          </w:p>
        </w:tc>
        <w:tc>
          <w:tcPr>
            <w:tcW w:w="1985" w:type="dxa"/>
            <w:vAlign w:val="center"/>
          </w:tcPr>
          <w:p w14:paraId="6093C5C8">
            <w:pPr>
              <w:pStyle w:val="12"/>
              <w:spacing w:before="0" w:line="324" w:lineRule="auto"/>
              <w:ind w:firstLine="210"/>
              <w:rPr>
                <w:rFonts w:ascii="宋体" w:hAnsi="宋体" w:cs="宋体"/>
                <w:snapToGrid/>
                <w:color w:val="000000"/>
                <w:sz w:val="21"/>
              </w:rPr>
            </w:pPr>
          </w:p>
        </w:tc>
        <w:tc>
          <w:tcPr>
            <w:tcW w:w="1276" w:type="dxa"/>
            <w:vAlign w:val="center"/>
          </w:tcPr>
          <w:p w14:paraId="2B0A8F30">
            <w:pPr>
              <w:spacing w:line="324" w:lineRule="auto"/>
              <w:ind w:left="5250" w:right="-199" w:firstLine="420"/>
              <w:jc w:val="center"/>
              <w:rPr>
                <w:rFonts w:ascii="宋体" w:hAnsi="宋体" w:cs="宋体"/>
                <w:bCs/>
                <w:snapToGrid w:val="0"/>
                <w:color w:val="000000"/>
                <w:kern w:val="0"/>
                <w:szCs w:val="21"/>
              </w:rPr>
            </w:pPr>
            <w:r>
              <w:rPr>
                <w:rFonts w:hint="eastAsia" w:ascii="宋体" w:hAnsi="宋体" w:cs="宋体"/>
                <w:bCs/>
                <w:snapToGrid w:val="0"/>
                <w:color w:val="000000"/>
                <w:kern w:val="0"/>
                <w:szCs w:val="21"/>
              </w:rPr>
              <w:t>个</w:t>
            </w:r>
          </w:p>
        </w:tc>
        <w:tc>
          <w:tcPr>
            <w:tcW w:w="1417" w:type="dxa"/>
            <w:vAlign w:val="center"/>
          </w:tcPr>
          <w:p w14:paraId="5A3A4252">
            <w:pPr>
              <w:spacing w:line="324" w:lineRule="auto"/>
              <w:ind w:left="5250" w:right="-199" w:firstLine="420"/>
              <w:jc w:val="center"/>
              <w:rPr>
                <w:rFonts w:ascii="宋体" w:hAnsi="宋体" w:cs="宋体"/>
                <w:bCs/>
                <w:snapToGrid w:val="0"/>
                <w:color w:val="000000"/>
                <w:kern w:val="0"/>
                <w:szCs w:val="21"/>
              </w:rPr>
            </w:pPr>
          </w:p>
        </w:tc>
        <w:tc>
          <w:tcPr>
            <w:tcW w:w="1559" w:type="dxa"/>
            <w:vAlign w:val="center"/>
          </w:tcPr>
          <w:p w14:paraId="5BAE8389">
            <w:pPr>
              <w:spacing w:line="324" w:lineRule="auto"/>
              <w:ind w:left="5250" w:right="-199" w:firstLine="420"/>
              <w:jc w:val="center"/>
              <w:rPr>
                <w:rFonts w:ascii="宋体" w:hAnsi="宋体" w:cs="宋体"/>
                <w:bCs/>
                <w:snapToGrid w:val="0"/>
                <w:color w:val="000000"/>
                <w:kern w:val="0"/>
                <w:szCs w:val="21"/>
              </w:rPr>
            </w:pPr>
          </w:p>
        </w:tc>
      </w:tr>
      <w:tr w14:paraId="43BEB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1C98FA8F">
            <w:pPr>
              <w:pStyle w:val="12"/>
              <w:spacing w:before="0" w:line="324" w:lineRule="auto"/>
              <w:ind w:firstLine="210"/>
              <w:rPr>
                <w:rFonts w:ascii="宋体" w:hAnsi="宋体" w:cs="宋体"/>
                <w:snapToGrid/>
                <w:color w:val="000000"/>
                <w:sz w:val="21"/>
              </w:rPr>
            </w:pPr>
          </w:p>
        </w:tc>
        <w:tc>
          <w:tcPr>
            <w:tcW w:w="2578" w:type="dxa"/>
            <w:vAlign w:val="center"/>
          </w:tcPr>
          <w:p w14:paraId="43240AF8">
            <w:pPr>
              <w:pStyle w:val="12"/>
              <w:spacing w:before="0" w:line="324" w:lineRule="auto"/>
              <w:ind w:firstLine="210"/>
              <w:rPr>
                <w:rFonts w:ascii="宋体" w:hAnsi="宋体" w:cs="宋体"/>
                <w:snapToGrid/>
                <w:color w:val="000000"/>
                <w:sz w:val="21"/>
              </w:rPr>
            </w:pPr>
          </w:p>
        </w:tc>
        <w:tc>
          <w:tcPr>
            <w:tcW w:w="1985" w:type="dxa"/>
            <w:vAlign w:val="center"/>
          </w:tcPr>
          <w:p w14:paraId="66885444">
            <w:pPr>
              <w:pStyle w:val="12"/>
              <w:spacing w:before="0" w:line="324" w:lineRule="auto"/>
              <w:ind w:firstLine="210"/>
              <w:rPr>
                <w:rFonts w:ascii="宋体" w:hAnsi="宋体" w:cs="宋体"/>
                <w:snapToGrid/>
                <w:color w:val="000000"/>
                <w:sz w:val="21"/>
              </w:rPr>
            </w:pPr>
          </w:p>
        </w:tc>
        <w:tc>
          <w:tcPr>
            <w:tcW w:w="1276" w:type="dxa"/>
            <w:vAlign w:val="center"/>
          </w:tcPr>
          <w:p w14:paraId="6CCD313F">
            <w:pPr>
              <w:spacing w:line="324" w:lineRule="auto"/>
              <w:ind w:left="5250" w:right="-199" w:firstLine="420"/>
              <w:jc w:val="center"/>
              <w:rPr>
                <w:rFonts w:ascii="宋体" w:hAnsi="宋体" w:cs="宋体"/>
                <w:bCs/>
                <w:snapToGrid w:val="0"/>
                <w:color w:val="000000"/>
                <w:kern w:val="0"/>
                <w:szCs w:val="21"/>
              </w:rPr>
            </w:pPr>
          </w:p>
        </w:tc>
        <w:tc>
          <w:tcPr>
            <w:tcW w:w="1417" w:type="dxa"/>
            <w:vAlign w:val="center"/>
          </w:tcPr>
          <w:p w14:paraId="3877B8F3">
            <w:pPr>
              <w:spacing w:line="324" w:lineRule="auto"/>
              <w:ind w:left="5250" w:right="-199" w:firstLine="420"/>
              <w:jc w:val="center"/>
              <w:rPr>
                <w:rFonts w:ascii="宋体" w:hAnsi="宋体" w:cs="宋体"/>
                <w:bCs/>
                <w:snapToGrid w:val="0"/>
                <w:color w:val="000000"/>
                <w:kern w:val="0"/>
                <w:szCs w:val="21"/>
              </w:rPr>
            </w:pPr>
          </w:p>
        </w:tc>
        <w:tc>
          <w:tcPr>
            <w:tcW w:w="1559" w:type="dxa"/>
            <w:vAlign w:val="center"/>
          </w:tcPr>
          <w:p w14:paraId="38746BDF">
            <w:pPr>
              <w:spacing w:line="324" w:lineRule="auto"/>
              <w:ind w:left="5250" w:right="-199" w:firstLine="420"/>
              <w:jc w:val="center"/>
              <w:rPr>
                <w:rFonts w:ascii="宋体" w:hAnsi="宋体" w:cs="宋体"/>
                <w:bCs/>
                <w:snapToGrid w:val="0"/>
                <w:color w:val="000000"/>
                <w:kern w:val="0"/>
                <w:szCs w:val="21"/>
              </w:rPr>
            </w:pPr>
          </w:p>
        </w:tc>
      </w:tr>
      <w:tr w14:paraId="4457F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vAlign w:val="center"/>
          </w:tcPr>
          <w:p w14:paraId="78B6D6F1">
            <w:pPr>
              <w:spacing w:line="324" w:lineRule="auto"/>
              <w:rPr>
                <w:rFonts w:ascii="宋体" w:hAnsi="宋体" w:cs="宋体"/>
                <w:color w:val="000000"/>
                <w:kern w:val="0"/>
                <w:szCs w:val="21"/>
              </w:rPr>
            </w:pPr>
            <w:r>
              <w:rPr>
                <w:rFonts w:hint="eastAsia" w:ascii="宋体" w:hAnsi="宋体" w:cs="宋体"/>
                <w:b/>
                <w:bCs/>
                <w:color w:val="000000"/>
                <w:kern w:val="0"/>
                <w:szCs w:val="21"/>
              </w:rPr>
              <w:t>注：</w:t>
            </w:r>
            <w:r>
              <w:rPr>
                <w:rFonts w:hint="eastAsia" w:ascii="宋体" w:hAnsi="宋体" w:cs="宋体"/>
                <w:color w:val="000000"/>
                <w:kern w:val="0"/>
                <w:szCs w:val="21"/>
              </w:rPr>
              <w:t>合同</w:t>
            </w:r>
            <w:r>
              <w:rPr>
                <w:rFonts w:hint="eastAsia" w:ascii="宋体" w:hAnsi="宋体" w:cs="宋体"/>
                <w:color w:val="000000"/>
                <w:szCs w:val="21"/>
                <w:shd w:val="clear" w:color="auto" w:fill="FFFFFF"/>
              </w:rPr>
              <w:t>价款是完成全部服务内容</w:t>
            </w:r>
            <w:r>
              <w:rPr>
                <w:rFonts w:hint="eastAsia" w:ascii="宋体" w:hAnsi="宋体" w:cs="宋体"/>
                <w:color w:val="000000"/>
                <w:kern w:val="0"/>
                <w:szCs w:val="21"/>
              </w:rPr>
              <w:t>所需的直接费用、间接费、利润、税金及其它相关的一切费用，包括但不限于：</w:t>
            </w:r>
            <w:r>
              <w:rPr>
                <w:rFonts w:hint="eastAsia" w:ascii="宋体" w:hAnsi="宋体" w:cs="宋体"/>
                <w:color w:val="000000"/>
                <w:szCs w:val="21"/>
                <w:shd w:val="clear" w:color="auto" w:fill="FFFFFF"/>
              </w:rPr>
              <w:t>服务费、人工费、设备使用费、资料费、管理费、</w:t>
            </w:r>
            <w:r>
              <w:rPr>
                <w:rFonts w:hint="eastAsia" w:ascii="宋体" w:hAnsi="宋体" w:cs="宋体"/>
                <w:color w:val="000000"/>
                <w:kern w:val="0"/>
                <w:szCs w:val="21"/>
              </w:rPr>
              <w:t>验收费、利润、税金及不可预见费等全部费用；在提供服务的过程中的任何遗漏，均由乙方免费提供，甲方将不再支付任何费用。</w:t>
            </w:r>
          </w:p>
        </w:tc>
      </w:tr>
    </w:tbl>
    <w:p w14:paraId="05C6E46D">
      <w:pPr>
        <w:spacing w:line="324" w:lineRule="auto"/>
        <w:ind w:left="11" w:right="-199" w:firstLine="420" w:firstLineChars="200"/>
        <w:rPr>
          <w:rFonts w:ascii="宋体" w:hAnsi="宋体" w:cs="宋体"/>
          <w:color w:val="000000"/>
          <w:szCs w:val="21"/>
        </w:rPr>
      </w:pPr>
      <w:r>
        <w:rPr>
          <w:rFonts w:hint="eastAsia" w:ascii="宋体" w:hAnsi="宋体" w:cs="宋体"/>
          <w:color w:val="000000"/>
          <w:szCs w:val="21"/>
        </w:rPr>
        <w:t>2、根据实际招聘人数及在岗时间据实结算，每季度集中支付一次项目款，总结算费用不超过采购预算。</w:t>
      </w:r>
    </w:p>
    <w:p w14:paraId="16A8725F">
      <w:pPr>
        <w:spacing w:line="324" w:lineRule="auto"/>
        <w:ind w:firstLine="420"/>
        <w:rPr>
          <w:rFonts w:ascii="宋体" w:hAnsi="宋体" w:cs="宋体"/>
          <w:color w:val="000000"/>
          <w:szCs w:val="21"/>
        </w:rPr>
      </w:pPr>
      <w:r>
        <w:rPr>
          <w:rFonts w:hint="eastAsia" w:ascii="宋体" w:hAnsi="宋体" w:cs="宋体"/>
          <w:color w:val="000000"/>
          <w:szCs w:val="21"/>
        </w:rPr>
        <w:t>3、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01FB92BF">
      <w:pPr>
        <w:spacing w:line="324" w:lineRule="auto"/>
        <w:ind w:firstLine="420"/>
        <w:rPr>
          <w:rFonts w:ascii="宋体" w:hAnsi="宋体" w:cs="宋体"/>
          <w:color w:val="000000"/>
          <w:szCs w:val="21"/>
        </w:rPr>
      </w:pPr>
      <w:r>
        <w:rPr>
          <w:rFonts w:hint="eastAsia" w:ascii="宋体" w:hAnsi="宋体" w:cs="宋体"/>
          <w:color w:val="000000"/>
          <w:szCs w:val="21"/>
        </w:rPr>
        <w:t>4、因甲方所有的付款均需财政部门审</w:t>
      </w:r>
      <w:bookmarkStart w:id="1" w:name="_GoBack"/>
      <w:bookmarkEnd w:id="1"/>
      <w:r>
        <w:rPr>
          <w:rFonts w:hint="eastAsia" w:ascii="宋体" w:hAnsi="宋体" w:cs="宋体"/>
          <w:color w:val="000000"/>
          <w:szCs w:val="21"/>
        </w:rPr>
        <w:t>批，本合同履行期间，非因甲方故意拖延付款申请流程造成的逾期付款的，乙方对此予以谅解且不得追究甲方的逾期付款责任。</w:t>
      </w:r>
    </w:p>
    <w:p w14:paraId="23DE83D1">
      <w:pPr>
        <w:spacing w:line="324" w:lineRule="auto"/>
        <w:rPr>
          <w:rFonts w:ascii="宋体" w:hAnsi="宋体" w:cs="宋体"/>
          <w:b/>
          <w:color w:val="000000"/>
          <w:szCs w:val="21"/>
        </w:rPr>
      </w:pPr>
      <w:r>
        <w:rPr>
          <w:rFonts w:hint="eastAsia" w:ascii="宋体" w:hAnsi="宋体" w:cs="宋体"/>
          <w:b/>
          <w:color w:val="000000"/>
          <w:szCs w:val="21"/>
        </w:rPr>
        <w:t>第五条  知识产权</w:t>
      </w:r>
    </w:p>
    <w:p w14:paraId="0701512D">
      <w:pPr>
        <w:spacing w:line="324" w:lineRule="auto"/>
        <w:ind w:firstLine="420"/>
        <w:rPr>
          <w:rFonts w:ascii="宋体" w:hAnsi="宋体" w:cs="宋体"/>
          <w:color w:val="000000"/>
          <w:szCs w:val="21"/>
        </w:rPr>
      </w:pPr>
      <w:r>
        <w:rPr>
          <w:rFonts w:hint="eastAsia" w:ascii="宋体" w:hAnsi="宋体" w:cs="宋体"/>
          <w:color w:val="000000"/>
          <w:szCs w:val="21"/>
        </w:rPr>
        <w:t>1、乙方应保证所提供的成果（或服务）其任何一部分均不会侵犯任何第三方的专利权、商标权或著作权。</w:t>
      </w:r>
    </w:p>
    <w:p w14:paraId="2603E467">
      <w:pPr>
        <w:spacing w:line="324" w:lineRule="auto"/>
        <w:ind w:firstLine="420"/>
        <w:rPr>
          <w:rFonts w:ascii="宋体" w:hAnsi="宋体" w:cs="宋体"/>
          <w:color w:val="000000"/>
          <w:szCs w:val="21"/>
        </w:rPr>
      </w:pPr>
      <w:r>
        <w:rPr>
          <w:rFonts w:hint="eastAsia" w:ascii="宋体" w:hAnsi="宋体" w:cs="宋体"/>
          <w:color w:val="000000"/>
          <w:szCs w:val="21"/>
        </w:rPr>
        <w:t>2、乙方保证其在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00DCD759">
      <w:pPr>
        <w:pStyle w:val="7"/>
        <w:shd w:val="clear" w:color="auto" w:fill="FFFFFF"/>
        <w:spacing w:beforeAutospacing="0" w:afterAutospacing="0" w:line="324" w:lineRule="auto"/>
        <w:rPr>
          <w:b/>
          <w:bCs/>
          <w:color w:val="000000"/>
          <w:sz w:val="21"/>
          <w:szCs w:val="21"/>
        </w:rPr>
      </w:pPr>
      <w:r>
        <w:rPr>
          <w:rFonts w:hint="eastAsia"/>
          <w:b/>
          <w:bCs/>
          <w:color w:val="000000"/>
          <w:sz w:val="21"/>
          <w:szCs w:val="21"/>
        </w:rPr>
        <w:t>第六条  甲方的权利和义务</w:t>
      </w:r>
    </w:p>
    <w:p w14:paraId="161CAD35">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67C06C56">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2、负责检查监督乙方管理工作的实施及制度的执行情况。</w:t>
      </w:r>
    </w:p>
    <w:p w14:paraId="646002C9">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3、甲方有权对乙方人员的工作情况及纪律作风监督检查，明确员工职责范围，对工作中不负责任、违反管理规定的人员，有权提出辞退要求，情况属实，乙方应无条件予以执行。</w:t>
      </w:r>
    </w:p>
    <w:p w14:paraId="17B0AA0A">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4、根据本合同规定，按时向乙方支付应付服务费用。</w:t>
      </w:r>
    </w:p>
    <w:p w14:paraId="7107551F">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5、国家法律、法规所规定由甲方承担的其他责任。</w:t>
      </w:r>
    </w:p>
    <w:p w14:paraId="1A10D877">
      <w:pPr>
        <w:pStyle w:val="7"/>
        <w:shd w:val="clear" w:color="auto" w:fill="FFFFFF"/>
        <w:spacing w:beforeAutospacing="0" w:afterAutospacing="0" w:line="324" w:lineRule="auto"/>
        <w:rPr>
          <w:b/>
          <w:bCs/>
          <w:color w:val="000000"/>
          <w:sz w:val="21"/>
          <w:szCs w:val="21"/>
        </w:rPr>
      </w:pPr>
      <w:r>
        <w:rPr>
          <w:rFonts w:hint="eastAsia"/>
          <w:b/>
          <w:bCs/>
          <w:color w:val="000000"/>
          <w:sz w:val="21"/>
          <w:szCs w:val="21"/>
        </w:rPr>
        <w:t>第七条  乙方的权利和义务</w:t>
      </w:r>
    </w:p>
    <w:p w14:paraId="65B4EE7B">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1、按合同要求派出合格的服务人员，依据岗位职责结合甲方交予的任务执行服务工作；遵守甲方制定的各项规章制度，为甲方提供保障服务。</w:t>
      </w:r>
    </w:p>
    <w:p w14:paraId="18F6082D">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2、乙方人员在上岗期间要着装整洁、仪表端庄，坚守岗位、遵守纪律、认真负责。</w:t>
      </w:r>
    </w:p>
    <w:p w14:paraId="3C79562A">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 xml:space="preserve">3、乙方定期征求甲方的意见，以便及时沟通并做好服务工作。 </w:t>
      </w:r>
    </w:p>
    <w:p w14:paraId="7DFDECC5">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4、乙方人员因工作失职或疏忽直接造成损失，由乙方处理并承担相关责任。</w:t>
      </w:r>
    </w:p>
    <w:p w14:paraId="08A51FD6">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5、乙方负责现场人员的日常管理和业务培训，并承担其职务行为职责</w:t>
      </w:r>
    </w:p>
    <w:p w14:paraId="134D78F5">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6、根据本合同的规定向甲方收取相关服务费用，并有权在本项目管理范围内管理及合理使用。</w:t>
      </w:r>
    </w:p>
    <w:p w14:paraId="79EF7404">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7、及时向甲方通告本项目服务范围内有关服务的重大事项，及时配合处理投诉。</w:t>
      </w:r>
    </w:p>
    <w:p w14:paraId="17A87C8A">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8、接受项目行业管理部门及政府有关部门的指导，接受甲方的监督。</w:t>
      </w:r>
    </w:p>
    <w:p w14:paraId="5133E30B">
      <w:pPr>
        <w:pStyle w:val="7"/>
        <w:shd w:val="clear" w:color="auto" w:fill="FFFFFF"/>
        <w:spacing w:beforeAutospacing="0" w:afterAutospacing="0" w:line="324" w:lineRule="auto"/>
        <w:ind w:firstLine="420" w:firstLineChars="200"/>
        <w:rPr>
          <w:color w:val="000000"/>
          <w:sz w:val="21"/>
          <w:szCs w:val="21"/>
        </w:rPr>
      </w:pPr>
      <w:r>
        <w:rPr>
          <w:rFonts w:hint="eastAsia"/>
          <w:color w:val="000000"/>
          <w:sz w:val="21"/>
          <w:szCs w:val="21"/>
        </w:rPr>
        <w:t>9、国家法律、法规所规定由乙方承担的其他责任。</w:t>
      </w:r>
    </w:p>
    <w:p w14:paraId="3E5FFF5B">
      <w:pPr>
        <w:spacing w:line="324" w:lineRule="auto"/>
        <w:rPr>
          <w:rFonts w:ascii="宋体" w:hAnsi="宋体" w:cs="宋体"/>
          <w:b/>
          <w:bCs/>
          <w:color w:val="000000"/>
          <w:szCs w:val="21"/>
          <w:shd w:val="clear" w:color="auto" w:fill="FFFFFF"/>
        </w:rPr>
      </w:pPr>
      <w:r>
        <w:rPr>
          <w:rFonts w:hint="eastAsia" w:ascii="宋体" w:hAnsi="宋体" w:cs="宋体"/>
          <w:b/>
          <w:bCs/>
          <w:color w:val="000000"/>
          <w:szCs w:val="21"/>
          <w:shd w:val="clear" w:color="auto" w:fill="FFFFFF"/>
        </w:rPr>
        <w:t>第八条 质量保证</w:t>
      </w:r>
    </w:p>
    <w:p w14:paraId="346DBA8C">
      <w:pPr>
        <w:spacing w:line="324" w:lineRule="auto"/>
        <w:ind w:firstLine="388" w:firstLineChars="200"/>
        <w:rPr>
          <w:rFonts w:ascii="宋体" w:hAnsi="宋体" w:cs="宋体"/>
          <w:color w:val="000000"/>
          <w:spacing w:val="-7"/>
          <w:szCs w:val="21"/>
        </w:rPr>
      </w:pPr>
      <w:r>
        <w:rPr>
          <w:rFonts w:hint="eastAsia" w:ascii="宋体" w:hAnsi="宋体" w:cs="宋体"/>
          <w:color w:val="000000"/>
          <w:spacing w:val="-8"/>
          <w:szCs w:val="21"/>
        </w:rPr>
        <w:t>1、在服务范围内按工作内容和要求制定详细</w:t>
      </w:r>
      <w:r>
        <w:rPr>
          <w:rFonts w:hint="eastAsia" w:ascii="宋体" w:hAnsi="宋体" w:cs="宋体"/>
          <w:color w:val="000000"/>
          <w:spacing w:val="-9"/>
          <w:szCs w:val="21"/>
        </w:rPr>
        <w:t>的方案，方案应科学、合理、合法、</w:t>
      </w:r>
      <w:r>
        <w:rPr>
          <w:rFonts w:hint="eastAsia" w:ascii="宋体" w:hAnsi="宋体" w:cs="宋体"/>
          <w:color w:val="000000"/>
          <w:spacing w:val="-7"/>
          <w:szCs w:val="21"/>
        </w:rPr>
        <w:t>可靠。</w:t>
      </w:r>
    </w:p>
    <w:p w14:paraId="71567FEC">
      <w:pPr>
        <w:spacing w:line="324" w:lineRule="auto"/>
        <w:ind w:firstLine="404" w:firstLineChars="200"/>
        <w:rPr>
          <w:rFonts w:ascii="宋体" w:hAnsi="宋体" w:cs="宋体"/>
          <w:color w:val="000000"/>
          <w:spacing w:val="-1"/>
          <w:szCs w:val="21"/>
        </w:rPr>
      </w:pPr>
      <w:r>
        <w:rPr>
          <w:rFonts w:hint="eastAsia" w:ascii="宋体" w:hAnsi="宋体" w:cs="宋体"/>
          <w:color w:val="000000"/>
          <w:spacing w:val="-4"/>
          <w:szCs w:val="21"/>
        </w:rPr>
        <w:t>2、人员配备合理，有针对本项目的专项服务小组，项目负责人、工作人员分工</w:t>
      </w:r>
      <w:r>
        <w:rPr>
          <w:rFonts w:hint="eastAsia" w:ascii="宋体" w:hAnsi="宋体" w:cs="宋体"/>
          <w:color w:val="000000"/>
          <w:spacing w:val="-1"/>
          <w:szCs w:val="21"/>
        </w:rPr>
        <w:t>明确，确保服务质量（应有具体成员名单，包括姓名、工作职责、联系方式等）</w:t>
      </w:r>
    </w:p>
    <w:p w14:paraId="3733A134">
      <w:pPr>
        <w:spacing w:line="324" w:lineRule="auto"/>
        <w:ind w:firstLine="416" w:firstLineChars="200"/>
        <w:rPr>
          <w:rFonts w:ascii="宋体" w:hAnsi="宋体" w:cs="宋体"/>
          <w:color w:val="000000"/>
          <w:spacing w:val="-1"/>
          <w:szCs w:val="21"/>
        </w:rPr>
      </w:pPr>
      <w:r>
        <w:rPr>
          <w:rFonts w:hint="eastAsia" w:ascii="宋体" w:hAnsi="宋体" w:cs="宋体"/>
          <w:color w:val="000000"/>
          <w:spacing w:val="-1"/>
          <w:szCs w:val="21"/>
        </w:rPr>
        <w:t>3、有各类突发事件的应急预案和措施，有明确具体的承诺。</w:t>
      </w:r>
    </w:p>
    <w:p w14:paraId="468BCB9B">
      <w:pPr>
        <w:spacing w:line="324" w:lineRule="auto"/>
        <w:ind w:firstLine="412" w:firstLineChars="200"/>
        <w:rPr>
          <w:rFonts w:ascii="宋体" w:hAnsi="宋体" w:cs="宋体"/>
          <w:color w:val="000000"/>
          <w:spacing w:val="-1"/>
          <w:szCs w:val="21"/>
        </w:rPr>
      </w:pPr>
      <w:r>
        <w:rPr>
          <w:rFonts w:hint="eastAsia" w:ascii="宋体" w:hAnsi="宋体" w:cs="宋体"/>
          <w:color w:val="000000"/>
          <w:spacing w:val="-2"/>
          <w:szCs w:val="21"/>
        </w:rPr>
        <w:t>4、乙方所拟派的工作人员，若在服务期间发生侵害第三方或被第三方侵害，</w:t>
      </w:r>
      <w:r>
        <w:rPr>
          <w:rFonts w:hint="eastAsia" w:ascii="宋体" w:hAnsi="宋体" w:cs="宋体"/>
          <w:color w:val="000000"/>
          <w:spacing w:val="-1"/>
          <w:szCs w:val="21"/>
        </w:rPr>
        <w:t>甲方概不负责，由乙方自行处理并承担相应损失。</w:t>
      </w:r>
    </w:p>
    <w:p w14:paraId="580F2392">
      <w:pPr>
        <w:spacing w:line="324" w:lineRule="auto"/>
        <w:ind w:firstLine="420" w:firstLineChars="200"/>
        <w:rPr>
          <w:rFonts w:ascii="宋体" w:hAnsi="宋体" w:cs="宋体"/>
          <w:color w:val="000000"/>
          <w:szCs w:val="21"/>
        </w:rPr>
      </w:pPr>
      <w:r>
        <w:rPr>
          <w:rFonts w:hint="eastAsia" w:ascii="宋体" w:hAnsi="宋体" w:cs="宋体"/>
          <w:color w:val="000000"/>
          <w:szCs w:val="21"/>
        </w:rPr>
        <w:t>5、各项服务标准符合国家、省、市（行业）强制性标准及甲方要求。</w:t>
      </w:r>
    </w:p>
    <w:p w14:paraId="58A1A156">
      <w:pPr>
        <w:spacing w:line="324" w:lineRule="auto"/>
        <w:rPr>
          <w:rFonts w:ascii="宋体" w:hAnsi="宋体" w:cs="宋体"/>
          <w:color w:val="000000"/>
          <w:spacing w:val="-1"/>
          <w:szCs w:val="21"/>
        </w:rPr>
      </w:pPr>
      <w:r>
        <w:rPr>
          <w:rFonts w:hint="eastAsia" w:ascii="宋体" w:hAnsi="宋体" w:cs="宋体"/>
          <w:b/>
          <w:bCs/>
          <w:color w:val="000000"/>
          <w:szCs w:val="21"/>
          <w:shd w:val="clear" w:color="auto" w:fill="FFFFFF"/>
        </w:rPr>
        <w:t>第九条 考核（验收）标准和方法</w:t>
      </w:r>
    </w:p>
    <w:p w14:paraId="42024756">
      <w:pPr>
        <w:spacing w:line="324" w:lineRule="auto"/>
        <w:ind w:left="491"/>
        <w:rPr>
          <w:rFonts w:ascii="宋体" w:hAnsi="宋体" w:cs="宋体"/>
          <w:color w:val="000000"/>
          <w:spacing w:val="-1"/>
          <w:szCs w:val="21"/>
        </w:rPr>
      </w:pPr>
      <w:r>
        <w:rPr>
          <w:rFonts w:hint="eastAsia" w:ascii="宋体" w:hAnsi="宋体" w:cs="宋体"/>
          <w:color w:val="000000"/>
          <w:spacing w:val="-1"/>
          <w:szCs w:val="21"/>
        </w:rPr>
        <w:t>1、乙方应严格遵守采购单位有关保密规定，不得泄漏一切机密；</w:t>
      </w:r>
    </w:p>
    <w:p w14:paraId="79E4D72D">
      <w:pPr>
        <w:spacing w:line="324" w:lineRule="auto"/>
        <w:ind w:left="491"/>
        <w:rPr>
          <w:rFonts w:ascii="宋体" w:hAnsi="宋体" w:cs="宋体"/>
          <w:color w:val="000000"/>
          <w:szCs w:val="21"/>
        </w:rPr>
      </w:pPr>
      <w:r>
        <w:rPr>
          <w:rFonts w:hint="eastAsia" w:ascii="宋体" w:hAnsi="宋体" w:cs="宋体"/>
          <w:color w:val="000000"/>
          <w:spacing w:val="-4"/>
          <w:szCs w:val="21"/>
        </w:rPr>
        <w:t>2、在服务期间，乙方对接触到的有关采购单位商业活动、技术情报和技</w:t>
      </w:r>
      <w:r>
        <w:rPr>
          <w:rFonts w:hint="eastAsia" w:ascii="宋体" w:hAnsi="宋体" w:cs="宋体"/>
          <w:color w:val="000000"/>
          <w:spacing w:val="-2"/>
          <w:szCs w:val="21"/>
        </w:rPr>
        <w:t>术资料等文件进行保密；</w:t>
      </w:r>
    </w:p>
    <w:p w14:paraId="10B62BBB">
      <w:pPr>
        <w:spacing w:line="324" w:lineRule="auto"/>
        <w:ind w:firstLine="420" w:firstLineChars="200"/>
        <w:rPr>
          <w:rFonts w:ascii="宋体" w:hAnsi="宋体" w:cs="宋体"/>
          <w:color w:val="000000"/>
          <w:szCs w:val="21"/>
        </w:rPr>
      </w:pPr>
      <w:r>
        <w:rPr>
          <w:rFonts w:hint="eastAsia" w:ascii="宋体" w:hAnsi="宋体" w:cs="宋体"/>
          <w:color w:val="000000"/>
          <w:szCs w:val="21"/>
          <w:shd w:val="clear" w:color="auto" w:fill="FFFFFF"/>
        </w:rPr>
        <w:t>3、</w:t>
      </w:r>
      <w:r>
        <w:rPr>
          <w:rFonts w:hint="eastAsia" w:ascii="宋体" w:hAnsi="宋体" w:cs="宋体"/>
          <w:color w:val="000000"/>
          <w:szCs w:val="21"/>
        </w:rPr>
        <w:t>乙方</w:t>
      </w:r>
      <w:r>
        <w:rPr>
          <w:rFonts w:hint="eastAsia" w:ascii="宋体" w:hAnsi="宋体" w:cs="宋体"/>
          <w:color w:val="000000"/>
          <w:szCs w:val="21"/>
          <w:shd w:val="clear" w:color="auto" w:fill="FFFFFF"/>
        </w:rPr>
        <w:t>未经甲方许可不得将</w:t>
      </w:r>
      <w:r>
        <w:rPr>
          <w:rFonts w:hint="eastAsia" w:ascii="宋体" w:hAnsi="宋体" w:cs="宋体"/>
          <w:color w:val="000000"/>
          <w:szCs w:val="21"/>
        </w:rPr>
        <w:t>修志编纂</w:t>
      </w:r>
      <w:r>
        <w:rPr>
          <w:rFonts w:hint="eastAsia" w:ascii="宋体" w:hAnsi="宋体" w:cs="宋体"/>
          <w:color w:val="000000"/>
          <w:szCs w:val="21"/>
          <w:shd w:val="clear" w:color="auto" w:fill="FFFFFF"/>
        </w:rPr>
        <w:t>相关内容外泄或给第三方提供；</w:t>
      </w:r>
      <w:r>
        <w:rPr>
          <w:rFonts w:hint="eastAsia" w:ascii="宋体" w:hAnsi="宋体" w:cs="宋体"/>
          <w:color w:val="000000"/>
          <w:szCs w:val="21"/>
        </w:rPr>
        <w:t>如出现乙方</w:t>
      </w:r>
      <w:r>
        <w:rPr>
          <w:rFonts w:hint="eastAsia" w:ascii="宋体" w:hAnsi="宋体" w:cs="宋体"/>
          <w:color w:val="000000"/>
          <w:szCs w:val="21"/>
          <w:shd w:val="clear" w:color="auto" w:fill="FFFFFF"/>
        </w:rPr>
        <w:t>外泄或给第三方提供给甲方造成损失的</w:t>
      </w:r>
      <w:r>
        <w:rPr>
          <w:rFonts w:hint="eastAsia" w:ascii="宋体" w:hAnsi="宋体" w:cs="宋体"/>
          <w:color w:val="000000"/>
          <w:szCs w:val="21"/>
        </w:rPr>
        <w:t>，乙方应负责承担由此造成的一切责任和损失。</w:t>
      </w:r>
    </w:p>
    <w:p w14:paraId="190FFC71">
      <w:pPr>
        <w:spacing w:line="324" w:lineRule="auto"/>
        <w:rPr>
          <w:rFonts w:ascii="宋体" w:hAnsi="宋体" w:cs="宋体"/>
          <w:color w:val="000000"/>
          <w:szCs w:val="21"/>
        </w:rPr>
      </w:pPr>
      <w:r>
        <w:rPr>
          <w:rFonts w:hint="eastAsia" w:ascii="宋体" w:hAnsi="宋体" w:cs="宋体"/>
          <w:b/>
          <w:bCs/>
          <w:color w:val="000000"/>
          <w:szCs w:val="21"/>
          <w:shd w:val="clear" w:color="auto" w:fill="FFFFFF"/>
        </w:rPr>
        <w:t>第十条 考核（验收）标准和方法</w:t>
      </w:r>
    </w:p>
    <w:p w14:paraId="7B2996B4">
      <w:pPr>
        <w:pStyle w:val="5"/>
        <w:spacing w:line="324" w:lineRule="auto"/>
        <w:ind w:firstLine="562" w:firstLineChars="200"/>
        <w:rPr>
          <w:rFonts w:cs="宋体"/>
          <w:color w:val="000000"/>
          <w:szCs w:val="21"/>
        </w:rPr>
      </w:pPr>
      <w:r>
        <w:rPr>
          <w:rFonts w:hint="eastAsia" w:cs="宋体"/>
          <w:color w:val="000000"/>
          <w:szCs w:val="21"/>
        </w:rPr>
        <w:t>现行的国家标准或国家行政部门颁布的法律法规、规章制度等，是项目验收的重要依据，甲方单位根据有关规范、规定及项目要求对服务进行检查或考核，乙方须接受甲方的各类考核或检查；若验收不通过或服务质量不符合采购要求，乙方应在一定期限以甲方要求的标准进行整改或进一步完善，并再次进行考核或检查，若乙方在接受检查整改后最终仍未按要求提供符合要求和服务，甲方有权按违约予以撤项，由此产生的一切责任和费用均由乙方承担，具体程序如下：</w:t>
      </w:r>
    </w:p>
    <w:p w14:paraId="102A8412">
      <w:pPr>
        <w:spacing w:line="324" w:lineRule="auto"/>
        <w:ind w:firstLine="420" w:firstLineChars="200"/>
        <w:rPr>
          <w:rFonts w:ascii="宋体" w:hAnsi="宋体" w:cs="宋体"/>
          <w:color w:val="000000"/>
          <w:szCs w:val="21"/>
          <w:shd w:val="clear" w:color="auto" w:fill="FFFFFF"/>
        </w:rPr>
      </w:pPr>
      <w:r>
        <w:rPr>
          <w:rFonts w:hint="eastAsia" w:ascii="宋体" w:hAnsi="宋体" w:cs="宋体"/>
          <w:color w:val="000000"/>
          <w:szCs w:val="21"/>
          <w:shd w:val="clear" w:color="auto" w:fill="FFFFFF"/>
        </w:rPr>
        <w:t>（1）若有验收程序，甲乙双方必须同时在场，乙方所提供的服务不符合合同内容规定的，甲方有权拒绝验收。乙方应及时按本合同内容规定和甲方要求免费进行整改，直至验收合格，视为乙方按本合同规定完成服务。</w:t>
      </w:r>
    </w:p>
    <w:p w14:paraId="30580B89">
      <w:pPr>
        <w:spacing w:line="324" w:lineRule="auto"/>
        <w:ind w:firstLine="420" w:firstLineChars="200"/>
        <w:rPr>
          <w:rFonts w:ascii="宋体" w:hAnsi="宋体" w:cs="宋体"/>
          <w:b/>
          <w:bCs/>
          <w:color w:val="000000"/>
          <w:szCs w:val="21"/>
        </w:rPr>
      </w:pPr>
      <w:r>
        <w:rPr>
          <w:rFonts w:hint="eastAsia" w:ascii="宋体" w:hAnsi="宋体" w:cs="宋体"/>
          <w:color w:val="000000"/>
          <w:szCs w:val="21"/>
          <w:shd w:val="clear" w:color="auto" w:fill="FFFFFF"/>
        </w:rPr>
        <w:t>（2）在经过乙方两次限期整改后，服务仍达不到合同文件规定内容的，甲方有权拒收，并可以解除合同，由此引起甲方损失及赔偿责任由乙方承担。</w:t>
      </w:r>
    </w:p>
    <w:p w14:paraId="22BE4878">
      <w:pPr>
        <w:pStyle w:val="7"/>
        <w:shd w:val="clear" w:color="auto" w:fill="FFFFFF"/>
        <w:spacing w:beforeAutospacing="0" w:afterAutospacing="0" w:line="324" w:lineRule="auto"/>
        <w:rPr>
          <w:b/>
          <w:bCs/>
          <w:color w:val="000000"/>
          <w:sz w:val="21"/>
          <w:szCs w:val="21"/>
        </w:rPr>
      </w:pPr>
      <w:r>
        <w:rPr>
          <w:rFonts w:hint="eastAsia"/>
          <w:b/>
          <w:bCs/>
          <w:color w:val="000000"/>
          <w:sz w:val="21"/>
          <w:szCs w:val="21"/>
        </w:rPr>
        <w:t>第十一条  违约责任</w:t>
      </w:r>
    </w:p>
    <w:p w14:paraId="536D7CDC">
      <w:pPr>
        <w:spacing w:line="324" w:lineRule="auto"/>
        <w:ind w:firstLine="420" w:firstLineChars="200"/>
        <w:rPr>
          <w:rFonts w:ascii="宋体" w:hAnsi="宋体" w:cs="宋体"/>
          <w:color w:val="000000"/>
          <w:szCs w:val="21"/>
        </w:rPr>
      </w:pPr>
      <w:r>
        <w:rPr>
          <w:rFonts w:hint="eastAsia" w:ascii="宋体" w:hAnsi="宋体" w:cs="宋体"/>
          <w:color w:val="000000"/>
          <w:szCs w:val="21"/>
        </w:rPr>
        <w:t>1、合同违约情况按《中华人民共和国民法典》中的相关条款执行。</w:t>
      </w:r>
    </w:p>
    <w:p w14:paraId="19AB9B73">
      <w:pPr>
        <w:spacing w:line="324" w:lineRule="auto"/>
        <w:ind w:firstLine="420" w:firstLineChars="200"/>
        <w:rPr>
          <w:rFonts w:ascii="宋体" w:hAnsi="宋体" w:cs="宋体"/>
          <w:color w:val="000000"/>
          <w:szCs w:val="21"/>
        </w:rPr>
      </w:pPr>
      <w:r>
        <w:rPr>
          <w:rFonts w:hint="eastAsia" w:ascii="宋体" w:hAnsi="宋体" w:cs="宋体"/>
          <w:color w:val="000000"/>
          <w:szCs w:val="21"/>
        </w:rPr>
        <w:t>2、甲乙双方必须遵守本合同并执行合同中的各项规定，保证本合同的正常履行。</w:t>
      </w:r>
    </w:p>
    <w:p w14:paraId="6593F56A">
      <w:pPr>
        <w:spacing w:line="324" w:lineRule="auto"/>
        <w:ind w:firstLine="420" w:firstLineChars="200"/>
        <w:rPr>
          <w:rFonts w:ascii="宋体" w:hAnsi="宋体" w:cs="宋体"/>
          <w:color w:val="000000"/>
          <w:szCs w:val="21"/>
        </w:rPr>
      </w:pPr>
      <w:r>
        <w:rPr>
          <w:rFonts w:hint="eastAsia" w:ascii="宋体" w:hAnsi="宋体" w:cs="宋体"/>
          <w:color w:val="000000"/>
          <w:szCs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A8650C0">
      <w:pPr>
        <w:spacing w:line="324" w:lineRule="auto"/>
        <w:ind w:firstLine="420" w:firstLineChars="200"/>
        <w:rPr>
          <w:rFonts w:ascii="宋体" w:hAnsi="宋体" w:cs="宋体"/>
          <w:color w:val="000000"/>
          <w:szCs w:val="21"/>
        </w:rPr>
      </w:pPr>
      <w:r>
        <w:rPr>
          <w:rFonts w:hint="eastAsia" w:ascii="宋体" w:hAnsi="宋体" w:cs="宋体"/>
          <w:color w:val="000000"/>
          <w:szCs w:val="21"/>
        </w:rPr>
        <w:t>4、未按合同要求提供服务或质量不能满足技术要求，甲方有权终止合同并对乙方违约行为进行追究，同时按政府采购法的有关规定进行相应的处罚。</w:t>
      </w:r>
    </w:p>
    <w:p w14:paraId="26AB1661">
      <w:pPr>
        <w:spacing w:line="324" w:lineRule="auto"/>
        <w:rPr>
          <w:rFonts w:ascii="宋体" w:hAnsi="宋体" w:cs="宋体"/>
          <w:b/>
          <w:color w:val="000000"/>
          <w:szCs w:val="21"/>
        </w:rPr>
      </w:pPr>
      <w:r>
        <w:rPr>
          <w:rFonts w:hint="eastAsia" w:ascii="宋体" w:hAnsi="宋体" w:cs="宋体"/>
          <w:b/>
          <w:color w:val="000000"/>
          <w:szCs w:val="21"/>
        </w:rPr>
        <w:t>第十二条  合同的变更和终止</w:t>
      </w:r>
    </w:p>
    <w:p w14:paraId="01383091">
      <w:pPr>
        <w:spacing w:line="324" w:lineRule="auto"/>
        <w:ind w:firstLine="420"/>
        <w:rPr>
          <w:rFonts w:ascii="宋体" w:hAnsi="宋体" w:cs="宋体"/>
          <w:color w:val="000000"/>
          <w:szCs w:val="21"/>
        </w:rPr>
      </w:pPr>
      <w:r>
        <w:rPr>
          <w:rFonts w:hint="eastAsia" w:ascii="宋体" w:hAnsi="宋体" w:cs="宋体"/>
          <w:color w:val="000000"/>
          <w:szCs w:val="21"/>
        </w:rPr>
        <w:t>除《中华人民共和国政府采购法》第49条、第50条第二款规定的情形外，本合同一经签订，甲乙双方不得擅自变更、中止或终止合同。</w:t>
      </w:r>
    </w:p>
    <w:p w14:paraId="57BE2CF0">
      <w:pPr>
        <w:spacing w:line="324" w:lineRule="auto"/>
        <w:rPr>
          <w:rFonts w:ascii="宋体" w:hAnsi="宋体" w:cs="宋体"/>
          <w:b/>
          <w:color w:val="000000"/>
          <w:szCs w:val="21"/>
        </w:rPr>
      </w:pPr>
      <w:r>
        <w:rPr>
          <w:rFonts w:hint="eastAsia" w:ascii="宋体" w:hAnsi="宋体" w:cs="宋体"/>
          <w:b/>
          <w:color w:val="000000"/>
          <w:szCs w:val="21"/>
        </w:rPr>
        <w:t>第十三条  解决合同纠纷的方式</w:t>
      </w:r>
    </w:p>
    <w:p w14:paraId="59F20C8E">
      <w:pPr>
        <w:spacing w:line="324" w:lineRule="auto"/>
        <w:ind w:firstLine="420"/>
        <w:rPr>
          <w:rFonts w:ascii="宋体" w:hAnsi="宋体" w:cs="宋体"/>
          <w:color w:val="000000"/>
          <w:szCs w:val="21"/>
        </w:rPr>
      </w:pPr>
      <w:r>
        <w:rPr>
          <w:rFonts w:hint="eastAsia" w:ascii="宋体" w:hAnsi="宋体" w:cs="宋体"/>
          <w:color w:val="000000"/>
          <w:szCs w:val="21"/>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cs="宋体"/>
          <w:color w:val="000000"/>
          <w:szCs w:val="21"/>
          <w:u w:val="single"/>
        </w:rPr>
        <w:t>（1）</w:t>
      </w:r>
      <w:r>
        <w:rPr>
          <w:rFonts w:hint="eastAsia" w:ascii="宋体" w:hAnsi="宋体" w:cs="宋体"/>
          <w:color w:val="000000"/>
          <w:szCs w:val="21"/>
        </w:rPr>
        <w:t>种方式解决争议：</w:t>
      </w:r>
    </w:p>
    <w:p w14:paraId="7F94F20A">
      <w:pPr>
        <w:spacing w:line="324" w:lineRule="auto"/>
        <w:ind w:firstLine="420"/>
        <w:rPr>
          <w:rFonts w:ascii="宋体" w:hAnsi="宋体" w:cs="宋体"/>
          <w:color w:val="000000"/>
          <w:szCs w:val="21"/>
        </w:rPr>
      </w:pPr>
      <w:r>
        <w:rPr>
          <w:rFonts w:hint="eastAsia" w:ascii="宋体" w:hAnsi="宋体" w:cs="宋体"/>
          <w:color w:val="000000"/>
          <w:szCs w:val="21"/>
        </w:rPr>
        <w:t>（1）向甲方所在地有管辖权的人民法院提起诉讼；</w:t>
      </w:r>
    </w:p>
    <w:p w14:paraId="7DDE14EA">
      <w:pPr>
        <w:spacing w:line="324" w:lineRule="auto"/>
        <w:ind w:firstLine="420"/>
        <w:rPr>
          <w:rFonts w:ascii="宋体" w:hAnsi="宋体" w:cs="宋体"/>
          <w:color w:val="000000"/>
          <w:szCs w:val="21"/>
        </w:rPr>
      </w:pPr>
      <w:r>
        <w:rPr>
          <w:rFonts w:hint="eastAsia" w:ascii="宋体" w:hAnsi="宋体" w:cs="宋体"/>
          <w:color w:val="000000"/>
          <w:szCs w:val="21"/>
        </w:rPr>
        <w:t>（2）向西安仲裁委员会按其仲裁规则申请仲裁。</w:t>
      </w:r>
    </w:p>
    <w:p w14:paraId="2BC39874">
      <w:pPr>
        <w:spacing w:line="324" w:lineRule="auto"/>
        <w:ind w:firstLine="420"/>
        <w:rPr>
          <w:rFonts w:ascii="宋体" w:hAnsi="宋体" w:cs="宋体"/>
          <w:color w:val="000000"/>
          <w:szCs w:val="21"/>
        </w:rPr>
      </w:pPr>
      <w:r>
        <w:rPr>
          <w:rFonts w:hint="eastAsia" w:ascii="宋体" w:hAnsi="宋体" w:cs="宋体"/>
          <w:color w:val="000000"/>
          <w:szCs w:val="21"/>
        </w:rPr>
        <w:t>2、在仲裁期间，除双方有争议的部分外，本合同其他部分仍然有效，各方应继续履行。</w:t>
      </w:r>
    </w:p>
    <w:p w14:paraId="6D2313B0">
      <w:pPr>
        <w:spacing w:line="324" w:lineRule="auto"/>
        <w:rPr>
          <w:rFonts w:ascii="宋体" w:hAnsi="宋体" w:cs="宋体"/>
          <w:b/>
          <w:color w:val="000000"/>
          <w:szCs w:val="21"/>
        </w:rPr>
      </w:pPr>
      <w:r>
        <w:rPr>
          <w:rFonts w:hint="eastAsia" w:ascii="宋体" w:hAnsi="宋体" w:cs="宋体"/>
          <w:b/>
          <w:color w:val="000000"/>
          <w:szCs w:val="21"/>
        </w:rPr>
        <w:t>第十四条  附件</w:t>
      </w:r>
    </w:p>
    <w:p w14:paraId="5C034251">
      <w:pPr>
        <w:spacing w:line="324" w:lineRule="auto"/>
        <w:ind w:firstLine="420"/>
        <w:rPr>
          <w:rFonts w:ascii="宋体" w:hAnsi="宋体" w:cs="宋体"/>
          <w:color w:val="000000"/>
          <w:szCs w:val="21"/>
        </w:rPr>
      </w:pPr>
      <w:r>
        <w:rPr>
          <w:rFonts w:hint="eastAsia" w:ascii="宋体" w:hAnsi="宋体" w:cs="宋体"/>
          <w:color w:val="000000"/>
          <w:szCs w:val="21"/>
        </w:rPr>
        <w:t>1、采购文件</w:t>
      </w:r>
    </w:p>
    <w:p w14:paraId="2AACFC43">
      <w:pPr>
        <w:spacing w:line="324" w:lineRule="auto"/>
        <w:ind w:firstLine="420"/>
        <w:rPr>
          <w:rFonts w:ascii="宋体" w:hAnsi="宋体" w:cs="宋体"/>
          <w:color w:val="000000"/>
          <w:szCs w:val="21"/>
        </w:rPr>
      </w:pPr>
      <w:r>
        <w:rPr>
          <w:rFonts w:hint="eastAsia" w:ascii="宋体" w:hAnsi="宋体" w:cs="宋体"/>
          <w:color w:val="000000"/>
          <w:szCs w:val="21"/>
        </w:rPr>
        <w:t>2、修改澄清文件</w:t>
      </w:r>
    </w:p>
    <w:p w14:paraId="480B1E04">
      <w:pPr>
        <w:spacing w:line="324" w:lineRule="auto"/>
        <w:ind w:firstLine="420"/>
        <w:rPr>
          <w:rFonts w:ascii="宋体" w:hAnsi="宋体" w:cs="宋体"/>
          <w:color w:val="000000"/>
          <w:szCs w:val="21"/>
        </w:rPr>
      </w:pPr>
      <w:r>
        <w:rPr>
          <w:rFonts w:hint="eastAsia" w:ascii="宋体" w:hAnsi="宋体" w:cs="宋体"/>
          <w:color w:val="000000"/>
          <w:szCs w:val="21"/>
        </w:rPr>
        <w:t>3、响应文件</w:t>
      </w:r>
    </w:p>
    <w:p w14:paraId="64E84424">
      <w:pPr>
        <w:spacing w:line="324" w:lineRule="auto"/>
        <w:ind w:firstLine="420"/>
        <w:rPr>
          <w:rFonts w:ascii="宋体" w:hAnsi="宋体" w:cs="宋体"/>
          <w:color w:val="000000"/>
          <w:szCs w:val="21"/>
        </w:rPr>
      </w:pPr>
      <w:r>
        <w:rPr>
          <w:rFonts w:hint="eastAsia" w:ascii="宋体" w:hAnsi="宋体" w:cs="宋体"/>
          <w:color w:val="000000"/>
          <w:szCs w:val="21"/>
        </w:rPr>
        <w:t>4、成交通知书</w:t>
      </w:r>
    </w:p>
    <w:p w14:paraId="649886B1">
      <w:pPr>
        <w:spacing w:line="324" w:lineRule="auto"/>
        <w:ind w:firstLine="420"/>
        <w:rPr>
          <w:rFonts w:ascii="宋体" w:hAnsi="宋体" w:cs="宋体"/>
          <w:b/>
          <w:color w:val="000000"/>
          <w:szCs w:val="21"/>
        </w:rPr>
      </w:pPr>
      <w:r>
        <w:rPr>
          <w:rFonts w:hint="eastAsia" w:ascii="宋体" w:hAnsi="宋体" w:cs="宋体"/>
          <w:color w:val="000000"/>
          <w:szCs w:val="21"/>
        </w:rPr>
        <w:t>5、其他</w:t>
      </w:r>
    </w:p>
    <w:p w14:paraId="6AA899E4">
      <w:pPr>
        <w:spacing w:line="324" w:lineRule="auto"/>
        <w:rPr>
          <w:rFonts w:ascii="宋体" w:hAnsi="宋体" w:cs="宋体"/>
          <w:b/>
          <w:color w:val="000000"/>
          <w:szCs w:val="21"/>
        </w:rPr>
      </w:pPr>
      <w:r>
        <w:rPr>
          <w:rFonts w:hint="eastAsia" w:ascii="宋体" w:hAnsi="宋体" w:cs="宋体"/>
          <w:b/>
          <w:color w:val="000000"/>
          <w:szCs w:val="21"/>
        </w:rPr>
        <w:t>第十五条  合同生效及其他</w:t>
      </w:r>
    </w:p>
    <w:p w14:paraId="178D36B3">
      <w:pPr>
        <w:spacing w:line="324" w:lineRule="auto"/>
        <w:ind w:firstLine="420"/>
        <w:rPr>
          <w:rFonts w:ascii="宋体" w:hAnsi="宋体" w:cs="宋体"/>
          <w:color w:val="000000"/>
          <w:szCs w:val="21"/>
        </w:rPr>
      </w:pPr>
      <w:r>
        <w:rPr>
          <w:rFonts w:hint="eastAsia" w:ascii="宋体" w:hAnsi="宋体" w:cs="宋体"/>
          <w:color w:val="000000"/>
          <w:szCs w:val="21"/>
        </w:rPr>
        <w:t>1、合同经双方法定代表人或授权委托代理人签字并加盖单位公章后生效。</w:t>
      </w:r>
    </w:p>
    <w:p w14:paraId="0E605A76">
      <w:pPr>
        <w:spacing w:line="324" w:lineRule="auto"/>
        <w:ind w:firstLine="420"/>
        <w:rPr>
          <w:rFonts w:ascii="宋体" w:hAnsi="宋体" w:cs="宋体"/>
          <w:color w:val="000000"/>
          <w:szCs w:val="21"/>
        </w:rPr>
      </w:pPr>
      <w:r>
        <w:rPr>
          <w:rFonts w:hint="eastAsia" w:ascii="宋体" w:hAnsi="宋体" w:cs="宋体"/>
          <w:color w:val="000000"/>
          <w:szCs w:val="21"/>
        </w:rPr>
        <w:t>2、合同执行中涉及采购资金和采购内容修改或补充的，须经政府采购监管部门审批，并签订书面补充协议报政府采购监督管理部门备案，方可作为主合同不可分割的一部分。</w:t>
      </w:r>
    </w:p>
    <w:p w14:paraId="2E98B583">
      <w:pPr>
        <w:spacing w:line="324" w:lineRule="auto"/>
        <w:ind w:firstLine="420"/>
        <w:rPr>
          <w:rFonts w:ascii="宋体" w:hAnsi="宋体" w:cs="宋体"/>
          <w:color w:val="000000"/>
          <w:szCs w:val="21"/>
        </w:rPr>
      </w:pPr>
      <w:r>
        <w:rPr>
          <w:rFonts w:hint="eastAsia" w:ascii="宋体" w:hAnsi="宋体" w:cs="宋体"/>
          <w:color w:val="000000"/>
          <w:szCs w:val="21"/>
        </w:rPr>
        <w:t>3、本合同一式份，自双方签章之日起生效。甲方份，乙方份，政府采购代理机构壹份，同级财政部门备案壹份，具有同等法律效力。</w:t>
      </w:r>
    </w:p>
    <w:p w14:paraId="332EB41D">
      <w:pPr>
        <w:spacing w:line="324" w:lineRule="auto"/>
        <w:ind w:firstLine="422"/>
        <w:jc w:val="center"/>
        <w:rPr>
          <w:rFonts w:ascii="宋体" w:hAnsi="宋体" w:cs="宋体"/>
          <w:b/>
          <w:color w:val="000000"/>
          <w:szCs w:val="21"/>
        </w:rPr>
      </w:pPr>
      <w:r>
        <w:rPr>
          <w:rFonts w:hint="eastAsia" w:ascii="宋体" w:hAnsi="宋体" w:cs="宋体"/>
          <w:b/>
          <w:color w:val="000000"/>
          <w:szCs w:val="21"/>
        </w:rPr>
        <w:t>（以下无正文为合同签署页）</w:t>
      </w:r>
    </w:p>
    <w:p w14:paraId="7A81A285">
      <w:pPr>
        <w:spacing w:line="324" w:lineRule="auto"/>
        <w:ind w:firstLine="420"/>
        <w:rPr>
          <w:rFonts w:ascii="宋体" w:hAnsi="宋体" w:cs="宋体"/>
          <w:color w:val="000000"/>
          <w:szCs w:val="21"/>
        </w:rPr>
      </w:pPr>
      <w:r>
        <w:rPr>
          <w:rFonts w:hint="eastAsia" w:ascii="宋体" w:hAnsi="宋体" w:cs="宋体"/>
          <w:color w:val="000000"/>
          <w:szCs w:val="21"/>
        </w:rPr>
        <w:t xml:space="preserve">甲方（盖章）：                          乙方（盖章）：                   </w:t>
      </w:r>
    </w:p>
    <w:p w14:paraId="4671C0D5">
      <w:pPr>
        <w:spacing w:line="324" w:lineRule="auto"/>
        <w:ind w:firstLine="420"/>
        <w:rPr>
          <w:rFonts w:ascii="宋体" w:hAnsi="宋体" w:cs="宋体"/>
          <w:color w:val="000000"/>
          <w:szCs w:val="21"/>
        </w:rPr>
      </w:pPr>
      <w:r>
        <w:rPr>
          <w:rFonts w:hint="eastAsia" w:ascii="宋体" w:hAnsi="宋体" w:cs="宋体"/>
          <w:color w:val="000000"/>
          <w:szCs w:val="21"/>
        </w:rPr>
        <w:t xml:space="preserve">法定代表人/授权代理人                  法定代表人/授权代理人             </w:t>
      </w:r>
    </w:p>
    <w:p w14:paraId="23C4CAEC">
      <w:pPr>
        <w:spacing w:line="324" w:lineRule="auto"/>
        <w:ind w:firstLine="420"/>
        <w:rPr>
          <w:rFonts w:ascii="宋体" w:hAnsi="宋体" w:cs="宋体"/>
          <w:color w:val="000000"/>
          <w:szCs w:val="21"/>
        </w:rPr>
      </w:pPr>
      <w:r>
        <w:rPr>
          <w:rFonts w:hint="eastAsia" w:ascii="宋体" w:hAnsi="宋体" w:cs="宋体"/>
          <w:color w:val="000000"/>
          <w:szCs w:val="21"/>
        </w:rPr>
        <w:t xml:space="preserve">（签字或盖章）：                       （签字或盖章）：          </w:t>
      </w:r>
    </w:p>
    <w:p w14:paraId="7976658A">
      <w:pPr>
        <w:spacing w:line="324" w:lineRule="auto"/>
        <w:ind w:firstLine="420"/>
        <w:rPr>
          <w:rFonts w:ascii="宋体" w:hAnsi="宋体" w:cs="宋体"/>
          <w:color w:val="000000"/>
          <w:szCs w:val="21"/>
        </w:rPr>
      </w:pPr>
      <w:r>
        <w:rPr>
          <w:rFonts w:hint="eastAsia" w:ascii="宋体" w:hAnsi="宋体" w:cs="宋体"/>
          <w:color w:val="000000"/>
          <w:szCs w:val="21"/>
        </w:rPr>
        <w:t xml:space="preserve">地址：                                  地址：                        </w:t>
      </w:r>
    </w:p>
    <w:p w14:paraId="6BF7E451">
      <w:pPr>
        <w:spacing w:line="324" w:lineRule="auto"/>
        <w:ind w:firstLine="420"/>
        <w:rPr>
          <w:rFonts w:ascii="宋体" w:hAnsi="宋体" w:cs="宋体"/>
          <w:color w:val="000000"/>
          <w:szCs w:val="21"/>
        </w:rPr>
      </w:pPr>
      <w:r>
        <w:rPr>
          <w:rFonts w:hint="eastAsia" w:ascii="宋体" w:hAnsi="宋体" w:cs="宋体"/>
          <w:color w:val="000000"/>
          <w:szCs w:val="21"/>
        </w:rPr>
        <w:t xml:space="preserve">电话：                                  电话：                    </w:t>
      </w:r>
    </w:p>
    <w:p w14:paraId="4C2AA73D">
      <w:pPr>
        <w:pStyle w:val="6"/>
        <w:adjustRightInd w:val="0"/>
        <w:snapToGrid w:val="0"/>
        <w:spacing w:line="324" w:lineRule="auto"/>
        <w:ind w:firstLine="420" w:firstLineChars="200"/>
        <w:rPr>
          <w:rFonts w:hAnsi="宋体" w:cs="宋体"/>
          <w:color w:val="000000"/>
        </w:rPr>
      </w:pPr>
      <w:r>
        <w:rPr>
          <w:rFonts w:hint="eastAsia" w:hAnsi="宋体" w:cs="宋体"/>
          <w:color w:val="000000"/>
        </w:rPr>
        <w:t>账户名称：                              账户名称：</w:t>
      </w:r>
    </w:p>
    <w:p w14:paraId="780734E9">
      <w:pPr>
        <w:pStyle w:val="6"/>
        <w:adjustRightInd w:val="0"/>
        <w:snapToGrid w:val="0"/>
        <w:spacing w:line="324" w:lineRule="auto"/>
        <w:ind w:firstLine="420" w:firstLineChars="200"/>
        <w:rPr>
          <w:rFonts w:hAnsi="宋体" w:cs="宋体"/>
          <w:color w:val="000000"/>
        </w:rPr>
      </w:pPr>
      <w:r>
        <w:rPr>
          <w:rFonts w:hint="eastAsia" w:hAnsi="宋体" w:cs="宋体"/>
          <w:color w:val="000000"/>
        </w:rPr>
        <w:t>账户号码：                              账户号码：</w:t>
      </w:r>
    </w:p>
    <w:p w14:paraId="37B31E0D">
      <w:pPr>
        <w:pStyle w:val="6"/>
        <w:adjustRightInd w:val="0"/>
        <w:snapToGrid w:val="0"/>
        <w:spacing w:line="324" w:lineRule="auto"/>
        <w:ind w:firstLine="420" w:firstLineChars="200"/>
        <w:rPr>
          <w:rFonts w:hAnsi="宋体" w:cs="宋体"/>
          <w:color w:val="000000"/>
        </w:rPr>
      </w:pPr>
      <w:r>
        <w:rPr>
          <w:rFonts w:hint="eastAsia" w:hAnsi="宋体" w:cs="宋体"/>
          <w:color w:val="000000"/>
        </w:rPr>
        <w:t>开户银行：                              开户银行：</w:t>
      </w:r>
    </w:p>
    <w:p w14:paraId="5C41605A">
      <w:pPr>
        <w:ind w:firstLine="420" w:firstLineChars="200"/>
        <w:rPr>
          <w:rFonts w:ascii="宋体" w:hAnsi="宋体" w:cs="宋体"/>
          <w:color w:val="000000"/>
          <w:szCs w:val="21"/>
        </w:rPr>
      </w:pPr>
      <w:r>
        <w:rPr>
          <w:rFonts w:hint="eastAsia" w:ascii="宋体" w:hAnsi="宋体" w:cs="宋体"/>
          <w:color w:val="000000"/>
          <w:szCs w:val="21"/>
        </w:rPr>
        <w:t xml:space="preserve">签约时间：                              签约时间： </w:t>
      </w:r>
      <w:r>
        <w:rPr>
          <w:rFonts w:hint="eastAsia" w:ascii="宋体" w:hAnsi="宋体" w:cs="宋体"/>
          <w:color w:val="000000"/>
          <w:szCs w:val="21"/>
        </w:rPr>
        <w:br w:type="textWrapping"/>
      </w:r>
    </w:p>
    <w:p w14:paraId="34FF47E9">
      <w:pPr>
        <w:spacing w:line="360" w:lineRule="auto"/>
        <w:rPr>
          <w:rFonts w:ascii="仿宋" w:hAnsi="仿宋" w:eastAsia="仿宋" w:cs="仿宋"/>
          <w:b/>
          <w:bCs/>
          <w:sz w:val="24"/>
        </w:rPr>
      </w:pPr>
    </w:p>
    <w:p w14:paraId="6FCFF84A"/>
    <w:p w14:paraId="5163B4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958C0"/>
    <w:rsid w:val="4FD452E2"/>
    <w:rsid w:val="662130E4"/>
    <w:rsid w:val="79492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semiHidden/>
    <w:unhideWhenUsed/>
    <w:qFormat/>
    <w:uiPriority w:val="0"/>
    <w:pPr>
      <w:keepLines/>
      <w:tabs>
        <w:tab w:val="left" w:pos="840"/>
      </w:tabs>
      <w:adjustRightInd/>
      <w:spacing w:line="360" w:lineRule="auto"/>
      <w:ind w:left="0"/>
      <w:jc w:val="left"/>
      <w:textAlignment w:val="baseline"/>
      <w:outlineLvl w:val="9"/>
    </w:pPr>
    <w:rPr>
      <w:rFonts w:ascii="Times New Roman" w:hAnsi="Times New Roman" w:eastAsia="宋体" w:cs="Times New Roman"/>
      <w:sz w:val="28"/>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style>
  <w:style w:type="paragraph" w:styleId="5">
    <w:name w:val="Body Text"/>
    <w:basedOn w:val="1"/>
    <w:uiPriority w:val="0"/>
    <w:pPr>
      <w:spacing w:line="300" w:lineRule="auto"/>
      <w:jc w:val="center"/>
    </w:pPr>
    <w:rPr>
      <w:rFonts w:ascii="华文中宋" w:hAnsi="华文中宋" w:eastAsia="仿宋" w:cs="Times New Roman"/>
      <w:b/>
      <w:bCs/>
      <w:sz w:val="28"/>
    </w:rPr>
  </w:style>
  <w:style w:type="paragraph" w:styleId="6">
    <w:name w:val="Plain Text"/>
    <w:basedOn w:val="1"/>
    <w:qFormat/>
    <w:uiPriority w:val="0"/>
    <w:pPr>
      <w:spacing w:line="0" w:lineRule="atLeast"/>
    </w:pPr>
    <w:rPr>
      <w:rFonts w:ascii="微软雅黑" w:hAnsi="Courier New" w:eastAsia="微软雅黑" w:cstheme="minorBidi"/>
      <w:szCs w:val="22"/>
    </w:rPr>
  </w:style>
  <w:style w:type="paragraph" w:styleId="7">
    <w:name w:val="Normal (Web)"/>
    <w:basedOn w:val="1"/>
    <w:qFormat/>
    <w:uiPriority w:val="0"/>
    <w:pPr>
      <w:spacing w:before="100" w:beforeAutospacing="1" w:after="100" w:afterAutospacing="1"/>
      <w:jc w:val="left"/>
    </w:pPr>
    <w:rPr>
      <w:rFonts w:ascii="宋体" w:hAnsi="宋体" w:cs="宋体"/>
      <w:kern w:val="0"/>
      <w:sz w:val="24"/>
    </w:r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qFormat/>
    <w:uiPriority w:val="0"/>
    <w:pPr>
      <w:kinsoku w:val="0"/>
      <w:autoSpaceDE w:val="0"/>
      <w:autoSpaceDN w:val="0"/>
      <w:adjustRightInd w:val="0"/>
      <w:snapToGrid w:val="0"/>
      <w:spacing w:before="240" w:line="329" w:lineRule="auto"/>
      <w:ind w:left="96" w:right="100" w:firstLine="200" w:firstLineChars="100"/>
      <w:jc w:val="center"/>
      <w:textAlignment w:val="baseline"/>
    </w:pPr>
    <w:rPr>
      <w:rFonts w:ascii="Times New Roman" w:hAnsi="Times New Roman"/>
      <w:snapToGrid w:val="0"/>
      <w:color w:val="FF0000"/>
      <w:kern w:val="0"/>
      <w:sz w:val="2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2026-07-10T08:41:11Z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1444E9C08CB44F2F9330646D000F1A12_12</vt:lpwstr>
  </property>
  <property fmtid="{D5CDD505-2E9C-101B-9397-08002B2CF9AE}" pid="4" name="KSOTemplateDocerSaveRecord">
    <vt:lpwstr>eyJoZGlkIjoiNjk4NTcwMDdlMzcwYWY0OTM4MzA3NmFmZjcwZWJjYWIiLCJ1c2VySWQiOiIxMjQ3Nzk4Nzc4In0=</vt:lpwstr>
  </property>
</Properties>
</file>