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版本号：SZT2026-SN-QC-ZC-HW-0673.20260715001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雁塔区第三轮修志编纂</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SZT2026-SN-QC-ZC-HW-0673.</w:t>
      </w:r>
      <w:r>
        <w:br/>
      </w:r>
      <w:r>
        <w:br/>
      </w:r>
      <w:r>
        <w:br/>
      </w:r>
    </w:p>
    <w:p>
      <w:pPr>
        <w:pStyle w:val="null3"/>
        <w:jc w:val="center"/>
        <w:outlineLvl w:val="2"/>
      </w:pPr>
      <w:r>
        <w:rPr>
          <w:rFonts w:ascii="仿宋_GB2312" w:hAnsi="仿宋_GB2312" w:cs="仿宋_GB2312" w:eastAsia="仿宋_GB2312"/>
          <w:sz w:val="28"/>
          <w:b/>
        </w:rPr>
        <w:t>西安市雁塔区人民政府办公室</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西安市雁塔区人民政府办公室</w:t>
      </w:r>
      <w:r>
        <w:rPr>
          <w:rFonts w:ascii="仿宋_GB2312" w:hAnsi="仿宋_GB2312" w:cs="仿宋_GB2312" w:eastAsia="仿宋_GB2312"/>
        </w:rPr>
        <w:t>委托，拟对</w:t>
      </w:r>
      <w:r>
        <w:rPr>
          <w:rFonts w:ascii="仿宋_GB2312" w:hAnsi="仿宋_GB2312" w:cs="仿宋_GB2312" w:eastAsia="仿宋_GB2312"/>
        </w:rPr>
        <w:t>雁塔区第三轮修志编纂</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SZT2026-SN-QC-ZC-HW-0673.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雁塔区第三轮修志编纂</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陕西省人民政府办公厅关于推进新时代全省地方志事业高质量发展的实施意见》（陕政办发〔2024〕8号）要求，2025年起，全省各市、县、区政府全面启动第三轮修志工作。为确保我区第三轮修志工作顺利推进，在规定期限内高质量完成修志任务，按照省、市相关专家意见，参照试点区县工作经验，拟对第三轮修志编纂人员进行聘用,依据具体岗位设置和招聘条件要求，提供8人的服务外包岗位，具体人员需求根据当年度实际工作量调整。</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采购包1（雁塔区第三轮修志编纂）：属于专门面向中小企业采购。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未被“信用中国”网站（www.creditchina.gov.cn）列入失信被执行人和重大税收违法失信主体和严重失信主体名单，未被中国政府采购网（www.ccgp.gov.cn）列入政府采购严重违法失信行为记录名单，供应商需在项目电子化交易系统中按要求上传相应证明文件并进行电子签章；</w:t>
      </w:r>
    </w:p>
    <w:p>
      <w:pPr>
        <w:pStyle w:val="null3"/>
      </w:pPr>
      <w:r>
        <w:rPr>
          <w:rFonts w:ascii="仿宋_GB2312" w:hAnsi="仿宋_GB2312" w:cs="仿宋_GB2312" w:eastAsia="仿宋_GB2312"/>
        </w:rPr>
        <w:t>2、不接受联合体磋商：不接受联合体磋商（提供相应承诺）；供应商需在项目电子化交易系统中按要求上传相应证明文件并进行电子签章。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西安市雁塔区人民政府办公室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西安市雁塔区小寨东路168号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029-85382240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西安市高新区高新四路1号高科广场A座10楼1001室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王哲、胡婷、肖懿、米成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029-87304326转806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采购包1：407,200.00元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成交）供应商应向乙方支付招标代理服务费。招标代理服务费参照《国家计委关于印发&lt;招标代理服务收费管理暂行办法&gt;的通知》（计价格〔2002〕1980号）规定标准和行业惯例及市场调节定额收取人民币6108元整。</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西安市雁塔区人民政府办公室</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西安市雁塔区人民政府办公室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西安市雁塔区人民政府办公室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归采购人所有。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有权根据有关规范、规定及项目要求对服务方进行检查或考核，服务方须无条件的接受采购人的各类考核或检查；若验收不通过或服务质量不符合采购要求，服务方应在一定期限以采购人要求的标准进行整改或进一步完善，并再次进行考核或检查，若服务方在接受检查整改后最终仍未按要求提供符合要求和服务，采购人有权按违约予以撤项，由此产生的一切责任和费用均由服务方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地址：西安市高新区高新四路1号高科广场A座10楼1001室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陕西省人民政府办公厅关于推进新时代全省地方志事业高质量发展的实施意见》（陕政办发〔2024〕8号）要求，2025年起，全省各市、县、区政府全面启动第三轮修志工作。为确保我区第三轮修志工作顺利推进，在规定期限内高质量完成修志任务，按照省、市相关专家意见，参照试点区县工作经验，拟对第三轮修志编纂人员进行聘用,依据具体岗位设置和招聘条件要求，提供8人的服务外包岗位，具体人员需求根据当年度实际工作量调整。</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407,200.00</w:t>
      </w:r>
    </w:p>
    <w:p>
      <w:pPr>
        <w:pStyle w:val="null3"/>
      </w:pPr>
      <w:r>
        <w:rPr>
          <w:rFonts w:ascii="仿宋_GB2312" w:hAnsi="仿宋_GB2312" w:cs="仿宋_GB2312" w:eastAsia="仿宋_GB2312"/>
        </w:rPr>
        <w:t>采购包最高限价（元）: 407,200.00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第三轮区志修志编纂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407,200.00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标的名称：第三轮区志修志编纂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4"/>
              </w:rPr>
              <w:t>一、服务内容</w:t>
            </w:r>
          </w:p>
          <w:p>
            <w:pPr>
              <w:pStyle w:val="null3"/>
              <w:ind w:firstLine="480"/>
              <w:jc w:val="both"/>
            </w:pPr>
            <w:r>
              <w:rPr>
                <w:rFonts w:ascii="仿宋_GB2312" w:hAnsi="仿宋_GB2312" w:cs="仿宋_GB2312" w:eastAsia="仿宋_GB2312"/>
                <w:sz w:val="24"/>
              </w:rPr>
              <w:t>根据《陕西省人民政府办公厅关于推进新时代全省地方志事业高质量发展的实施意见》（陕政办发〔</w:t>
            </w:r>
            <w:r>
              <w:rPr>
                <w:rFonts w:ascii="仿宋_GB2312" w:hAnsi="仿宋_GB2312" w:cs="仿宋_GB2312" w:eastAsia="仿宋_GB2312"/>
                <w:sz w:val="24"/>
              </w:rPr>
              <w:t>2024〕8号）要求，2025年起，全省各市、县、区政府全面启动第三轮修志工作。为确保我区第三轮修志工作顺利推进，在规定期限内高质量完成修志任务，按照省、市相关专家意见，参照试点区县工作经验，拟对第三轮修志编纂人员进行聘用,依据具体岗位设置和招聘条件要求，提供8人的服务外包岗位，具体人员需求根据当年度实际工作量调整，最终以采购人确认的实际岗位数量据实结算。</w:t>
            </w:r>
          </w:p>
          <w:p>
            <w:pPr>
              <w:pStyle w:val="null3"/>
              <w:ind w:firstLine="480"/>
              <w:jc w:val="both"/>
            </w:pPr>
            <w:r>
              <w:rPr>
                <w:rFonts w:ascii="仿宋_GB2312" w:hAnsi="仿宋_GB2312" w:cs="仿宋_GB2312" w:eastAsia="仿宋_GB2312"/>
                <w:sz w:val="24"/>
              </w:rPr>
              <w:t>二、岗位职责</w:t>
            </w:r>
          </w:p>
          <w:p>
            <w:pPr>
              <w:pStyle w:val="null3"/>
              <w:ind w:firstLine="480"/>
              <w:jc w:val="both"/>
            </w:pPr>
            <w:r>
              <w:rPr>
                <w:rFonts w:ascii="仿宋_GB2312" w:hAnsi="仿宋_GB2312" w:cs="仿宋_GB2312" w:eastAsia="仿宋_GB2312"/>
                <w:sz w:val="24"/>
              </w:rPr>
              <w:t>（一）主编</w:t>
            </w:r>
            <w:r>
              <w:rPr>
                <w:rFonts w:ascii="仿宋_GB2312" w:hAnsi="仿宋_GB2312" w:cs="仿宋_GB2312" w:eastAsia="仿宋_GB2312"/>
                <w:sz w:val="24"/>
              </w:rPr>
              <w:t>1人。负责主持雁塔区第三轮修志整体工作，组织并领导日常编纂事务，如审稿、审样、撰写重要言论等。要求熟悉雁塔区情，政治站位高，大局观念强，有丰富的行政、文字工作经验。</w:t>
            </w:r>
          </w:p>
          <w:p>
            <w:pPr>
              <w:pStyle w:val="null3"/>
              <w:ind w:firstLine="480"/>
              <w:jc w:val="both"/>
            </w:pPr>
            <w:r>
              <w:rPr>
                <w:rFonts w:ascii="仿宋_GB2312" w:hAnsi="仿宋_GB2312" w:cs="仿宋_GB2312" w:eastAsia="仿宋_GB2312"/>
                <w:sz w:val="24"/>
              </w:rPr>
              <w:t>（二）副主编</w:t>
            </w:r>
            <w:r>
              <w:rPr>
                <w:rFonts w:ascii="仿宋_GB2312" w:hAnsi="仿宋_GB2312" w:cs="仿宋_GB2312" w:eastAsia="仿宋_GB2312"/>
                <w:sz w:val="24"/>
              </w:rPr>
              <w:t>2人。负责雁塔区第三轮修志中部分专项工作。要求文字功底强，对经济建设、体制机制、城市管理、财政税务、教育文化等专业领域较为熟悉。</w:t>
            </w:r>
          </w:p>
          <w:p>
            <w:pPr>
              <w:pStyle w:val="null3"/>
              <w:ind w:firstLine="480"/>
              <w:jc w:val="both"/>
            </w:pPr>
            <w:r>
              <w:rPr>
                <w:rFonts w:ascii="仿宋_GB2312" w:hAnsi="仿宋_GB2312" w:cs="仿宋_GB2312" w:eastAsia="仿宋_GB2312"/>
                <w:sz w:val="24"/>
              </w:rPr>
              <w:t>（三）编辑</w:t>
            </w:r>
            <w:r>
              <w:rPr>
                <w:rFonts w:ascii="仿宋_GB2312" w:hAnsi="仿宋_GB2312" w:cs="仿宋_GB2312" w:eastAsia="仿宋_GB2312"/>
                <w:sz w:val="24"/>
              </w:rPr>
              <w:t>5人。负责雁塔区第三轮修志中具体篇目的组织、审阅编选、校对工作。要求文字能力较强，能够顺利使用计算机等信息化工作设备。</w:t>
            </w:r>
          </w:p>
          <w:p>
            <w:pPr>
              <w:pStyle w:val="null3"/>
              <w:ind w:firstLine="480"/>
              <w:jc w:val="both"/>
            </w:pPr>
            <w:r>
              <w:rPr>
                <w:rFonts w:ascii="仿宋_GB2312" w:hAnsi="仿宋_GB2312" w:cs="仿宋_GB2312" w:eastAsia="仿宋_GB2312"/>
                <w:sz w:val="24"/>
              </w:rPr>
              <w:t>三、服务要求</w:t>
            </w:r>
          </w:p>
          <w:p>
            <w:pPr>
              <w:pStyle w:val="null3"/>
              <w:ind w:firstLine="480"/>
              <w:jc w:val="both"/>
            </w:pPr>
            <w:r>
              <w:rPr>
                <w:rFonts w:ascii="仿宋_GB2312" w:hAnsi="仿宋_GB2312" w:cs="仿宋_GB2312" w:eastAsia="仿宋_GB2312"/>
                <w:sz w:val="24"/>
              </w:rPr>
              <w:t>1、根据工作需求、具体岗位设置和招聘条件要求，提供8人的服务外包岗位。</w:t>
            </w:r>
          </w:p>
          <w:p>
            <w:pPr>
              <w:pStyle w:val="null3"/>
              <w:ind w:firstLine="480"/>
              <w:jc w:val="both"/>
            </w:pPr>
            <w:r>
              <w:rPr>
                <w:rFonts w:ascii="仿宋_GB2312" w:hAnsi="仿宋_GB2312" w:cs="仿宋_GB2312" w:eastAsia="仿宋_GB2312"/>
                <w:sz w:val="24"/>
              </w:rPr>
              <w:t>2、负责为本项目招聘的员工办理人事档案管理，签订劳动合同，工伤事故申报、认定处理等。</w:t>
            </w:r>
          </w:p>
          <w:p>
            <w:pPr>
              <w:pStyle w:val="null3"/>
              <w:ind w:firstLine="480"/>
              <w:jc w:val="both"/>
            </w:pPr>
            <w:r>
              <w:rPr>
                <w:rFonts w:ascii="仿宋_GB2312" w:hAnsi="仿宋_GB2312" w:cs="仿宋_GB2312" w:eastAsia="仿宋_GB2312"/>
                <w:sz w:val="24"/>
              </w:rPr>
              <w:t>3、参照社会平均工资标准和本行业薪资现状综合确定相应岗位工资，及时、足额发放工资和福利，并根据人员实际情况交纳五险一金。</w:t>
            </w:r>
          </w:p>
          <w:p>
            <w:pPr>
              <w:pStyle w:val="null3"/>
              <w:ind w:firstLine="480"/>
              <w:jc w:val="both"/>
            </w:pPr>
            <w:r>
              <w:rPr>
                <w:rFonts w:ascii="仿宋_GB2312" w:hAnsi="仿宋_GB2312" w:cs="仿宋_GB2312" w:eastAsia="仿宋_GB2312"/>
                <w:sz w:val="24"/>
              </w:rPr>
              <w:t>4、负责处理合同期内所有劳务、劳资纠纷和调节管理纠纷，及时更换不能胜任工作的员工，维护正常工作秩序。</w:t>
            </w:r>
          </w:p>
          <w:p>
            <w:pPr>
              <w:pStyle w:val="null3"/>
              <w:ind w:firstLine="480"/>
              <w:jc w:val="both"/>
            </w:pPr>
            <w:r>
              <w:rPr>
                <w:rFonts w:ascii="仿宋_GB2312" w:hAnsi="仿宋_GB2312" w:cs="仿宋_GB2312" w:eastAsia="仿宋_GB2312"/>
                <w:sz w:val="24"/>
              </w:rPr>
              <w:t>5、服务商不得随意扣发工作人员的工资和其他福利，不得随意缩减或变更工作人员的社会保险缴付金额和险种。因公司挪用相关费用所引起的一切法律责任和社会影响均由公司承担，采购人有权提前终止服务合同。</w:t>
            </w:r>
          </w:p>
          <w:p>
            <w:pPr>
              <w:pStyle w:val="null3"/>
              <w:ind w:firstLine="480"/>
              <w:jc w:val="both"/>
            </w:pPr>
            <w:r>
              <w:rPr>
                <w:rFonts w:ascii="仿宋_GB2312" w:hAnsi="仿宋_GB2312" w:cs="仿宋_GB2312" w:eastAsia="仿宋_GB2312"/>
                <w:sz w:val="24"/>
              </w:rPr>
              <w:t>四、服务标准</w:t>
            </w:r>
          </w:p>
          <w:p>
            <w:pPr>
              <w:pStyle w:val="null3"/>
              <w:ind w:firstLine="480"/>
              <w:jc w:val="both"/>
            </w:pPr>
            <w:r>
              <w:rPr>
                <w:rFonts w:ascii="仿宋_GB2312" w:hAnsi="仿宋_GB2312" w:cs="仿宋_GB2312" w:eastAsia="仿宋_GB2312"/>
                <w:sz w:val="24"/>
              </w:rPr>
              <w:t>1、政治素养良好，无犯罪违法违纪记录，严格遵守国家各项规章制度、保密制度、服务规范等。</w:t>
            </w:r>
          </w:p>
          <w:p>
            <w:pPr>
              <w:pStyle w:val="null3"/>
              <w:ind w:firstLine="480"/>
              <w:jc w:val="both"/>
            </w:pPr>
            <w:r>
              <w:rPr>
                <w:rFonts w:ascii="仿宋_GB2312" w:hAnsi="仿宋_GB2312" w:cs="仿宋_GB2312" w:eastAsia="仿宋_GB2312"/>
                <w:sz w:val="24"/>
              </w:rPr>
              <w:t>2、掌握服务基础知识，普通话标准，口齿清晰，口头表达能力强，有亲和力。</w:t>
            </w:r>
          </w:p>
          <w:p>
            <w:pPr>
              <w:pStyle w:val="null3"/>
              <w:ind w:firstLine="480"/>
              <w:jc w:val="both"/>
            </w:pPr>
            <w:r>
              <w:rPr>
                <w:rFonts w:ascii="仿宋_GB2312" w:hAnsi="仿宋_GB2312" w:cs="仿宋_GB2312" w:eastAsia="仿宋_GB2312"/>
                <w:sz w:val="24"/>
              </w:rPr>
              <w:t>3、具有良好的服务意识和团队精神，具有较强的应变能力、沟通技巧、判断能力、学习及适应能力。</w:t>
            </w:r>
          </w:p>
          <w:p>
            <w:pPr>
              <w:pStyle w:val="null3"/>
              <w:ind w:firstLine="480"/>
              <w:jc w:val="both"/>
            </w:pPr>
            <w:r>
              <w:rPr>
                <w:rFonts w:ascii="仿宋_GB2312" w:hAnsi="仿宋_GB2312" w:cs="仿宋_GB2312" w:eastAsia="仿宋_GB2312"/>
                <w:sz w:val="24"/>
              </w:rPr>
              <w:t>4、熟悉电脑操作、常用办公软件的使用、有一定的写作能力。</w:t>
            </w:r>
          </w:p>
          <w:p>
            <w:pPr>
              <w:pStyle w:val="null3"/>
              <w:ind w:firstLine="480"/>
              <w:jc w:val="both"/>
            </w:pPr>
            <w:r>
              <w:rPr>
                <w:rFonts w:ascii="仿宋_GB2312" w:hAnsi="仿宋_GB2312" w:cs="仿宋_GB2312" w:eastAsia="仿宋_GB2312"/>
                <w:sz w:val="24"/>
              </w:rPr>
              <w:t>五、商务要求</w:t>
            </w:r>
          </w:p>
          <w:p>
            <w:pPr>
              <w:pStyle w:val="null3"/>
              <w:ind w:firstLine="480"/>
              <w:jc w:val="both"/>
            </w:pPr>
            <w:r>
              <w:rPr>
                <w:rFonts w:ascii="仿宋_GB2312" w:hAnsi="仿宋_GB2312" w:cs="仿宋_GB2312" w:eastAsia="仿宋_GB2312"/>
                <w:sz w:val="24"/>
              </w:rPr>
              <w:t>服务期：自合同签订之日起</w:t>
            </w:r>
            <w:r>
              <w:rPr>
                <w:rFonts w:ascii="仿宋_GB2312" w:hAnsi="仿宋_GB2312" w:cs="仿宋_GB2312" w:eastAsia="仿宋_GB2312"/>
                <w:sz w:val="24"/>
              </w:rPr>
              <w:t>1年。</w:t>
            </w:r>
          </w:p>
          <w:p>
            <w:pPr>
              <w:pStyle w:val="null3"/>
              <w:ind w:firstLine="480"/>
              <w:jc w:val="both"/>
            </w:pPr>
            <w:r>
              <w:rPr>
                <w:rFonts w:ascii="仿宋_GB2312" w:hAnsi="仿宋_GB2312" w:cs="仿宋_GB2312" w:eastAsia="仿宋_GB2312"/>
                <w:sz w:val="24"/>
              </w:rPr>
              <w:t>款项结算：</w:t>
            </w:r>
          </w:p>
          <w:p>
            <w:pPr>
              <w:pStyle w:val="null3"/>
              <w:ind w:firstLine="480"/>
              <w:jc w:val="both"/>
            </w:pPr>
            <w:r>
              <w:rPr>
                <w:rFonts w:ascii="仿宋_GB2312" w:hAnsi="仿宋_GB2312" w:cs="仿宋_GB2312" w:eastAsia="仿宋_GB2312"/>
                <w:sz w:val="24"/>
              </w:rPr>
              <w:t>1、根据实际招聘人数及在岗时间据实结算，每季度集中支付一次项目款。</w:t>
            </w:r>
          </w:p>
          <w:p>
            <w:pPr>
              <w:pStyle w:val="null3"/>
            </w:pPr>
            <w:r>
              <w:rPr>
                <w:rFonts w:ascii="仿宋_GB2312" w:hAnsi="仿宋_GB2312" w:cs="仿宋_GB2312" w:eastAsia="仿宋_GB2312"/>
                <w:sz w:val="24"/>
              </w:rPr>
              <w:t>2、支付方式：银行转账。</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1.成交供应商应保证采购人在使用所涉技术方案或其任何一部分技术资料时，免受第三 方提出侵犯其专利权、商标权或工业设计权等知识产权的起诉。如果发生诉讼，所有费用和责任由成交供应商承担。 2.（1）服务方须指派专属人员与采购人联系服务事宜，服务响应时间应根据采购人实际安排随时调整。 （2）所有服务方。式均为服务方上门服务，即由服务方派员到服务现场，由此产生的一切费用均由服务方承担。 （3）现场具备服务条件，材料、设备、服务方案等全部由服务方自行制定，服务方需根据服务实际情况编制服务方案，服务计划、服务进度安排等方案措施。 （4）服务方在本项目人员要求技术水平高、组织能力强、有丰富的实践经验，懂管理、善于协调。服务人员中的组织人员、技术人员、监管人员、辅助人员等要求。有服务经验；服务队伍稳定，保证整个项目顺利完成，服务方未经采购人同意，不得擅自更换本项目在响应文件中。指定的服务队伍。 （5）服务过程中，严格遵守各种管理规定及规章制度，做到安全文明；如发生工伤及意外事故由服务方单。位负责。 （6）服务方所派的服务人员对于在工作中获悉的一切政府工作的信息应严格保守秘密，不得泄露；对于违反者，给采购人单位造成不良社会影响的或给采购人单位造成损失的，由服务方承担赔偿责任。 （7）严格按照国家、陕西省有关规定及采购人要求进行服务，不得随意更改或者变换服务内容，每项服务内容实施前应事先取得采购人的落实后方可实施。</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现行的国家标准或国家行政部门颁布的法律法规、规章制度等，是项目验收的重要依据，采购人单位有权根据有关规范、规定及项目要求对服务方进行检查或考核，服务方须无条件的接受采购人的各类考核或检查；若验收不通过或服务质量不符合采购要求，服务方应在一定期限以采购人要求的标准进行整改或进一步完善，并再次进行考核或检查，若服务方在接受检查整改后最终仍未按要求提供符合要求和服务，采购人有权按违约予以撤项，由此产生的一切责任和费用均由服务方承担。</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进度款，季度服务完成，根据实际人数及在岗时间据实结算，达到付款条件起30个工作日内，支付合同总金额的25.0%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进度款，季度服务完成，根据实际人数及在岗时间据实结算，达到付款条件起30个工作日内，支付合同总金额的25.0%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进度款，季度服务完成，根据实际人数及在岗时间据实结算，达到付款条件起30个工作日内，支付合同总金额的25.0%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进度款，季度服务完成，根据实际人数及在岗时间据实结算（总结算费用不超过采购预算），达到付款条件起30个工作日内，支付合同总金额的25.0%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双方在履行合同过程中，若发生争议，可以协商解决。如协商未果，双方向甲方所在地人民法院提起诉讼。乙方如果没有按照本合同约定履行合同，甲方有权终止合同。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一、成交供应商应保证采购人在使用所涉技术方案或其任何一部分技术资料时，免受第三方提出侵犯其专利权、商标权或工业设计权等知识产权的起诉。如果发生诉讼，所有费用和责任由成交供应商承担。 二、关于符合本国产品标准的声明函 （1）政府采购活动中既有本国产品又有非本国产品参与竞争的，依法对本国产品给予价格评审优惠，对本国产品的报价给予20%的价格扣除，用扣除后的价格参与评审。（供应商提供虚假《声明函》、虚假证明文件谋取中标、成交的，依照《中华人民共和国政府采购法》等法律法规规定追究相应责任。） （2）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提供虚假《声明函》、虚假证明文件谋取中标、成交的，依照《中华人民共和国政府采购法》等法律法规规定追究相应责任。 三、其他 1、采购人、采购代理机构应严格按照《财政部关于进一步规范政府采购评审工作有关问题的通知》（财库〔2012〕69 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1.主观分总分值在 15 分以下的，评审专家主观分评分偏离全体评委对应主观分平均分 20%以上（含本数）；2.主观分总分值在 15 分（含）至 30 分的，评审专家主观分评分偏离全体评委对应主观分平均分 15%以上（含本数）；3.主观分总分值在 30 分（含）以上的，评审专家主观分评分偏离全体评委对应主观分平均分 10%以上（含本数）。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理由，对该评审专家不予支付评审劳务报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1、法人或者其他组织、自然人的营业执照等证明文件：（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3、提供递交响应文件截止时间前1年内至少1个月的依法缴纳税收的相关凭据（有效时间以税款所属日期为准，税种须至少包含增值税或企业所得税，凭据应有税务机关或代收机关的公章或业务专用章）。依法免税或无须缴纳税收的供应商，应提供相应证明文件。无欠税记录不能作为依法缴纳税收记录证明文件。4、提供递交响应文件截止时间前1年内至少1个月的社会保障资金缴存单据或社保机构开具的社会保险参保缴费情况证明，（有效时间以税款所属日期为准，单据或证明上应有社保机构或代收机构的公章或业务专用章）。依法不需要缴纳社会保障资金的投标供应商应提供相关证明）。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响应文件封面 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或2025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供应商开户银行出具。（附《基本存款账户信息》复印件）②无论开具银行是否标明“复印无效”，供应商提供的复印件在本次投标中予以认可（即不因“复印无效”字样而认定资信证明复印件无效）。③银行出具的存款证明不能替代银行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和严重失信主体名单，未被中国政府采购网（www.ccgp.gov.cn）列入政府采购严重违法失信行为记录名单，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付款方式符合磋商文件要求；</w:t>
            </w:r>
          </w:p>
        </w:tc>
        <w:tc>
          <w:tcPr>
            <w:tcW w:type="dxa" w:w="1661"/>
          </w:tcPr>
          <w:p>
            <w:pPr>
              <w:pStyle w:val="null3"/>
            </w:pPr>
            <w:r>
              <w:rPr>
                <w:rFonts w:ascii="仿宋_GB2312" w:hAnsi="仿宋_GB2312" w:cs="仿宋_GB2312" w:eastAsia="仿宋_GB2312"/>
              </w:rPr>
              <w:t>服务内容及服务要求应答表.docx 商务应答表.docx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服务期限符合磋商文件要求；</w:t>
            </w:r>
          </w:p>
        </w:tc>
        <w:tc>
          <w:tcPr>
            <w:tcW w:type="dxa" w:w="1661"/>
          </w:tcPr>
          <w:p>
            <w:pPr>
              <w:pStyle w:val="null3"/>
            </w:pPr>
            <w:r>
              <w:rPr>
                <w:rFonts w:ascii="仿宋_GB2312" w:hAnsi="仿宋_GB2312" w:cs="仿宋_GB2312" w:eastAsia="仿宋_GB2312"/>
              </w:rPr>
              <w:t>服务内容及服务要求应答表.docx 商务应答表.docx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1、报价唯一；2、报价货币符合磋商文件要求；3、未超出磋商文件规定的采购预算或最高限价。</w:t>
            </w:r>
          </w:p>
        </w:tc>
        <w:tc>
          <w:tcPr>
            <w:tcW w:type="dxa" w:w="1661"/>
          </w:tcPr>
          <w:p>
            <w:pPr>
              <w:pStyle w:val="null3"/>
            </w:pPr>
            <w:r>
              <w:rPr>
                <w:rFonts w:ascii="仿宋_GB2312" w:hAnsi="仿宋_GB2312" w:cs="仿宋_GB2312" w:eastAsia="仿宋_GB2312"/>
              </w:rPr>
              <w:t>服务内容及服务要求应答表.docx 商务应答表.docx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是否符合法律、法规和磋商文件中规定的其他实质性要求</w:t>
            </w:r>
          </w:p>
        </w:tc>
        <w:tc>
          <w:tcPr>
            <w:tcW w:type="dxa" w:w="1661"/>
          </w:tcPr>
          <w:p>
            <w:pPr>
              <w:pStyle w:val="null3"/>
            </w:pPr>
            <w:r>
              <w:rPr>
                <w:rFonts w:ascii="仿宋_GB2312" w:hAnsi="仿宋_GB2312" w:cs="仿宋_GB2312" w:eastAsia="仿宋_GB2312"/>
              </w:rPr>
              <w:t>服务内容及服务要求应答表.docx 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针对采购需求提供项目重难点分析：内容包含①重点、难点分析、②问题解决对策的响应程度。以上内容每项满分3分。 1、单项内容全面详细、阐述条理清晰、针对性和可行性强完全满足采购需求的得3分； 2、单项内容无缺漏、阐述条理基本清晰、部分内容需优化后能满足采购需求的得2分； 3、单项内容简单粗略、逻辑混乱、缺少针对性和可行性不能满足采购基本需求的得1分；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针对采购需求提供整体服务方案，内容包含：①服务思路、②服务方法、③服务流程、④服务质量控制、⑤自检及整改措施的响应程度。 以上内容每项满分2分。 1、单项内容全面详细、阐述条理清晰、针对性和可行性强完全满足采购需求的得2分； 2、单项内容无缺漏、阐述条理基本清晰、部分内容需优化后能满足采购需求的得1分； 单项内容简单粗略、逻辑混乱、缺少针对性和可行性不能满足采购基本需求的得0.5分；未提供或脱离项目实际的不得分。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管理机构及管理制度</w:t>
            </w:r>
          </w:p>
        </w:tc>
        <w:tc>
          <w:tcPr>
            <w:tcW w:type="dxa" w:w="2492"/>
          </w:tcPr>
          <w:p>
            <w:pPr>
              <w:pStyle w:val="null3"/>
            </w:pPr>
            <w:r>
              <w:rPr>
                <w:rFonts w:ascii="仿宋_GB2312" w:hAnsi="仿宋_GB2312" w:cs="仿宋_GB2312" w:eastAsia="仿宋_GB2312"/>
              </w:rPr>
              <w:t>针对本项目提供项目管理机构及管理制度，内容包含：①人员配置、②职责及分工、③工作规范、④业务素质、⑤管理制度、⑥考核制度的响应程度。 以上内容每项满分2分。 1、单项内容全面详细、阐述条理清晰、针对性和可行性强完全满足采购需求的得2分； 2、单项内容无缺漏、阐述条理基本清晰、部分内容需优化后能满足采购需求的得1分； 单项内容简单粗略、逻辑混乱、缺少针对性和可行性不能满足采购基本需求的得0.5分； 未提供或脱离项目实际的不得分。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w:t>
            </w:r>
          </w:p>
        </w:tc>
        <w:tc>
          <w:tcPr>
            <w:tcW w:type="dxa" w:w="2492"/>
          </w:tcPr>
          <w:p>
            <w:pPr>
              <w:pStyle w:val="null3"/>
            </w:pPr>
            <w:r>
              <w:rPr>
                <w:rFonts w:ascii="仿宋_GB2312" w:hAnsi="仿宋_GB2312" w:cs="仿宋_GB2312" w:eastAsia="仿宋_GB2312"/>
              </w:rPr>
              <w:t>针对本项目提供服务质量保证措施，内容包含：①定期回访方案、②问题排查及处理。 1、内容全面详细、阐述条理清晰、针对性和可行性强完全满足采购需求的得4分； 2、内容无缺漏、阐述条理基本清晰、部分内容需优化后能满足采购需求的得2分； 3、内容简单粗略、逻辑混乱、缺少针对性和可行性不能满足采购基本需求的得1分； 未提供或脱离项目实际的不得分。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廉洁、保密</w:t>
            </w:r>
          </w:p>
        </w:tc>
        <w:tc>
          <w:tcPr>
            <w:tcW w:type="dxa" w:w="2492"/>
          </w:tcPr>
          <w:p>
            <w:pPr>
              <w:pStyle w:val="null3"/>
            </w:pPr>
            <w:r>
              <w:rPr>
                <w:rFonts w:ascii="仿宋_GB2312" w:hAnsi="仿宋_GB2312" w:cs="仿宋_GB2312" w:eastAsia="仿宋_GB2312"/>
              </w:rPr>
              <w:t>针对本项目提供廉洁、保密措施，内容包含：①保密制度、②保密措施、③廉洁从业措施、④廉洁从业准则的响应程度。 1、内容全面详细、阐述条理清晰、针对性和可行性强完全满足采购需求的得3分； 2、内容无缺漏、阐述条理基本清晰、部分内容需优化后能满足采购需求的得2分； 3、内容简单粗略、逻辑混乱、缺少针对性和可行性不能满足采购基本需求的得1分；未提供或脱离项目实际的不得分。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针对服务过程提出合理化建议 内容全面详细、阐述条理清晰、具有针对性且能落到实处的一项得2分；满分6分。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供应商承诺服务期限内完全按照采购需求内容和要求标准完成服务的得4分，无承诺不得分。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采购需求响应</w:t>
            </w:r>
          </w:p>
        </w:tc>
        <w:tc>
          <w:tcPr>
            <w:tcW w:type="dxa" w:w="2492"/>
          </w:tcPr>
          <w:p>
            <w:pPr>
              <w:pStyle w:val="null3"/>
            </w:pPr>
            <w:r>
              <w:rPr>
                <w:rFonts w:ascii="仿宋_GB2312" w:hAnsi="仿宋_GB2312" w:cs="仿宋_GB2312" w:eastAsia="仿宋_GB2312"/>
              </w:rPr>
              <w:t>对磋商文件第三部分采购需求中“二、服务内容和三、岗位职责 和 四、服务要求”中内容进行响应，完全响应，满足采购需求得15分，有一项不满足扣1.25分。以服务内容及服务要求应答表为准。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 （供应商业绩）</w:t>
            </w:r>
          </w:p>
        </w:tc>
        <w:tc>
          <w:tcPr>
            <w:tcW w:type="dxa" w:w="2492"/>
          </w:tcPr>
          <w:p>
            <w:pPr>
              <w:pStyle w:val="null3"/>
            </w:pPr>
            <w:r>
              <w:rPr>
                <w:rFonts w:ascii="仿宋_GB2312" w:hAnsi="仿宋_GB2312" w:cs="仿宋_GB2312" w:eastAsia="仿宋_GB2312"/>
              </w:rPr>
              <w:t>提供同类人力资源外包项目业绩，每提供一个得4分，满分20分。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供应商的价格分，按照财政部财库〔2014〕214号文件第二十四条和 财库〔2020〕46号文件的规定，采用低价优先法计算，以本次满足磋商文件要求的最低最后磋商报价为磋商基准价，其磋商报价为满分。供应商的磋商报价得分，统一按照下列公式计算：磋商报价得分=（磋商基准价／最后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