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版本号：DRZB2026-ZC-11220260605002</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交通云平台链路服务</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DRZB2026-ZC-112</w:t>
      </w:r>
      <w:r>
        <w:br/>
      </w:r>
      <w:r>
        <w:br/>
      </w:r>
      <w:r>
        <w:br/>
      </w:r>
    </w:p>
    <w:p>
      <w:pPr>
        <w:pStyle w:val="null3"/>
        <w:jc w:val="center"/>
        <w:outlineLvl w:val="5"/>
      </w:pPr>
      <w:r>
        <w:rPr>
          <w:rFonts w:ascii="仿宋_GB2312" w:hAnsi="仿宋_GB2312" w:cs="仿宋_GB2312" w:eastAsia="仿宋_GB2312"/>
          <w:sz w:val="15"/>
          <w:b/>
        </w:rPr>
        <w:t>陕西省交通运行监测中心</w:t>
      </w:r>
    </w:p>
    <w:p>
      <w:pPr>
        <w:pStyle w:val="null3"/>
        <w:jc w:val="center"/>
        <w:outlineLvl w:val="5"/>
      </w:pPr>
      <w:r>
        <w:rPr>
          <w:rFonts w:ascii="仿宋_GB2312" w:hAnsi="仿宋_GB2312" w:cs="仿宋_GB2312" w:eastAsia="仿宋_GB2312"/>
          <w:sz w:val="15"/>
          <w:b/>
        </w:rPr>
        <w:t>陕西德仁招标有限公司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2026年05月27日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陕西德仁招标有限公司</w:t>
      </w:r>
      <w:r>
        <w:rPr>
          <w:rFonts w:ascii="仿宋_GB2312" w:hAnsi="仿宋_GB2312" w:cs="仿宋_GB2312" w:eastAsia="仿宋_GB2312"/>
        </w:rPr>
        <w:t>（以下简称“代理机构”）受</w:t>
      </w:r>
      <w:r>
        <w:rPr>
          <w:rFonts w:ascii="仿宋_GB2312" w:hAnsi="仿宋_GB2312" w:cs="仿宋_GB2312" w:eastAsia="仿宋_GB2312"/>
        </w:rPr>
        <w:t>陕西省交通运行监测中心</w:t>
      </w:r>
      <w:r>
        <w:rPr>
          <w:rFonts w:ascii="仿宋_GB2312" w:hAnsi="仿宋_GB2312" w:cs="仿宋_GB2312" w:eastAsia="仿宋_GB2312"/>
        </w:rPr>
        <w:t>委托，拟对</w:t>
      </w:r>
      <w:r>
        <w:rPr>
          <w:rFonts w:ascii="仿宋_GB2312" w:hAnsi="仿宋_GB2312" w:cs="仿宋_GB2312" w:eastAsia="仿宋_GB2312"/>
        </w:rPr>
        <w:t>交通云平台链路服务</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DRZB2026-ZC-112</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交通云平台链路服务</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陕西省交通运行监测中心交通云平台链路服务，具体内容详见采购文件及服务要求。</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财务状况报告：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协商担保函（以上三种形式的资料提供任何一种即可）；</w:t>
      </w:r>
    </w:p>
    <w:p>
      <w:pPr>
        <w:pStyle w:val="null3"/>
      </w:pPr>
      <w:r>
        <w:rPr>
          <w:rFonts w:ascii="仿宋_GB2312" w:hAnsi="仿宋_GB2312" w:cs="仿宋_GB2312" w:eastAsia="仿宋_GB2312"/>
        </w:rPr>
        <w:t>3、税收缴纳证明：提供递交响应文件截止之日前六个月内任意一个月的依法缴纳税收的相关凭据，凭据应有税务机关或代收机关的公章或业务专用章。依法免税或无须缴纳税收的供应商，应提供相应证明文件；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存证明：提供递交响应文件截止之日前六个月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5、书面声明：提供具有履行本合同所必需的专业技术能力的书面声明；</w:t>
      </w:r>
    </w:p>
    <w:p>
      <w:pPr>
        <w:pStyle w:val="null3"/>
      </w:pPr>
      <w:r>
        <w:rPr>
          <w:rFonts w:ascii="仿宋_GB2312" w:hAnsi="仿宋_GB2312" w:cs="仿宋_GB2312" w:eastAsia="仿宋_GB2312"/>
        </w:rPr>
        <w:t>6、无重大违纪声明：参加本次政府采购活动前3年内在经营活动中没有重大违纪，以及未被列入失信被执行人、重大税收违法失信主体、政府采购严重违法失信行为记录名单的书面声明；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7、法定代表人/负责人授权书：法定代表人/负责人直接参加协商的，须出具法定代表人/负责人身份证明书及身份证；授权代表参加协商的，须出具法定代表人/负责人授权书及授权代表身份证；</w:t>
      </w:r>
    </w:p>
    <w:p>
      <w:pPr>
        <w:pStyle w:val="null3"/>
      </w:pPr>
      <w:r>
        <w:rPr>
          <w:rFonts w:ascii="仿宋_GB2312" w:hAnsi="仿宋_GB2312" w:cs="仿宋_GB2312" w:eastAsia="仿宋_GB2312"/>
        </w:rPr>
        <w:t>8、信用中国：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9、非联合体协商：本项目不接受联合体协商。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财务状况报告：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协商担保函（以上三种形式的资料提供任何一种即可）；</w:t>
      </w:r>
    </w:p>
    <w:p>
      <w:pPr>
        <w:pStyle w:val="null3"/>
      </w:pPr>
      <w:r>
        <w:rPr>
          <w:rFonts w:ascii="仿宋_GB2312" w:hAnsi="仿宋_GB2312" w:cs="仿宋_GB2312" w:eastAsia="仿宋_GB2312"/>
        </w:rPr>
        <w:t>3、税收缴纳证明：提供递交响应文件截止之日前六个月内任意一个月的依法缴纳税收的相关凭据，凭据应有税务机关或代收机关的公章或业务专用章。依法免税或无须缴纳税收的供应商，应提供相应证明文件；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存证明：提供递交响应文件截止之日前六个月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5、书面声明：提供具有履行本合同所必需的专业技术能力的书面声明；</w:t>
      </w:r>
    </w:p>
    <w:p>
      <w:pPr>
        <w:pStyle w:val="null3"/>
      </w:pPr>
      <w:r>
        <w:rPr>
          <w:rFonts w:ascii="仿宋_GB2312" w:hAnsi="仿宋_GB2312" w:cs="仿宋_GB2312" w:eastAsia="仿宋_GB2312"/>
        </w:rPr>
        <w:t>6、无重大违纪声明：参加本次政府采购活动前3年内在经营活动中没有重大违纪，以及未被列入失信被执行人、重大税收违法失信主体、政府采购严重违法失信行为记录名单的书面声明；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7、法定代表人/负责人授权书：法定代表人/负责人直接参加协商的，须出具法定代表人/负责人身份证明书及身份证；授权代表参加协商的，须出具法定代表人/负责人授权书及授权代表身份证；</w:t>
      </w:r>
    </w:p>
    <w:p>
      <w:pPr>
        <w:pStyle w:val="null3"/>
      </w:pPr>
      <w:r>
        <w:rPr>
          <w:rFonts w:ascii="仿宋_GB2312" w:hAnsi="仿宋_GB2312" w:cs="仿宋_GB2312" w:eastAsia="仿宋_GB2312"/>
        </w:rPr>
        <w:t>8、信用中国：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9、非联合体协商：本项目不接受联合体协商。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财务状况报告：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协商担保函（以上三种形式的资料提供任何一种即可）；</w:t>
      </w:r>
    </w:p>
    <w:p>
      <w:pPr>
        <w:pStyle w:val="null3"/>
      </w:pPr>
      <w:r>
        <w:rPr>
          <w:rFonts w:ascii="仿宋_GB2312" w:hAnsi="仿宋_GB2312" w:cs="仿宋_GB2312" w:eastAsia="仿宋_GB2312"/>
        </w:rPr>
        <w:t>3、税收缴纳证明：提供递交响应文件截止之日前六个月内任意一个月的依法缴纳税收的相关凭据，凭据应有税务机关或代收机关的公章或业务专用章。依法免税或无须缴纳税收的供应商，应提供相应证明文件；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存证明：提供递交响应文件截止之日前六个月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5、书面声明：提供具有履行本合同所必需的专业技术能力的书面声明；</w:t>
      </w:r>
    </w:p>
    <w:p>
      <w:pPr>
        <w:pStyle w:val="null3"/>
      </w:pPr>
      <w:r>
        <w:rPr>
          <w:rFonts w:ascii="仿宋_GB2312" w:hAnsi="仿宋_GB2312" w:cs="仿宋_GB2312" w:eastAsia="仿宋_GB2312"/>
        </w:rPr>
        <w:t>6、无重大违纪声明：参加本次政府采购活动前3年内在经营活动中没有重大违纪，以及未被列入失信被执行人、重大税收违法失信主体、政府采购严重违法失信行为记录名单的书面声明；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7、法定代表人/负责人授权书：法定代表人/负责人直接参加协商的，须出具法定代表人/负责人身份证明书及身份证；授权代表参加协商的，须出具法定代表人/负责人授权书及授权代表身份证；</w:t>
      </w:r>
    </w:p>
    <w:p>
      <w:pPr>
        <w:pStyle w:val="null3"/>
      </w:pPr>
      <w:r>
        <w:rPr>
          <w:rFonts w:ascii="仿宋_GB2312" w:hAnsi="仿宋_GB2312" w:cs="仿宋_GB2312" w:eastAsia="仿宋_GB2312"/>
        </w:rPr>
        <w:t>8、信用中国：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9、非联合体协商：本项目不接受联合体协商。</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陕西省交通运行监测中心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陕西省西安市唐延路6号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朱科长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029-88869270</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陕西德仁招标有限公司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西安市唐延路37号class公馆B栋1103</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张海燕、赵璐、曹静、任红欠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029-85565073</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采购包1：570,000.00元</w:t>
            </w:r>
          </w:p>
          <w:p>
            <w:pPr>
              <w:pStyle w:val="null3"/>
            </w:pPr>
            <w:r>
              <w:rPr>
                <w:rFonts w:ascii="仿宋_GB2312" w:hAnsi="仿宋_GB2312" w:cs="仿宋_GB2312" w:eastAsia="仿宋_GB2312"/>
              </w:rPr>
              <w:t>采购包2：79,200.00元</w:t>
            </w:r>
          </w:p>
          <w:p>
            <w:pPr>
              <w:pStyle w:val="null3"/>
            </w:pPr>
            <w:r>
              <w:rPr>
                <w:rFonts w:ascii="仿宋_GB2312" w:hAnsi="仿宋_GB2312" w:cs="仿宋_GB2312" w:eastAsia="仿宋_GB2312"/>
              </w:rPr>
              <w:t>采购包3：36,000.00元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采购包1：570,000.00元</w:t>
            </w:r>
          </w:p>
          <w:p>
            <w:pPr>
              <w:pStyle w:val="null3"/>
            </w:pPr>
            <w:r>
              <w:rPr>
                <w:rFonts w:ascii="仿宋_GB2312" w:hAnsi="仿宋_GB2312" w:cs="仿宋_GB2312" w:eastAsia="仿宋_GB2312"/>
              </w:rPr>
              <w:t>采购包2：79,200.00元</w:t>
            </w:r>
          </w:p>
          <w:p>
            <w:pPr>
              <w:pStyle w:val="null3"/>
            </w:pPr>
            <w:r>
              <w:rPr>
                <w:rFonts w:ascii="仿宋_GB2312" w:hAnsi="仿宋_GB2312" w:cs="仿宋_GB2312" w:eastAsia="仿宋_GB2312"/>
              </w:rPr>
              <w:t>采购包3：36,000.00元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代理服务费实行市场调节价，采用差额定率累进法计费，以中标金额为计费基数，按照“服务类”项目的取费标准，具体费率：100万元以下，按照1.5%计取，100万元-500万元以下，按照0.8%计取，本项目代理费下浮10%。如单个包招标代理服务费不足叁仟元按照叁仟元收取。 银行户名：陕西德仁招标有限公司 开户银行：招商银行股份有限公司西安城南支行 账 号：1299 0904 6810 901 联系人：苏会计 联系电话：029-89185132 邮箱：sxdrzb@qq.com</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陕西省交通运行监测中心</w:t>
      </w:r>
      <w:r>
        <w:rPr>
          <w:rFonts w:ascii="仿宋_GB2312" w:hAnsi="仿宋_GB2312" w:cs="仿宋_GB2312" w:eastAsia="仿宋_GB2312"/>
        </w:rPr>
        <w:t>和</w:t>
      </w:r>
      <w:r>
        <w:rPr>
          <w:rFonts w:ascii="仿宋_GB2312" w:hAnsi="仿宋_GB2312" w:cs="仿宋_GB2312" w:eastAsia="仿宋_GB2312"/>
        </w:rPr>
        <w:t>陕西德仁招标有限公司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陕西德仁招标有限公司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陕西省交通运行监测中心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陕西德仁招标有限公司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以采购文件、响应文件及签订合同要求为准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以采购文件、响应文件及签订合同要求为准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陕西省交通运行监测中心交通云平台链路服务，具体内容详见采购文件及服务要求。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570,000.00</w:t>
      </w:r>
    </w:p>
    <w:p>
      <w:pPr>
        <w:pStyle w:val="null3"/>
      </w:pPr>
      <w:r>
        <w:rPr>
          <w:rFonts w:ascii="仿宋_GB2312" w:hAnsi="仿宋_GB2312" w:cs="仿宋_GB2312" w:eastAsia="仿宋_GB2312"/>
        </w:rPr>
        <w:t>采购包最高限价（元）: 570,000.00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云平台互联网出口及业务传输链路</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570,000.00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信息传输业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79,200.00</w:t>
      </w:r>
    </w:p>
    <w:p>
      <w:pPr>
        <w:pStyle w:val="null3"/>
      </w:pPr>
      <w:r>
        <w:rPr>
          <w:rFonts w:ascii="仿宋_GB2312" w:hAnsi="仿宋_GB2312" w:cs="仿宋_GB2312" w:eastAsia="仿宋_GB2312"/>
        </w:rPr>
        <w:t>采购包最高限价（元）: 79,200.00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互联网出口链路</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79,200.00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信息传输业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36,000.00</w:t>
      </w:r>
    </w:p>
    <w:p>
      <w:pPr>
        <w:pStyle w:val="null3"/>
      </w:pPr>
      <w:r>
        <w:rPr>
          <w:rFonts w:ascii="仿宋_GB2312" w:hAnsi="仿宋_GB2312" w:cs="仿宋_GB2312" w:eastAsia="仿宋_GB2312"/>
        </w:rPr>
        <w:t>采购包最高限价（元）: 36,000.00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云平台中铁西安局机房西部机场集团专线链路</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信息传输业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标的名称：云平台互联网出口及业务传输链路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中国电信云平台互联网出口及业务传输链路。</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指标项目</w:t>
                  </w:r>
                </w:p>
              </w:tc>
              <w:tc>
                <w:tcPr>
                  <w:tcW w:type="dxa" w:w="638"/>
                </w:tcPr>
                <w:p>
                  <w:pPr>
                    <w:pStyle w:val="null3"/>
                  </w:pPr>
                  <w:r>
                    <w:rPr>
                      <w:rFonts w:ascii="仿宋_GB2312" w:hAnsi="仿宋_GB2312" w:cs="仿宋_GB2312" w:eastAsia="仿宋_GB2312"/>
                    </w:rPr>
                    <w:t>设备参数要求</w:t>
                  </w:r>
                </w:p>
              </w:tc>
              <w:tc>
                <w:tcPr>
                  <w:tcW w:type="dxa" w:w="638"/>
                </w:tcPr>
                <w:p>
                  <w:pPr>
                    <w:pStyle w:val="null3"/>
                  </w:pPr>
                  <w:r>
                    <w:rPr>
                      <w:rFonts w:ascii="仿宋_GB2312" w:hAnsi="仿宋_GB2312" w:cs="仿宋_GB2312" w:eastAsia="仿宋_GB2312"/>
                    </w:rPr>
                    <w:t>单位</w:t>
                  </w:r>
                </w:p>
              </w:tc>
              <w:tc>
                <w:tcPr>
                  <w:tcW w:type="dxa" w:w="638"/>
                </w:tcPr>
                <w:p>
                  <w:pPr>
                    <w:pStyle w:val="null3"/>
                  </w:pPr>
                  <w:r>
                    <w:rPr>
                      <w:rFonts w:ascii="仿宋_GB2312" w:hAnsi="仿宋_GB2312" w:cs="仿宋_GB2312" w:eastAsia="仿宋_GB2312"/>
                    </w:rPr>
                    <w:t>数量</w:t>
                  </w:r>
                </w:p>
              </w:tc>
            </w:tr>
            <w:tr>
              <w:tc>
                <w:tcPr>
                  <w:tcW w:type="dxa" w:w="638"/>
                </w:tcPr>
                <w:p>
                  <w:pPr>
                    <w:pStyle w:val="null3"/>
                  </w:pPr>
                  <w:r>
                    <w:rPr>
                      <w:rFonts w:ascii="仿宋_GB2312" w:hAnsi="仿宋_GB2312" w:cs="仿宋_GB2312" w:eastAsia="仿宋_GB2312"/>
                    </w:rPr>
                    <w:t>互联网出口链路</w:t>
                  </w:r>
                </w:p>
              </w:tc>
              <w:tc>
                <w:tcPr>
                  <w:tcW w:type="dxa" w:w="638"/>
                </w:tcPr>
                <w:p>
                  <w:pPr>
                    <w:pStyle w:val="null3"/>
                  </w:pPr>
                  <w:r>
                    <w:rPr>
                      <w:rFonts w:ascii="仿宋_GB2312" w:hAnsi="仿宋_GB2312" w:cs="仿宋_GB2312" w:eastAsia="仿宋_GB2312"/>
                    </w:rPr>
                    <w:t>中国电信及现有异网运营商500M带宽/年</w:t>
                  </w:r>
                </w:p>
              </w:tc>
              <w:tc>
                <w:tcPr>
                  <w:tcW w:type="dxa" w:w="638"/>
                </w:tcPr>
                <w:p>
                  <w:pPr>
                    <w:pStyle w:val="null3"/>
                  </w:pPr>
                  <w:r>
                    <w:rPr>
                      <w:rFonts w:ascii="仿宋_GB2312" w:hAnsi="仿宋_GB2312" w:cs="仿宋_GB2312" w:eastAsia="仿宋_GB2312"/>
                    </w:rPr>
                    <w:t>条</w:t>
                  </w:r>
                </w:p>
              </w:tc>
              <w:tc>
                <w:tcPr>
                  <w:tcW w:type="dxa" w:w="638"/>
                </w:tcPr>
                <w:p>
                  <w:pPr>
                    <w:pStyle w:val="null3"/>
                  </w:pPr>
                  <w:r>
                    <w:rPr>
                      <w:rFonts w:ascii="仿宋_GB2312" w:hAnsi="仿宋_GB2312" w:cs="仿宋_GB2312" w:eastAsia="仿宋_GB2312"/>
                    </w:rPr>
                    <w:t>2</w:t>
                  </w:r>
                </w:p>
              </w:tc>
            </w:tr>
            <w:tr>
              <w:tc>
                <w:tcPr>
                  <w:tcW w:type="dxa" w:w="638"/>
                </w:tcPr>
                <w:p>
                  <w:pPr>
                    <w:pStyle w:val="null3"/>
                  </w:pPr>
                  <w:r>
                    <w:rPr>
                      <w:rFonts w:ascii="仿宋_GB2312" w:hAnsi="仿宋_GB2312" w:cs="仿宋_GB2312" w:eastAsia="仿宋_GB2312"/>
                    </w:rPr>
                    <w:t>业务传输链路</w:t>
                  </w:r>
                </w:p>
              </w:tc>
              <w:tc>
                <w:tcPr>
                  <w:tcW w:type="dxa" w:w="638"/>
                </w:tcPr>
                <w:p>
                  <w:pPr>
                    <w:pStyle w:val="null3"/>
                  </w:pPr>
                  <w:r>
                    <w:rPr>
                      <w:rFonts w:ascii="仿宋_GB2312" w:hAnsi="仿宋_GB2312" w:cs="仿宋_GB2312" w:eastAsia="仿宋_GB2312"/>
                    </w:rPr>
                    <w:t>省信息化中心（西安市茶张路陕西省信息化中心五楼机房，主用业务中心）至专网核心汇聚点（西安市未央路第二长途通信大楼），传输链路500M/年</w:t>
                  </w:r>
                </w:p>
              </w:tc>
              <w:tc>
                <w:tcPr>
                  <w:tcW w:type="dxa" w:w="638"/>
                </w:tcPr>
                <w:p>
                  <w:pPr>
                    <w:pStyle w:val="null3"/>
                  </w:pPr>
                  <w:r>
                    <w:rPr>
                      <w:rFonts w:ascii="仿宋_GB2312" w:hAnsi="仿宋_GB2312" w:cs="仿宋_GB2312" w:eastAsia="仿宋_GB2312"/>
                    </w:rPr>
                    <w:t>条</w:t>
                  </w:r>
                </w:p>
              </w:tc>
              <w:tc>
                <w:tcPr>
                  <w:tcW w:type="dxa" w:w="638"/>
                </w:tcPr>
                <w:p>
                  <w:pPr>
                    <w:pStyle w:val="null3"/>
                  </w:pPr>
                  <w:r>
                    <w:rPr>
                      <w:rFonts w:ascii="仿宋_GB2312" w:hAnsi="仿宋_GB2312" w:cs="仿宋_GB2312" w:eastAsia="仿宋_GB2312"/>
                    </w:rPr>
                    <w:t>1</w:t>
                  </w:r>
                </w:p>
              </w:tc>
            </w:tr>
          </w:tbl>
          <w:p>
            <w:pPr>
              <w:pStyle w:val="null3"/>
            </w:pPr>
            <w:r>
              <w:rPr>
                <w:rFonts w:ascii="仿宋_GB2312" w:hAnsi="仿宋_GB2312" w:cs="仿宋_GB2312" w:eastAsia="仿宋_GB2312"/>
              </w:rPr>
              <w:t>提供7*24小时故障申告热线，故障申告后30分钟内响应，4小时内故障处理解决。</w:t>
            </w:r>
          </w:p>
          <w:p>
            <w:pPr>
              <w:pStyle w:val="null3"/>
            </w:pPr>
            <w:r>
              <w:rPr>
                <w:rFonts w:ascii="仿宋_GB2312" w:hAnsi="仿宋_GB2312" w:cs="仿宋_GB2312" w:eastAsia="仿宋_GB2312"/>
              </w:rPr>
              <w:t>平均丢帧率低于</w:t>
            </w:r>
            <w:r>
              <w:rPr>
                <w:rFonts w:ascii="仿宋_GB2312" w:hAnsi="仿宋_GB2312" w:cs="仿宋_GB2312" w:eastAsia="仿宋_GB2312"/>
                <w:sz w:val="21"/>
              </w:rPr>
              <w:t>10</w:t>
            </w:r>
            <w:r>
              <w:rPr>
                <w:rFonts w:ascii="仿宋_GB2312" w:hAnsi="仿宋_GB2312" w:cs="仿宋_GB2312" w:eastAsia="仿宋_GB2312"/>
                <w:sz w:val="21"/>
                <w:vertAlign w:val="superscript"/>
              </w:rPr>
              <w:t>-7</w:t>
            </w:r>
            <w:r>
              <w:rPr>
                <w:rFonts w:ascii="仿宋_GB2312" w:hAnsi="仿宋_GB2312" w:cs="仿宋_GB2312" w:eastAsia="仿宋_GB2312"/>
              </w:rPr>
              <w:t>。</w:t>
            </w:r>
          </w:p>
          <w:p>
            <w:pPr>
              <w:pStyle w:val="null3"/>
            </w:pPr>
            <w:r>
              <w:rPr>
                <w:rFonts w:ascii="仿宋_GB2312" w:hAnsi="仿宋_GB2312" w:cs="仿宋_GB2312" w:eastAsia="仿宋_GB2312"/>
              </w:rPr>
              <w:t>时延小于等于80ms。</w:t>
            </w:r>
          </w:p>
          <w:p>
            <w:pPr>
              <w:pStyle w:val="null3"/>
            </w:pPr>
            <w:r>
              <w:rPr>
                <w:rFonts w:ascii="仿宋_GB2312" w:hAnsi="仿宋_GB2312" w:cs="仿宋_GB2312" w:eastAsia="仿宋_GB2312"/>
              </w:rPr>
              <w:t>承诺带宽与测试值误差应小于1%。</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标的名称：互联网出口链路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中国移动交通云平台1条互联网链路费用。</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互联网出口链路</w:t>
                  </w:r>
                </w:p>
              </w:tc>
              <w:tc>
                <w:tcPr>
                  <w:tcW w:type="dxa" w:w="638"/>
                </w:tcPr>
                <w:p>
                  <w:pPr>
                    <w:pStyle w:val="null3"/>
                  </w:pPr>
                  <w:r>
                    <w:rPr>
                      <w:rFonts w:ascii="仿宋_GB2312" w:hAnsi="仿宋_GB2312" w:cs="仿宋_GB2312" w:eastAsia="仿宋_GB2312"/>
                    </w:rPr>
                    <w:t>中国移动100M带宽/1年</w:t>
                  </w:r>
                </w:p>
              </w:tc>
              <w:tc>
                <w:tcPr>
                  <w:tcW w:type="dxa" w:w="638"/>
                </w:tcPr>
                <w:p>
                  <w:pPr>
                    <w:pStyle w:val="null3"/>
                  </w:pPr>
                  <w:r>
                    <w:rPr>
                      <w:rFonts w:ascii="仿宋_GB2312" w:hAnsi="仿宋_GB2312" w:cs="仿宋_GB2312" w:eastAsia="仿宋_GB2312"/>
                    </w:rPr>
                    <w:t>条</w:t>
                  </w:r>
                </w:p>
              </w:tc>
              <w:tc>
                <w:tcPr>
                  <w:tcW w:type="dxa" w:w="638"/>
                </w:tcPr>
                <w:p>
                  <w:pPr>
                    <w:pStyle w:val="null3"/>
                  </w:pPr>
                  <w:r>
                    <w:rPr>
                      <w:rFonts w:ascii="仿宋_GB2312" w:hAnsi="仿宋_GB2312" w:cs="仿宋_GB2312" w:eastAsia="仿宋_GB2312"/>
                    </w:rPr>
                    <w:t>1</w:t>
                  </w:r>
                </w:p>
              </w:tc>
            </w:tr>
          </w:tbl>
          <w:p>
            <w:pPr>
              <w:pStyle w:val="null3"/>
            </w:pPr>
            <w:r>
              <w:rPr>
                <w:rFonts w:ascii="仿宋_GB2312" w:hAnsi="仿宋_GB2312" w:cs="仿宋_GB2312" w:eastAsia="仿宋_GB2312"/>
              </w:rPr>
              <w:t>提供7*24小时故障申告热线，故障申告后30分钟内响应，4小时内故障处理解决。</w:t>
            </w:r>
          </w:p>
          <w:p>
            <w:pPr>
              <w:pStyle w:val="null3"/>
            </w:pPr>
            <w:r>
              <w:rPr>
                <w:rFonts w:ascii="仿宋_GB2312" w:hAnsi="仿宋_GB2312" w:cs="仿宋_GB2312" w:eastAsia="仿宋_GB2312"/>
              </w:rPr>
              <w:t>平均丢帧率低于</w:t>
            </w:r>
            <w:r>
              <w:rPr>
                <w:rFonts w:ascii="仿宋_GB2312" w:hAnsi="仿宋_GB2312" w:cs="仿宋_GB2312" w:eastAsia="仿宋_GB2312"/>
                <w:sz w:val="21"/>
              </w:rPr>
              <w:t>10</w:t>
            </w:r>
            <w:r>
              <w:rPr>
                <w:rFonts w:ascii="仿宋_GB2312" w:hAnsi="仿宋_GB2312" w:cs="仿宋_GB2312" w:eastAsia="仿宋_GB2312"/>
                <w:sz w:val="21"/>
                <w:vertAlign w:val="superscript"/>
              </w:rPr>
              <w:t>-7</w:t>
            </w:r>
            <w:r>
              <w:rPr>
                <w:rFonts w:ascii="仿宋_GB2312" w:hAnsi="仿宋_GB2312" w:cs="仿宋_GB2312" w:eastAsia="仿宋_GB2312"/>
              </w:rPr>
              <w:t xml:space="preserve"> 。</w:t>
            </w:r>
          </w:p>
          <w:p>
            <w:pPr>
              <w:pStyle w:val="null3"/>
            </w:pPr>
            <w:r>
              <w:rPr>
                <w:rFonts w:ascii="仿宋_GB2312" w:hAnsi="仿宋_GB2312" w:cs="仿宋_GB2312" w:eastAsia="仿宋_GB2312"/>
              </w:rPr>
              <w:t>时延小于等于80ms。</w:t>
            </w:r>
          </w:p>
          <w:p>
            <w:pPr>
              <w:pStyle w:val="null3"/>
            </w:pPr>
            <w:r>
              <w:rPr>
                <w:rFonts w:ascii="仿宋_GB2312" w:hAnsi="仿宋_GB2312" w:cs="仿宋_GB2312" w:eastAsia="仿宋_GB2312"/>
              </w:rPr>
              <w:t>承诺带宽与测试值误差应小于1%。</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标的名称：云平台中铁西安局机房西部机场集团专线链路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陕西广电云平台中铁西安局机房西部机场集团专线链路。</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业务传输链路</w:t>
                  </w:r>
                </w:p>
              </w:tc>
              <w:tc>
                <w:tcPr>
                  <w:tcW w:type="dxa" w:w="638"/>
                </w:tcPr>
                <w:p>
                  <w:pPr>
                    <w:pStyle w:val="null3"/>
                  </w:pPr>
                  <w:r>
                    <w:rPr>
                      <w:rFonts w:ascii="仿宋_GB2312" w:hAnsi="仿宋_GB2312" w:cs="仿宋_GB2312" w:eastAsia="仿宋_GB2312"/>
                    </w:rPr>
                    <w:t>中铁西安局机房、西部机场集团专线链路30M MSTP专线/年（线路一陕西省交通运输厅应急指挥大厅至西安市碑林区友谊东路33号中国铁路西安局集团有限公司，线路二唐延路6号二层机房陕西省交通运输厅机房内交通专网网络设备至陕西省西安市雁塔区高新一路4号西部机场集团有限公司机房内）</w:t>
                  </w:r>
                </w:p>
              </w:tc>
              <w:tc>
                <w:tcPr>
                  <w:tcW w:type="dxa" w:w="638"/>
                </w:tcPr>
                <w:p>
                  <w:pPr>
                    <w:pStyle w:val="null3"/>
                  </w:pPr>
                  <w:r>
                    <w:rPr>
                      <w:rFonts w:ascii="仿宋_GB2312" w:hAnsi="仿宋_GB2312" w:cs="仿宋_GB2312" w:eastAsia="仿宋_GB2312"/>
                    </w:rPr>
                    <w:t>条</w:t>
                  </w:r>
                </w:p>
              </w:tc>
              <w:tc>
                <w:tcPr>
                  <w:tcW w:type="dxa" w:w="638"/>
                </w:tcPr>
                <w:p>
                  <w:pPr>
                    <w:pStyle w:val="null3"/>
                  </w:pPr>
                  <w:r>
                    <w:rPr>
                      <w:rFonts w:ascii="仿宋_GB2312" w:hAnsi="仿宋_GB2312" w:cs="仿宋_GB2312" w:eastAsia="仿宋_GB2312"/>
                    </w:rPr>
                    <w:t>2</w:t>
                  </w:r>
                </w:p>
              </w:tc>
            </w:tr>
          </w:tbl>
          <w:p>
            <w:pPr>
              <w:pStyle w:val="null3"/>
            </w:pPr>
            <w:r>
              <w:rPr>
                <w:rFonts w:ascii="仿宋_GB2312" w:hAnsi="仿宋_GB2312" w:cs="仿宋_GB2312" w:eastAsia="仿宋_GB2312"/>
              </w:rPr>
              <w:t>提供7*24小时故障申告热线，故障申告后30分钟内响应，4小时内故障处理解决。</w:t>
            </w:r>
          </w:p>
          <w:p>
            <w:pPr>
              <w:pStyle w:val="null3"/>
            </w:pPr>
            <w:r>
              <w:rPr>
                <w:rFonts w:ascii="仿宋_GB2312" w:hAnsi="仿宋_GB2312" w:cs="仿宋_GB2312" w:eastAsia="仿宋_GB2312"/>
              </w:rPr>
              <w:t>平均丢帧率低于</w:t>
            </w:r>
            <w:r>
              <w:rPr>
                <w:rFonts w:ascii="仿宋_GB2312" w:hAnsi="仿宋_GB2312" w:cs="仿宋_GB2312" w:eastAsia="仿宋_GB2312"/>
                <w:sz w:val="21"/>
              </w:rPr>
              <w:t>10</w:t>
            </w:r>
            <w:r>
              <w:rPr>
                <w:rFonts w:ascii="仿宋_GB2312" w:hAnsi="仿宋_GB2312" w:cs="仿宋_GB2312" w:eastAsia="仿宋_GB2312"/>
                <w:sz w:val="21"/>
                <w:vertAlign w:val="superscript"/>
              </w:rPr>
              <w:t>-7</w:t>
            </w:r>
            <w:r>
              <w:rPr>
                <w:rFonts w:ascii="仿宋_GB2312" w:hAnsi="仿宋_GB2312" w:cs="仿宋_GB2312" w:eastAsia="仿宋_GB2312"/>
              </w:rPr>
              <w:t>。</w:t>
            </w:r>
          </w:p>
          <w:p>
            <w:pPr>
              <w:pStyle w:val="null3"/>
            </w:pPr>
            <w:r>
              <w:rPr>
                <w:rFonts w:ascii="仿宋_GB2312" w:hAnsi="仿宋_GB2312" w:cs="仿宋_GB2312" w:eastAsia="仿宋_GB2312"/>
              </w:rPr>
              <w:t>时延小于等于80ms。</w:t>
            </w:r>
          </w:p>
          <w:p>
            <w:pPr>
              <w:pStyle w:val="null3"/>
            </w:pPr>
            <w:r>
              <w:rPr>
                <w:rFonts w:ascii="仿宋_GB2312" w:hAnsi="仿宋_GB2312" w:cs="仿宋_GB2312" w:eastAsia="仿宋_GB2312"/>
              </w:rPr>
              <w:t>承诺带宽与测试值误差应小于1%。</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以采购文件、响应文件及签订合同要求为准。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以采购文件、响应文件及签订合同要求为准。</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以采购文件、响应文件及签订合同要求为准。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以采购文件、响应文件及签订合同要求为准。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2026年6月28日至2027年6月27日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2026年8月13日至2027年8月12日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2026年7月16日至2027年7月15日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进度款，合同签订后供应商提供相应发票，采购人收到供应商的发票后，达到付款条件起14个工作日内，支付合同总金额的100.0%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进度款，合同签订后供应商提供相应发票，采购人收到供应商的发票后，达到付款条件起14个工作日内，支付合同总金额的100.0%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进度款，合同签订后供应商提供相应发票，采购人收到供应商的发票后，达到付款条件起14个工作日内，支付合同总金额的100.0%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以采购文件、响应文件及签订合同要求为准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以采购文件、响应文件及签订合同要求为准</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以采购文件、响应文件及签订合同要求为准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以采购文件、响应文件及签订合同要求为准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为顺利推进本项目政府采购工作，供应商须在陕西省政府采购电子化交易平台上传电子版响应文件并完成签章、加密，同时，线下递交纸质版响应文件正本一份、副本一份。若电子版响应文件与纸质版响应文件不一致的，以陕西省政府采购电子化交易平台上传的电子版响应文件为准。纸质版响应文件递交截止时间同开标截止时间，递交地点为西安市唐延路37号class公馆B栋1103室。</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为顺利推进本项目政府采购工作，供应商须在陕西省政府采购电子化交易平台上传电子版响应文件并完成签章、加密，同时，线下递交纸质版响应文件正本一份、副本一份。若电子版响应文件与纸质版响应文件不一致的，以陕西省政府采购电子化交易平台上传的电子版响应文件为准。纸质版响应文件递交截止时间同开标截止时间，递交地点为西安市唐延路37号class公馆B栋1103室。</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为顺利推进本项目政府采购工作，供应商须在陕西省政府采购电子化交易平台上传电子版响应文件并完成签章、加密，同时，线下递交纸质版响应文件正本一份、副本一份。若电子版响应文件与纸质版响应文件不一致的，以陕西省政府采购电子化交易平台上传的电子版响应文件为准。纸质版响应文件递交截止时间同开标截止时间，递交地点为西安市唐延路37号class公馆B栋1103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协商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提供递交响应文件截止之日前六个月内任意一个月的依法缴纳税收的相关凭据，凭据应有税务机关或代收机关的公章或业务专用章。依法免税或无须缴纳税收的供应商，应提供相应证明文件；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提供递交响应文件截止之日前六个月内任意一个月的社会保障资金缴存单据或社保机构开具的社会保险参保缴费情况证明。依法不需要缴纳社会保障资金的供应商应提供相关证明文件；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无重大违纪声明</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法定代表人/负责人授权书</w:t>
            </w:r>
          </w:p>
        </w:tc>
        <w:tc>
          <w:tcPr>
            <w:tcW w:type="dxa" w:w="3322"/>
          </w:tcPr>
          <w:p>
            <w:pPr>
              <w:pStyle w:val="null3"/>
            </w:pPr>
            <w:r>
              <w:rPr>
                <w:rFonts w:ascii="仿宋_GB2312" w:hAnsi="仿宋_GB2312" w:cs="仿宋_GB2312" w:eastAsia="仿宋_GB2312"/>
              </w:rPr>
              <w:t>法定代表人/负责人直接参加协商的，须出具法定代表人/负责人身份证明书及身份证；授权代表参加协商的，须出具法定代表人/负责人授权书及授权代表身份证；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非联合体协商</w:t>
            </w:r>
          </w:p>
        </w:tc>
        <w:tc>
          <w:tcPr>
            <w:tcW w:type="dxa" w:w="3322"/>
          </w:tcPr>
          <w:p>
            <w:pPr>
              <w:pStyle w:val="null3"/>
            </w:pPr>
            <w:r>
              <w:rPr>
                <w:rFonts w:ascii="仿宋_GB2312" w:hAnsi="仿宋_GB2312" w:cs="仿宋_GB2312" w:eastAsia="仿宋_GB2312"/>
              </w:rPr>
              <w:t>本项目不接受联合体协商。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协商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提供递交响应文件截止之日前六个月内任意一个月的依法缴纳税收的相关凭据，凭据应有税务机关或代收机关的公章或业务专用章。依法免税或无须缴纳税收的供应商，应提供相应证明文件；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提供递交响应文件截止之日前六个月内任意一个月的社会保障资金缴存单据或社保机构开具的社会保险参保缴费情况证明。依法不需要缴纳社会保障资金的供应商应提供相关证明文件；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无重大违纪声明</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法定代表人/负责人授权书</w:t>
            </w:r>
          </w:p>
        </w:tc>
        <w:tc>
          <w:tcPr>
            <w:tcW w:type="dxa" w:w="3322"/>
          </w:tcPr>
          <w:p>
            <w:pPr>
              <w:pStyle w:val="null3"/>
            </w:pPr>
            <w:r>
              <w:rPr>
                <w:rFonts w:ascii="仿宋_GB2312" w:hAnsi="仿宋_GB2312" w:cs="仿宋_GB2312" w:eastAsia="仿宋_GB2312"/>
              </w:rPr>
              <w:t>法定代表人/负责人直接参加协商的，须出具法定代表人/负责人身份证明书及身份证；授权代表参加协商的，须出具法定代表人/负责人授权书及授权代表身份证；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非联合体协商</w:t>
            </w:r>
          </w:p>
        </w:tc>
        <w:tc>
          <w:tcPr>
            <w:tcW w:type="dxa" w:w="3322"/>
          </w:tcPr>
          <w:p>
            <w:pPr>
              <w:pStyle w:val="null3"/>
            </w:pPr>
            <w:r>
              <w:rPr>
                <w:rFonts w:ascii="仿宋_GB2312" w:hAnsi="仿宋_GB2312" w:cs="仿宋_GB2312" w:eastAsia="仿宋_GB2312"/>
              </w:rPr>
              <w:t>本项目不接受联合体协商。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协商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提供递交响应文件截止之日前六个月内任意一个月的依法缴纳税收的相关凭据，凭据应有税务机关或代收机关的公章或业务专用章。依法免税或无须缴纳税收的供应商，应提供相应证明文件；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提供递交响应文件截止之日前六个月内任意一个月的社会保障资金缴存单据或社保机构开具的社会保险参保缴费情况证明。依法不需要缴纳社会保障资金的供应商应提供相关证明文件；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无重大违纪声明</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法定代表人/负责人授权书</w:t>
            </w:r>
          </w:p>
        </w:tc>
        <w:tc>
          <w:tcPr>
            <w:tcW w:type="dxa" w:w="3322"/>
          </w:tcPr>
          <w:p>
            <w:pPr>
              <w:pStyle w:val="null3"/>
            </w:pPr>
            <w:r>
              <w:rPr>
                <w:rFonts w:ascii="仿宋_GB2312" w:hAnsi="仿宋_GB2312" w:cs="仿宋_GB2312" w:eastAsia="仿宋_GB2312"/>
              </w:rPr>
              <w:t>法定代表人/负责人直接参加协商的，须出具法定代表人/负责人身份证明书及身份证；授权代表参加协商的，须出具法定代表人/负责人授权书及授权代表身份证；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非联合体协商</w:t>
            </w:r>
          </w:p>
        </w:tc>
        <w:tc>
          <w:tcPr>
            <w:tcW w:type="dxa" w:w="3322"/>
          </w:tcPr>
          <w:p>
            <w:pPr>
              <w:pStyle w:val="null3"/>
            </w:pPr>
            <w:r>
              <w:rPr>
                <w:rFonts w:ascii="仿宋_GB2312" w:hAnsi="仿宋_GB2312" w:cs="仿宋_GB2312" w:eastAsia="仿宋_GB2312"/>
              </w:rPr>
              <w:t>本项目不接受联合体协商。</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报价一览表.docx 分项报价表.docx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协商报价</w:t>
            </w:r>
          </w:p>
        </w:tc>
        <w:tc>
          <w:tcPr>
            <w:tcW w:type="dxa" w:w="3322"/>
          </w:tcPr>
          <w:p>
            <w:pPr>
              <w:pStyle w:val="null3"/>
            </w:pPr>
            <w:r>
              <w:rPr>
                <w:rFonts w:ascii="仿宋_GB2312" w:hAnsi="仿宋_GB2312" w:cs="仿宋_GB2312" w:eastAsia="仿宋_GB2312"/>
              </w:rPr>
              <w:t>完整无缺项，无选择性报价</w:t>
            </w:r>
          </w:p>
        </w:tc>
        <w:tc>
          <w:tcPr>
            <w:tcW w:type="dxa" w:w="1661"/>
          </w:tcPr>
          <w:p>
            <w:pPr>
              <w:pStyle w:val="null3"/>
            </w:pPr>
            <w:r>
              <w:rPr>
                <w:rFonts w:ascii="仿宋_GB2312" w:hAnsi="仿宋_GB2312" w:cs="仿宋_GB2312" w:eastAsia="仿宋_GB2312"/>
              </w:rPr>
              <w:t>报价一览表.docx 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自开标之日起不少于90个日历日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响应文件的签字盖章合格有效</w:t>
            </w:r>
          </w:p>
        </w:tc>
        <w:tc>
          <w:tcPr>
            <w:tcW w:type="dxa" w:w="1661"/>
          </w:tcPr>
          <w:p>
            <w:pPr>
              <w:pStyle w:val="null3"/>
            </w:pPr>
            <w:r>
              <w:rPr>
                <w:rFonts w:ascii="仿宋_GB2312" w:hAnsi="仿宋_GB2312" w:cs="仿宋_GB2312" w:eastAsia="仿宋_GB2312"/>
              </w:rPr>
              <w:t>报价一览表.docx 供应商认为有必要说明的其他资料.docx 中小企业声明函 报价表 服务偏离表.docx 资格证明文件.docx 供应商承诺书.docx 响应文件封面 分项报价表.docx 残疾人福利性单位声明函 业绩统计表.docx 标的清单 响应函 商务偏离表.docx 服务方案.docx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采购文件商务条款</w:t>
            </w:r>
          </w:p>
        </w:tc>
        <w:tc>
          <w:tcPr>
            <w:tcW w:type="dxa" w:w="3322"/>
          </w:tcPr>
          <w:p>
            <w:pPr>
              <w:pStyle w:val="null3"/>
            </w:pPr>
            <w:r>
              <w:rPr>
                <w:rFonts w:ascii="仿宋_GB2312" w:hAnsi="仿宋_GB2312" w:cs="仿宋_GB2312" w:eastAsia="仿宋_GB2312"/>
              </w:rPr>
              <w:t>响应采购文件商务条款，无重大保留或偏差</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服务要求</w:t>
            </w:r>
          </w:p>
        </w:tc>
        <w:tc>
          <w:tcPr>
            <w:tcW w:type="dxa" w:w="3322"/>
          </w:tcPr>
          <w:p>
            <w:pPr>
              <w:pStyle w:val="null3"/>
            </w:pPr>
            <w:r>
              <w:rPr>
                <w:rFonts w:ascii="仿宋_GB2312" w:hAnsi="仿宋_GB2312" w:cs="仿宋_GB2312" w:eastAsia="仿宋_GB2312"/>
              </w:rPr>
              <w:t>供应商服务须完全满足采购文件要求，否则其响应文件作为无效处理</w:t>
            </w:r>
          </w:p>
        </w:tc>
        <w:tc>
          <w:tcPr>
            <w:tcW w:type="dxa" w:w="1661"/>
          </w:tcPr>
          <w:p>
            <w:pPr>
              <w:pStyle w:val="null3"/>
            </w:pPr>
            <w:r>
              <w:rPr>
                <w:rFonts w:ascii="仿宋_GB2312" w:hAnsi="仿宋_GB2312" w:cs="仿宋_GB2312" w:eastAsia="仿宋_GB2312"/>
              </w:rPr>
              <w:t>服务偏离表.docx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无不符合法律法规或采购文件规定的投标无效条款</w:t>
            </w:r>
          </w:p>
        </w:tc>
        <w:tc>
          <w:tcPr>
            <w:tcW w:type="dxa" w:w="1661"/>
          </w:tcPr>
          <w:p>
            <w:pPr>
              <w:pStyle w:val="null3"/>
            </w:pPr>
            <w:r>
              <w:rPr>
                <w:rFonts w:ascii="仿宋_GB2312" w:hAnsi="仿宋_GB2312" w:cs="仿宋_GB2312" w:eastAsia="仿宋_GB2312"/>
              </w:rPr>
              <w:t>报价一览表.docx 供应商认为有必要说明的其他资料.docx 中小企业声明函 报价表 服务偏离表.docx 资格证明文件.docx 供应商承诺书.docx 响应文件封面 分项报价表.docx 残疾人福利性单位声明函 业绩统计表.docx 标的清单 响应函 商务偏离表.docx 服务方案.docx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报价一览表.docx 分项报价表.docx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协商报价</w:t>
            </w:r>
          </w:p>
        </w:tc>
        <w:tc>
          <w:tcPr>
            <w:tcW w:type="dxa" w:w="3322"/>
          </w:tcPr>
          <w:p>
            <w:pPr>
              <w:pStyle w:val="null3"/>
            </w:pPr>
            <w:r>
              <w:rPr>
                <w:rFonts w:ascii="仿宋_GB2312" w:hAnsi="仿宋_GB2312" w:cs="仿宋_GB2312" w:eastAsia="仿宋_GB2312"/>
              </w:rPr>
              <w:t>完整无缺项，无选择性报价</w:t>
            </w:r>
          </w:p>
        </w:tc>
        <w:tc>
          <w:tcPr>
            <w:tcW w:type="dxa" w:w="1661"/>
          </w:tcPr>
          <w:p>
            <w:pPr>
              <w:pStyle w:val="null3"/>
            </w:pPr>
            <w:r>
              <w:rPr>
                <w:rFonts w:ascii="仿宋_GB2312" w:hAnsi="仿宋_GB2312" w:cs="仿宋_GB2312" w:eastAsia="仿宋_GB2312"/>
              </w:rPr>
              <w:t>报价一览表.docx 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自开标之日起不少于90个日历日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响应文件的签字盖章合格有效</w:t>
            </w:r>
          </w:p>
        </w:tc>
        <w:tc>
          <w:tcPr>
            <w:tcW w:type="dxa" w:w="1661"/>
          </w:tcPr>
          <w:p>
            <w:pPr>
              <w:pStyle w:val="null3"/>
            </w:pPr>
            <w:r>
              <w:rPr>
                <w:rFonts w:ascii="仿宋_GB2312" w:hAnsi="仿宋_GB2312" w:cs="仿宋_GB2312" w:eastAsia="仿宋_GB2312"/>
              </w:rPr>
              <w:t>报价一览表.docx 供应商认为有必要说明的其他资料.docx 中小企业声明函 报价表 服务偏离表.docx 资格证明文件.docx 供应商承诺书.docx 响应文件封面 分项报价表.docx 残疾人福利性单位声明函 业绩统计表.docx 标的清单 响应函 商务偏离表.docx 服务方案.docx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采购文件商务条款</w:t>
            </w:r>
          </w:p>
        </w:tc>
        <w:tc>
          <w:tcPr>
            <w:tcW w:type="dxa" w:w="3322"/>
          </w:tcPr>
          <w:p>
            <w:pPr>
              <w:pStyle w:val="null3"/>
            </w:pPr>
            <w:r>
              <w:rPr>
                <w:rFonts w:ascii="仿宋_GB2312" w:hAnsi="仿宋_GB2312" w:cs="仿宋_GB2312" w:eastAsia="仿宋_GB2312"/>
              </w:rPr>
              <w:t>响应采购文件商务条款，无重大保留或偏差</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服务要求</w:t>
            </w:r>
          </w:p>
        </w:tc>
        <w:tc>
          <w:tcPr>
            <w:tcW w:type="dxa" w:w="3322"/>
          </w:tcPr>
          <w:p>
            <w:pPr>
              <w:pStyle w:val="null3"/>
            </w:pPr>
            <w:r>
              <w:rPr>
                <w:rFonts w:ascii="仿宋_GB2312" w:hAnsi="仿宋_GB2312" w:cs="仿宋_GB2312" w:eastAsia="仿宋_GB2312"/>
              </w:rPr>
              <w:t>供应商服务须完全满足采购文件要求，否则其响应文件作为无效处理</w:t>
            </w:r>
          </w:p>
        </w:tc>
        <w:tc>
          <w:tcPr>
            <w:tcW w:type="dxa" w:w="1661"/>
          </w:tcPr>
          <w:p>
            <w:pPr>
              <w:pStyle w:val="null3"/>
            </w:pPr>
            <w:r>
              <w:rPr>
                <w:rFonts w:ascii="仿宋_GB2312" w:hAnsi="仿宋_GB2312" w:cs="仿宋_GB2312" w:eastAsia="仿宋_GB2312"/>
              </w:rPr>
              <w:t>服务偏离表.docx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无不符合法律法规或采购文件规定的投标无效条款</w:t>
            </w:r>
          </w:p>
        </w:tc>
        <w:tc>
          <w:tcPr>
            <w:tcW w:type="dxa" w:w="1661"/>
          </w:tcPr>
          <w:p>
            <w:pPr>
              <w:pStyle w:val="null3"/>
            </w:pPr>
            <w:r>
              <w:rPr>
                <w:rFonts w:ascii="仿宋_GB2312" w:hAnsi="仿宋_GB2312" w:cs="仿宋_GB2312" w:eastAsia="仿宋_GB2312"/>
              </w:rPr>
              <w:t>报价一览表.docx 供应商认为有必要说明的其他资料.docx 中小企业声明函 报价表 服务偏离表.docx 资格证明文件.docx 供应商承诺书.docx 响应文件封面 分项报价表.docx 残疾人福利性单位声明函 业绩统计表.docx 标的清单 响应函 商务偏离表.docx 服务方案.docx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报价一览表.docx 分项报价表.docx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协商报价</w:t>
            </w:r>
          </w:p>
        </w:tc>
        <w:tc>
          <w:tcPr>
            <w:tcW w:type="dxa" w:w="3322"/>
          </w:tcPr>
          <w:p>
            <w:pPr>
              <w:pStyle w:val="null3"/>
            </w:pPr>
            <w:r>
              <w:rPr>
                <w:rFonts w:ascii="仿宋_GB2312" w:hAnsi="仿宋_GB2312" w:cs="仿宋_GB2312" w:eastAsia="仿宋_GB2312"/>
              </w:rPr>
              <w:t>完整无缺项，无选择性报价</w:t>
            </w:r>
          </w:p>
        </w:tc>
        <w:tc>
          <w:tcPr>
            <w:tcW w:type="dxa" w:w="1661"/>
          </w:tcPr>
          <w:p>
            <w:pPr>
              <w:pStyle w:val="null3"/>
            </w:pPr>
            <w:r>
              <w:rPr>
                <w:rFonts w:ascii="仿宋_GB2312" w:hAnsi="仿宋_GB2312" w:cs="仿宋_GB2312" w:eastAsia="仿宋_GB2312"/>
              </w:rPr>
              <w:t>报价一览表.docx 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自开标之日起不少于90个日历日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响应文件的签字盖章合格有效</w:t>
            </w:r>
          </w:p>
        </w:tc>
        <w:tc>
          <w:tcPr>
            <w:tcW w:type="dxa" w:w="1661"/>
          </w:tcPr>
          <w:p>
            <w:pPr>
              <w:pStyle w:val="null3"/>
            </w:pPr>
            <w:r>
              <w:rPr>
                <w:rFonts w:ascii="仿宋_GB2312" w:hAnsi="仿宋_GB2312" w:cs="仿宋_GB2312" w:eastAsia="仿宋_GB2312"/>
              </w:rPr>
              <w:t>报价一览表.docx 供应商认为有必要说明的其他资料.docx 中小企业声明函 报价表 服务偏离表.docx 资格证明文件.docx 供应商承诺书.docx 响应文件封面 分项报价表.docx 残疾人福利性单位声明函 业绩统计表.docx 标的清单 响应函 商务偏离表.docx 服务方案.docx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采购文件商务条款</w:t>
            </w:r>
          </w:p>
        </w:tc>
        <w:tc>
          <w:tcPr>
            <w:tcW w:type="dxa" w:w="3322"/>
          </w:tcPr>
          <w:p>
            <w:pPr>
              <w:pStyle w:val="null3"/>
            </w:pPr>
            <w:r>
              <w:rPr>
                <w:rFonts w:ascii="仿宋_GB2312" w:hAnsi="仿宋_GB2312" w:cs="仿宋_GB2312" w:eastAsia="仿宋_GB2312"/>
              </w:rPr>
              <w:t>响应采购文件商务条款，无重大保留或偏差</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服务要求</w:t>
            </w:r>
          </w:p>
        </w:tc>
        <w:tc>
          <w:tcPr>
            <w:tcW w:type="dxa" w:w="3322"/>
          </w:tcPr>
          <w:p>
            <w:pPr>
              <w:pStyle w:val="null3"/>
            </w:pPr>
            <w:r>
              <w:rPr>
                <w:rFonts w:ascii="仿宋_GB2312" w:hAnsi="仿宋_GB2312" w:cs="仿宋_GB2312" w:eastAsia="仿宋_GB2312"/>
              </w:rPr>
              <w:t>供应商服务须完全满足采购文件要求，否则其响应文件作为无效处理</w:t>
            </w:r>
          </w:p>
        </w:tc>
        <w:tc>
          <w:tcPr>
            <w:tcW w:type="dxa" w:w="1661"/>
          </w:tcPr>
          <w:p>
            <w:pPr>
              <w:pStyle w:val="null3"/>
            </w:pPr>
            <w:r>
              <w:rPr>
                <w:rFonts w:ascii="仿宋_GB2312" w:hAnsi="仿宋_GB2312" w:cs="仿宋_GB2312" w:eastAsia="仿宋_GB2312"/>
              </w:rPr>
              <w:t>服务偏离表.docx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无不符合法律法规或采购文件规定的投标无效条款</w:t>
            </w:r>
          </w:p>
        </w:tc>
        <w:tc>
          <w:tcPr>
            <w:tcW w:type="dxa" w:w="1661"/>
          </w:tcPr>
          <w:p>
            <w:pPr>
              <w:pStyle w:val="null3"/>
            </w:pPr>
            <w:r>
              <w:rPr>
                <w:rFonts w:ascii="仿宋_GB2312" w:hAnsi="仿宋_GB2312" w:cs="仿宋_GB2312" w:eastAsia="仿宋_GB2312"/>
              </w:rPr>
              <w:t>报价一览表.docx 供应商认为有必要说明的其他资料.docx 中小企业声明函 报价表 服务偏离表.docx 资格证明文件.docx 供应商承诺书.docx 响应文件封面 分项报价表.docx 残疾人福利性单位声明函 业绩统计表.docx 标的清单 响应函 商务偏离表.docx 服务方案.docx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详见附件：服务偏离表.docx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详见附件：业绩统计表.docx</w:t>
      </w:r>
    </w:p>
    <w:p>
      <w:pPr>
        <w:pStyle w:val="null3"/>
        <w:ind w:firstLine="960"/>
      </w:pPr>
      <w:r>
        <w:rPr>
          <w:rFonts w:ascii="仿宋_GB2312" w:hAnsi="仿宋_GB2312" w:cs="仿宋_GB2312" w:eastAsia="仿宋_GB2312"/>
        </w:rPr>
        <w:t>详见附件：供应商认为有必要说明的其他资料.docx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详见附件：服务偏离表.docx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详见附件：业绩统计表.docx</w:t>
      </w:r>
    </w:p>
    <w:p>
      <w:pPr>
        <w:pStyle w:val="null3"/>
        <w:ind w:firstLine="960"/>
      </w:pPr>
      <w:r>
        <w:rPr>
          <w:rFonts w:ascii="仿宋_GB2312" w:hAnsi="仿宋_GB2312" w:cs="仿宋_GB2312" w:eastAsia="仿宋_GB2312"/>
        </w:rPr>
        <w:t>详见附件：供应商认为有必要说明的其他资料.docx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详见附件：服务偏离表.docx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详见附件：业绩统计表.docx</w:t>
      </w:r>
    </w:p>
    <w:p>
      <w:pPr>
        <w:pStyle w:val="null3"/>
        <w:ind w:firstLine="960"/>
      </w:pPr>
      <w:r>
        <w:rPr>
          <w:rFonts w:ascii="仿宋_GB2312" w:hAnsi="仿宋_GB2312" w:cs="仿宋_GB2312" w:eastAsia="仿宋_GB2312"/>
        </w:rPr>
        <w:t>详见附件：供应商认为有必要说明的其他资料.docx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