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05F559">
      <w:pPr>
        <w:pStyle w:val="4"/>
        <w:spacing w:before="120"/>
        <w:ind w:left="0" w:right="34"/>
        <w:jc w:val="center"/>
        <w:rPr>
          <w:rFonts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bookmarkStart w:id="0" w:name="_Toc14672"/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服务偏离表</w:t>
      </w:r>
      <w:bookmarkEnd w:id="0"/>
    </w:p>
    <w:p w14:paraId="4AE7EA45">
      <w:pPr>
        <w:pStyle w:val="6"/>
        <w:widowControl w:val="0"/>
        <w:spacing w:before="160" w:beforeLines="50" w:beforeAutospacing="0" w:after="160" w:afterLines="50" w:afterAutospacing="0"/>
        <w:rPr>
          <w:rFonts w:ascii="仿宋" w:hAnsi="仿宋" w:eastAsia="仿宋" w:cs="仿宋"/>
          <w:color w:val="auto"/>
          <w:sz w:val="20"/>
          <w:szCs w:val="20"/>
          <w:highlight w:val="none"/>
        </w:rPr>
      </w:pPr>
      <w:bookmarkStart w:id="1" w:name="OLE_LINK1"/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项目名称：</w:t>
      </w:r>
    </w:p>
    <w:p w14:paraId="614706A4">
      <w:pPr>
        <w:pStyle w:val="4"/>
        <w:spacing w:before="120"/>
        <w:ind w:left="0" w:right="34"/>
        <w:jc w:val="both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项目编号：</w:t>
      </w:r>
    </w:p>
    <w:p w14:paraId="50D863E5">
      <w:pPr>
        <w:pStyle w:val="4"/>
        <w:spacing w:before="120"/>
        <w:ind w:left="0" w:right="34"/>
        <w:jc w:val="both"/>
        <w:rPr>
          <w:rFonts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采购包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号：</w:t>
      </w:r>
    </w:p>
    <w:bookmarkEnd w:id="1"/>
    <w:tbl>
      <w:tblPr>
        <w:tblStyle w:val="7"/>
        <w:tblW w:w="494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1"/>
        <w:gridCol w:w="2152"/>
        <w:gridCol w:w="2046"/>
        <w:gridCol w:w="2025"/>
        <w:gridCol w:w="1308"/>
      </w:tblGrid>
      <w:tr w14:paraId="12297B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24" w:hRule="atLeast"/>
          <w:jc w:val="center"/>
        </w:trPr>
        <w:tc>
          <w:tcPr>
            <w:tcW w:w="442" w:type="pct"/>
            <w:vAlign w:val="center"/>
          </w:tcPr>
          <w:p w14:paraId="4A0AC44C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1302" w:type="pct"/>
            <w:vAlign w:val="center"/>
          </w:tcPr>
          <w:p w14:paraId="4A5EBDE1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采购文件服务要求</w:t>
            </w:r>
          </w:p>
        </w:tc>
        <w:tc>
          <w:tcPr>
            <w:tcW w:w="1238" w:type="pct"/>
            <w:vAlign w:val="center"/>
          </w:tcPr>
          <w:p w14:paraId="63E48F40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响应内容</w:t>
            </w:r>
          </w:p>
        </w:tc>
        <w:tc>
          <w:tcPr>
            <w:tcW w:w="1225" w:type="pct"/>
            <w:vAlign w:val="center"/>
          </w:tcPr>
          <w:p w14:paraId="472B0940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偏离情况</w:t>
            </w:r>
          </w:p>
        </w:tc>
        <w:tc>
          <w:tcPr>
            <w:tcW w:w="791" w:type="pct"/>
            <w:vAlign w:val="center"/>
          </w:tcPr>
          <w:p w14:paraId="15663297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备注</w:t>
            </w:r>
          </w:p>
        </w:tc>
      </w:tr>
      <w:tr w14:paraId="3089CD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4" w:hRule="atLeast"/>
          <w:jc w:val="center"/>
        </w:trPr>
        <w:tc>
          <w:tcPr>
            <w:tcW w:w="442" w:type="pct"/>
          </w:tcPr>
          <w:p w14:paraId="3E94CC7F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302" w:type="pct"/>
          </w:tcPr>
          <w:p w14:paraId="01887BB0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38" w:type="pct"/>
          </w:tcPr>
          <w:p w14:paraId="1AB922E0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25" w:type="pct"/>
          </w:tcPr>
          <w:p w14:paraId="0C71C067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1" w:type="pct"/>
          </w:tcPr>
          <w:p w14:paraId="2D0CEA1B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753BA1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4" w:hRule="atLeast"/>
          <w:jc w:val="center"/>
        </w:trPr>
        <w:tc>
          <w:tcPr>
            <w:tcW w:w="442" w:type="pct"/>
          </w:tcPr>
          <w:p w14:paraId="2779455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302" w:type="pct"/>
          </w:tcPr>
          <w:p w14:paraId="1210EE1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38" w:type="pct"/>
          </w:tcPr>
          <w:p w14:paraId="2AC99455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25" w:type="pct"/>
          </w:tcPr>
          <w:p w14:paraId="3FEA906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1" w:type="pct"/>
          </w:tcPr>
          <w:p w14:paraId="520EDC9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6B5F2E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4" w:hRule="atLeast"/>
          <w:jc w:val="center"/>
        </w:trPr>
        <w:tc>
          <w:tcPr>
            <w:tcW w:w="442" w:type="pct"/>
          </w:tcPr>
          <w:p w14:paraId="066F4EAB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302" w:type="pct"/>
          </w:tcPr>
          <w:p w14:paraId="340011D3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38" w:type="pct"/>
          </w:tcPr>
          <w:p w14:paraId="30B92EA0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25" w:type="pct"/>
          </w:tcPr>
          <w:p w14:paraId="64CE47B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1" w:type="pct"/>
          </w:tcPr>
          <w:p w14:paraId="1C59312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5A66ED7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4" w:hRule="atLeast"/>
          <w:jc w:val="center"/>
        </w:trPr>
        <w:tc>
          <w:tcPr>
            <w:tcW w:w="442" w:type="pct"/>
          </w:tcPr>
          <w:p w14:paraId="3C21EEEE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302" w:type="pct"/>
          </w:tcPr>
          <w:p w14:paraId="60D90633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38" w:type="pct"/>
          </w:tcPr>
          <w:p w14:paraId="21B8671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25" w:type="pct"/>
          </w:tcPr>
          <w:p w14:paraId="43E29FDE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1" w:type="pct"/>
          </w:tcPr>
          <w:p w14:paraId="70B818E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03539A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4" w:hRule="atLeast"/>
          <w:jc w:val="center"/>
        </w:trPr>
        <w:tc>
          <w:tcPr>
            <w:tcW w:w="442" w:type="pct"/>
          </w:tcPr>
          <w:p w14:paraId="489079DA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302" w:type="pct"/>
          </w:tcPr>
          <w:p w14:paraId="07276C25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38" w:type="pct"/>
          </w:tcPr>
          <w:p w14:paraId="124253DC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25" w:type="pct"/>
          </w:tcPr>
          <w:p w14:paraId="24930298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1" w:type="pct"/>
          </w:tcPr>
          <w:p w14:paraId="227BD926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2FB9EC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4" w:hRule="atLeast"/>
          <w:jc w:val="center"/>
        </w:trPr>
        <w:tc>
          <w:tcPr>
            <w:tcW w:w="442" w:type="pct"/>
          </w:tcPr>
          <w:p w14:paraId="2FE3797F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302" w:type="pct"/>
          </w:tcPr>
          <w:p w14:paraId="3FEC83F1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38" w:type="pct"/>
          </w:tcPr>
          <w:p w14:paraId="7BFD735D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25" w:type="pct"/>
          </w:tcPr>
          <w:p w14:paraId="475EA1B7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1" w:type="pct"/>
          </w:tcPr>
          <w:p w14:paraId="176D3B22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134A8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4" w:hRule="atLeast"/>
          <w:jc w:val="center"/>
        </w:trPr>
        <w:tc>
          <w:tcPr>
            <w:tcW w:w="442" w:type="pct"/>
          </w:tcPr>
          <w:p w14:paraId="22BC0FC3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302" w:type="pct"/>
          </w:tcPr>
          <w:p w14:paraId="699C77E9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38" w:type="pct"/>
          </w:tcPr>
          <w:p w14:paraId="323A2F39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25" w:type="pct"/>
          </w:tcPr>
          <w:p w14:paraId="0E77B89F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1" w:type="pct"/>
          </w:tcPr>
          <w:p w14:paraId="41AAD79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0BC783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27" w:hRule="atLeast"/>
          <w:jc w:val="center"/>
        </w:trPr>
        <w:tc>
          <w:tcPr>
            <w:tcW w:w="442" w:type="pct"/>
          </w:tcPr>
          <w:p w14:paraId="14E3F050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302" w:type="pct"/>
          </w:tcPr>
          <w:p w14:paraId="7C9B3875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38" w:type="pct"/>
          </w:tcPr>
          <w:p w14:paraId="4AECCC04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25" w:type="pct"/>
          </w:tcPr>
          <w:p w14:paraId="466FBDAB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91" w:type="pct"/>
          </w:tcPr>
          <w:p w14:paraId="47E8D3BC">
            <w:pPr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2CCB04D4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bCs/>
          <w:szCs w:val="24"/>
          <w:highlight w:val="none"/>
        </w:rPr>
      </w:pPr>
      <w:r>
        <w:rPr>
          <w:rFonts w:hint="eastAsia" w:ascii="仿宋" w:hAnsi="仿宋" w:eastAsia="仿宋" w:cs="仿宋"/>
          <w:bCs/>
          <w:szCs w:val="24"/>
          <w:highlight w:val="none"/>
        </w:rPr>
        <w:t>说明：</w:t>
      </w:r>
    </w:p>
    <w:p w14:paraId="6F3E0D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1、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  <w:t>“采购文件服务要求”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一栏应填写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lang w:eastAsia="zh-CN"/>
        </w:rPr>
        <w:t>“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  <w:t>第三章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采购项目技术、服务、商务及其他要求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/>
          <w:sz w:val="20"/>
          <w:szCs w:val="20"/>
        </w:rPr>
        <w:t>3.2.2服务要求</w:t>
      </w:r>
      <w:r>
        <w:rPr>
          <w:rFonts w:hint="eastAsia" w:ascii="仿宋" w:hAnsi="仿宋" w:eastAsia="仿宋" w:cs="仿宋"/>
          <w:b/>
          <w:sz w:val="20"/>
          <w:szCs w:val="20"/>
          <w:lang w:eastAsia="zh-CN"/>
        </w:rPr>
        <w:t>，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技术参数与性能指标</w:t>
      </w:r>
      <w:r>
        <w:rPr>
          <w:rFonts w:hint="eastAsia" w:ascii="仿宋" w:hAnsi="仿宋" w:eastAsia="仿宋" w:cs="仿宋"/>
          <w:sz w:val="20"/>
          <w:szCs w:val="20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的内容；</w:t>
      </w:r>
    </w:p>
    <w:p w14:paraId="7C6B73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2、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  <w:t>“响应内容”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一栏必须详细，并应对照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lang w:eastAsia="zh-CN"/>
        </w:rPr>
        <w:t>“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  <w:t>第三章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采购项目技术、服务、商务及其他要求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/>
          <w:sz w:val="20"/>
          <w:szCs w:val="20"/>
        </w:rPr>
        <w:t>3.2.2服务要求</w:t>
      </w:r>
      <w:r>
        <w:rPr>
          <w:rFonts w:hint="eastAsia" w:ascii="仿宋" w:hAnsi="仿宋" w:eastAsia="仿宋" w:cs="仿宋"/>
          <w:b/>
          <w:sz w:val="20"/>
          <w:szCs w:val="20"/>
          <w:lang w:eastAsia="zh-CN"/>
        </w:rPr>
        <w:t>，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技术参数与性能指标</w:t>
      </w:r>
      <w:r>
        <w:rPr>
          <w:rFonts w:hint="eastAsia" w:ascii="仿宋" w:hAnsi="仿宋" w:eastAsia="仿宋" w:cs="仿宋"/>
          <w:sz w:val="20"/>
          <w:szCs w:val="20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的内容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进行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响应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，并按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  <w:t>采购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文件要求提供相应的证明材料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；</w:t>
      </w:r>
    </w:p>
    <w:p w14:paraId="03B4A793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  <w:t>3、供应商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所填写的“偏离情况”与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  <w:t>协商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小组判定不一致时，以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  <w:t>协商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小组意见为主。</w:t>
      </w:r>
    </w:p>
    <w:p w14:paraId="30CC7C8D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、“偏离情况”一栏应如实填写“正偏离”、“负偏离”或“无偏离”；</w:t>
      </w:r>
    </w:p>
    <w:p w14:paraId="0EB67FDA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、供应商必须据实填写，不得虚假响应，否则将取消其投标/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  <w:lang w:val="en-US" w:eastAsia="zh-CN"/>
        </w:rPr>
        <w:t>协商</w:t>
      </w:r>
      <w:r>
        <w:rPr>
          <w:rFonts w:hint="eastAsia" w:ascii="仿宋" w:hAnsi="仿宋" w:eastAsia="仿宋" w:cs="仿宋"/>
          <w:bCs/>
          <w:sz w:val="20"/>
          <w:szCs w:val="20"/>
          <w:highlight w:val="none"/>
        </w:rPr>
        <w:t>或中标/成交资格，并按有关规定进行处罚。</w:t>
      </w:r>
    </w:p>
    <w:p w14:paraId="4F7C9406">
      <w:pPr>
        <w:spacing w:line="500" w:lineRule="exact"/>
        <w:ind w:firstLine="2400" w:firstLineChars="1200"/>
        <w:rPr>
          <w:rFonts w:ascii="仿宋" w:hAnsi="仿宋" w:eastAsia="仿宋" w:cs="仿宋"/>
          <w:color w:val="auto"/>
          <w:sz w:val="20"/>
          <w:szCs w:val="20"/>
          <w:highlight w:val="none"/>
        </w:rPr>
      </w:pPr>
      <w:bookmarkStart w:id="2" w:name="_GoBack"/>
      <w:bookmarkEnd w:id="2"/>
    </w:p>
    <w:p w14:paraId="2CA26BAA">
      <w:pPr>
        <w:spacing w:line="500" w:lineRule="exact"/>
        <w:rPr>
          <w:rFonts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（盖章）</w:t>
      </w:r>
    </w:p>
    <w:p w14:paraId="0A132F0A">
      <w:pPr>
        <w:spacing w:line="500" w:lineRule="exact"/>
        <w:rPr>
          <w:rFonts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法定代表人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/负责人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或被授权人：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(签字或盖章)</w:t>
      </w:r>
    </w:p>
    <w:p w14:paraId="152A21B4">
      <w:pPr>
        <w:pStyle w:val="9"/>
        <w:spacing w:line="500" w:lineRule="exact"/>
        <w:ind w:firstLine="0" w:firstLineChars="0"/>
        <w:rPr>
          <w:rFonts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</w:t>
      </w:r>
    </w:p>
    <w:p w14:paraId="2E935DC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AA6B05"/>
    <w:rsid w:val="00A42793"/>
    <w:rsid w:val="0AD230E7"/>
    <w:rsid w:val="0FE9074A"/>
    <w:rsid w:val="11CE5B2D"/>
    <w:rsid w:val="1459086B"/>
    <w:rsid w:val="2DEE49AE"/>
    <w:rsid w:val="2FA369ED"/>
    <w:rsid w:val="2FAA6B05"/>
    <w:rsid w:val="42192468"/>
    <w:rsid w:val="7A8D2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widowControl/>
      <w:spacing w:before="260" w:after="26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semiHidden/>
    <w:qFormat/>
    <w:uiPriority w:val="0"/>
    <w:rPr>
      <w:rFonts w:ascii="仿宋" w:hAnsi="仿宋" w:eastAsia="仿宋" w:cs="仿宋"/>
      <w:sz w:val="31"/>
      <w:szCs w:val="31"/>
      <w:lang w:eastAsia="en-US"/>
    </w:rPr>
  </w:style>
  <w:style w:type="paragraph" w:styleId="4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</w:rPr>
  </w:style>
  <w:style w:type="paragraph" w:styleId="5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9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202</Words>
  <Characters>202</Characters>
  <Lines>0</Lines>
  <Paragraphs>0</Paragraphs>
  <TotalTime>0</TotalTime>
  <ScaleCrop>false</ScaleCrop>
  <LinksUpToDate>false</LinksUpToDate>
  <CharactersWithSpaces>250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2025-06-13T09:20:00Z</dcterms:created>
  <dc:creator>AOC</dc:creator>
  <cp:lastModifiedBy>zl</cp:lastModifiedBy>
  <dcterms:modified xsi:type="dcterms:W3CDTF">2026-04-23T10:35:41Z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1594ABDD9AAD48B2901AE3AA7905745B_13</vt:lpwstr>
  </property>
  <property fmtid="{D5CDD505-2E9C-101B-9397-08002B2CF9AE}" pid="4" name="KSOTemplateDocerSaveRecord">
    <vt:lpwstr>eyJoZGlkIjoiODQxZGY1OWFiZjYxZWQ4YWNmNzBhMmMxNmZkMzI0ZDciLCJ1c2VySWQiOiIyNzQ5OTcwMTQifQ==</vt:lpwstr>
  </property>
</Properties>
</file>