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版本号：BCJ2026-01520260824002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国家教育考试考务指挥中心LED监控大屏</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BCJ2026-015</w:t>
      </w:r>
      <w:r>
        <w:br/>
      </w:r>
      <w:r>
        <w:br/>
      </w:r>
      <w:r>
        <w:br/>
      </w:r>
    </w:p>
    <w:p>
      <w:pPr>
        <w:pStyle w:val="null3"/>
        <w:jc w:val="center"/>
        <w:outlineLvl w:val="2"/>
      </w:pPr>
      <w:r>
        <w:rPr>
          <w:rFonts w:ascii="仿宋_GB2312" w:hAnsi="仿宋_GB2312" w:cs="仿宋_GB2312" w:eastAsia="仿宋_GB2312"/>
          <w:sz w:val="28"/>
          <w:b/>
        </w:rPr>
        <w:t>宝鸡市考试管理中心</w:t>
      </w:r>
    </w:p>
    <w:p>
      <w:pPr>
        <w:pStyle w:val="null3"/>
        <w:jc w:val="center"/>
        <w:outlineLvl w:val="2"/>
      </w:pPr>
      <w:r>
        <w:rPr>
          <w:rFonts w:ascii="仿宋_GB2312" w:hAnsi="仿宋_GB2312" w:cs="仿宋_GB2312" w:eastAsia="仿宋_GB2312"/>
          <w:sz w:val="28"/>
          <w:b/>
        </w:rPr>
        <w:t>宝鸡市政府采购中心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宝鸡市政府采购中心</w:t>
      </w:r>
      <w:r>
        <w:rPr>
          <w:rFonts w:ascii="仿宋_GB2312" w:hAnsi="仿宋_GB2312" w:cs="仿宋_GB2312" w:eastAsia="仿宋_GB2312"/>
        </w:rPr>
        <w:t>（以下简称“代理机构”）受</w:t>
      </w:r>
      <w:r>
        <w:rPr>
          <w:rFonts w:ascii="仿宋_GB2312" w:hAnsi="仿宋_GB2312" w:cs="仿宋_GB2312" w:eastAsia="仿宋_GB2312"/>
        </w:rPr>
        <w:t>宝鸡市考试管理中心</w:t>
      </w:r>
      <w:r>
        <w:rPr>
          <w:rFonts w:ascii="仿宋_GB2312" w:hAnsi="仿宋_GB2312" w:cs="仿宋_GB2312" w:eastAsia="仿宋_GB2312"/>
        </w:rPr>
        <w:t>委托，拟对</w:t>
      </w:r>
      <w:r>
        <w:rPr>
          <w:rFonts w:ascii="仿宋_GB2312" w:hAnsi="仿宋_GB2312" w:cs="仿宋_GB2312" w:eastAsia="仿宋_GB2312"/>
        </w:rPr>
        <w:t>国家教育考试考务指挥中心LED监控大屏</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BCJ2026-015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国家教育考试考务指挥中心LED监控大屏</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本项目为2026年国家教育考试考务指挥中心LED监控大屏项目，该项目主要包含LED监控大屏1台，满足单位业务需求。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采购包1（宝鸡市考试管理中心国家教育考试考务指挥中心LED监控大屏采购）：属于专门面向中小企业采购。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宝鸡市考试管理中心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宝鸡市金台区金台区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宝鸡市考试管理中心经办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13571767532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宝鸡市政府采购中心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陕西省宝鸡市金台区宝鸡市行政大道8号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宝鸡市政府采购中心田玉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0917-3262179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宝鸡市财政局政府采购管理科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 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0917-3262072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宝鸡市考试管理中心</w:t>
      </w:r>
      <w:r>
        <w:rPr>
          <w:rFonts w:ascii="仿宋_GB2312" w:hAnsi="仿宋_GB2312" w:cs="仿宋_GB2312" w:eastAsia="仿宋_GB2312"/>
        </w:rPr>
        <w:t>和</w:t>
      </w:r>
      <w:r>
        <w:rPr>
          <w:rFonts w:ascii="仿宋_GB2312" w:hAnsi="仿宋_GB2312" w:cs="仿宋_GB2312" w:eastAsia="仿宋_GB2312"/>
        </w:rPr>
        <w:t>宝鸡市政府采购中心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宝鸡市考试管理中心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宝鸡市政府采购中心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宝鸡市考试管理中心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宝鸡市政府采购中心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乙方保证所提供的LED大屏产品及服务拥有合法、完整的知识产权，或已取得权利人的充分授权，不存在任何权利瑕疵。2.乙方保证该产品及服务不会侵犯任何第三方的专利权、著作权、商标权或其他合法权益。3若因乙方产品侵犯第三方知识产权导致甲方被投诉、起诉或遭受行政处罚，乙方应承担全部法律责任，包括但不限于:(1)负责处理纠纷并承担所有诉讼/仲裁费用、律师费、赔偿金;(2)赔偿甲方因此遭受的全部损失(含商誉损失、停工损失等);(3)若产品被禁止使用，乙方应免费为甲方更换不侵权的同等性能产品，或退还全部货款并赔偿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乙方的投标文件和乙方的澄清、说明或者更正为验收标准;乙方的投标文件和乙方的澄清、说明或者更正不明确的，以《采购文件》相关要求为验收标准;乙方的投标文件和乙方的澄清、说明或者更正和《采购文件》相关要求都不明确的，按国家相关标准;以上都不明确的，以通常标准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宝鸡市考试管理中心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宝鸡市政府采购中心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宝鸡市政府采购中心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联系人：宝鸡市政府采购中心</w:t>
      </w:r>
    </w:p>
    <w:p>
      <w:pPr>
        <w:pStyle w:val="null3"/>
      </w:pPr>
      <w:r>
        <w:rPr>
          <w:rFonts w:ascii="仿宋_GB2312" w:hAnsi="仿宋_GB2312" w:cs="仿宋_GB2312" w:eastAsia="仿宋_GB2312"/>
        </w:rPr>
        <w:t>联系电话：0917-3262179</w:t>
      </w:r>
    </w:p>
    <w:p>
      <w:pPr>
        <w:pStyle w:val="null3"/>
      </w:pPr>
      <w:r>
        <w:rPr>
          <w:rFonts w:ascii="仿宋_GB2312" w:hAnsi="仿宋_GB2312" w:cs="仿宋_GB2312" w:eastAsia="仿宋_GB2312"/>
        </w:rPr>
        <w:t>地址：宝鸡市公共资源交易中心6楼623室</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本项目为2026年国家教育考试考务指挥中心LED监控大屏项目，该项目主要包含LED监控大屏1台，满足单位业务需求。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400000.00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标的名称：400000.00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LED箱体：</w:t>
            </w:r>
          </w:p>
          <w:p>
            <w:pPr>
              <w:pStyle w:val="null3"/>
            </w:pPr>
            <w:r>
              <w:rPr>
                <w:rFonts w:ascii="仿宋_GB2312" w:hAnsi="仿宋_GB2312" w:cs="仿宋_GB2312" w:eastAsia="仿宋_GB2312"/>
              </w:rPr>
              <w:t>像素间距（mm）≤ 0.93</w:t>
            </w:r>
            <w:r>
              <w:br/>
            </w:r>
            <w:r>
              <w:rPr>
                <w:rFonts w:ascii="仿宋_GB2312" w:hAnsi="仿宋_GB2312" w:cs="仿宋_GB2312" w:eastAsia="仿宋_GB2312"/>
              </w:rPr>
              <w:t xml:space="preserve"> 箱体分辨率（W×H）≥640*360</w:t>
            </w:r>
            <w:r>
              <w:br/>
            </w:r>
            <w:r>
              <w:rPr>
                <w:rFonts w:ascii="仿宋_GB2312" w:hAnsi="仿宋_GB2312" w:cs="仿宋_GB2312" w:eastAsia="仿宋_GB2312"/>
              </w:rPr>
              <w:t xml:space="preserve"> 箱体尺寸（mm） 600（W）×337.5（H）（或其他尺寸规格，适合总面积6m*2m）</w:t>
            </w:r>
            <w:r>
              <w:br/>
            </w:r>
            <w:r>
              <w:rPr>
                <w:rFonts w:ascii="仿宋_GB2312" w:hAnsi="仿宋_GB2312" w:cs="仿宋_GB2312" w:eastAsia="仿宋_GB2312"/>
              </w:rPr>
              <w:t xml:space="preserve"> 刷新率：≥3840Hz</w:t>
            </w:r>
            <w:r>
              <w:br/>
            </w:r>
            <w:r>
              <w:rPr>
                <w:rFonts w:ascii="仿宋_GB2312" w:hAnsi="仿宋_GB2312" w:cs="仿宋_GB2312" w:eastAsia="仿宋_GB2312"/>
              </w:rPr>
              <w:t xml:space="preserve"> 箱体比例：16:9</w:t>
            </w:r>
            <w:r>
              <w:br/>
            </w:r>
            <w:r>
              <w:rPr>
                <w:rFonts w:ascii="仿宋_GB2312" w:hAnsi="仿宋_GB2312" w:cs="仿宋_GB2312" w:eastAsia="仿宋_GB2312"/>
              </w:rPr>
              <w:t xml:space="preserve"> 色温：1000—20000K可调</w:t>
            </w:r>
          </w:p>
          <w:p>
            <w:pPr>
              <w:pStyle w:val="null3"/>
            </w:pPr>
            <w:r>
              <w:rPr>
                <w:rFonts w:ascii="仿宋_GB2312" w:hAnsi="仿宋_GB2312" w:cs="仿宋_GB2312" w:eastAsia="仿宋_GB2312"/>
              </w:rPr>
              <w:t xml:space="preserve">显示面积：宽6.0m*高2.025m≈12.15㎡   </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处理器：</w:t>
            </w:r>
          </w:p>
          <w:p>
            <w:pPr>
              <w:pStyle w:val="null3"/>
            </w:pPr>
            <w:r>
              <w:rPr>
                <w:rFonts w:ascii="仿宋_GB2312" w:hAnsi="仿宋_GB2312" w:cs="仿宋_GB2312" w:eastAsia="仿宋_GB2312"/>
                <w:sz w:val="18"/>
                <w:color w:val="000000"/>
              </w:rPr>
              <w:t>1、配备4张1路HDMI4K输入板卡，4张4路1080P输入板卡，3张20路网口输出板卡，最大输出视频分辨率为10752×1220或1220×10752,整卡带载最高可达1300万像素点;</w:t>
            </w:r>
            <w:r>
              <w:br/>
            </w:r>
            <w:r>
              <w:rPr>
                <w:rFonts w:ascii="仿宋_GB2312" w:hAnsi="仿宋_GB2312" w:cs="仿宋_GB2312" w:eastAsia="仿宋_GB2312"/>
                <w:sz w:val="18"/>
                <w:color w:val="000000"/>
              </w:rPr>
              <w:t xml:space="preserve"> 2、信号可在拼接屏的任意位置开窗、叠加、拉伸、漫游、跨屏、缩放或画中画显示。机箱前面板设有LCD液晶显示屏，并具备按键，可直接配置及修改设备IP地址。</w:t>
            </w:r>
            <w:r>
              <w:br/>
            </w:r>
            <w:r>
              <w:rPr>
                <w:rFonts w:ascii="仿宋_GB2312" w:hAnsi="仿宋_GB2312" w:cs="仿宋_GB2312" w:eastAsia="仿宋_GB2312"/>
                <w:sz w:val="18"/>
                <w:color w:val="000000"/>
              </w:rPr>
              <w:t xml:space="preserve"> 3、视频处理和发送卡二合一  设备可以将视频处理功能和发送卡功能合二为一。无需其他设备，二合一网口输出卡输出可直接连接LED显示屏显示，减少设备连接，简化线缆部署，增强设备稳定性和兼容性。（提供第三方权威检测报告或者产品彩页）。</w:t>
            </w:r>
            <w:r>
              <w:br/>
            </w:r>
            <w:r>
              <w:rPr>
                <w:rFonts w:ascii="仿宋_GB2312" w:hAnsi="仿宋_GB2312" w:cs="仿宋_GB2312" w:eastAsia="仿宋_GB2312"/>
                <w:sz w:val="18"/>
                <w:color w:val="000000"/>
              </w:rPr>
              <w:t xml:space="preserve"> 4、支持3840*2160、2560*1600、2048*1080、1920*1200、1600*1200、1440*900、1366*768分辨率单路输入/输出。输入、输出帧率课支持15HZ、25HZ、30HZ、50HZ、60HZ。（提供第三方权威检测报告或原厂官方彩页）。</w:t>
            </w:r>
            <w:r>
              <w:br/>
            </w:r>
            <w:r>
              <w:rPr>
                <w:rFonts w:ascii="仿宋_GB2312" w:hAnsi="仿宋_GB2312" w:cs="仿宋_GB2312" w:eastAsia="仿宋_GB2312"/>
                <w:sz w:val="18"/>
                <w:color w:val="000000"/>
              </w:rPr>
              <w:t xml:space="preserve"> 5.在不增加外部设备的情况下，具备在拼接屏上显示滚动字幕（如欢迎词等），字体大小、颜色、位置、滚动速度可自定义 。</w:t>
            </w:r>
            <w:r>
              <w:br/>
            </w:r>
            <w:r>
              <w:rPr>
                <w:rFonts w:ascii="仿宋_GB2312" w:hAnsi="仿宋_GB2312" w:cs="仿宋_GB2312" w:eastAsia="仿宋_GB2312"/>
                <w:sz w:val="18"/>
                <w:color w:val="000000"/>
              </w:rPr>
              <w:t xml:space="preserve"> 6、在不增加外部设备以及额外板卡的情况下，具备显示墙底图功能，自定义加载本地图片即可，并可在软件上设置底图功能的开启和关闭。</w:t>
            </w:r>
            <w:r>
              <w:br/>
            </w:r>
            <w:r>
              <w:rPr>
                <w:rFonts w:ascii="仿宋_GB2312" w:hAnsi="仿宋_GB2312" w:cs="仿宋_GB2312" w:eastAsia="仿宋_GB2312"/>
                <w:sz w:val="18"/>
                <w:color w:val="000000"/>
              </w:rPr>
              <w:t xml:space="preserve"> 7、图像开窗响应速度&lt;7ms，场景调取响应速度≤7ms（提供第三方权威检测报告或原厂官方彩页）。</w:t>
            </w:r>
            <w:r>
              <w:br/>
            </w:r>
            <w:r>
              <w:rPr>
                <w:rFonts w:ascii="仿宋_GB2312" w:hAnsi="仿宋_GB2312" w:cs="仿宋_GB2312" w:eastAsia="仿宋_GB2312"/>
                <w:sz w:val="18"/>
                <w:color w:val="000000"/>
              </w:rPr>
              <w:t xml:space="preserve"> 8、具备混音功能，一路视频输出接口至少支持4路音频混合输出，输出通道的音频在控制界面可自动识别，每路音频都支持音频调节 。</w:t>
            </w:r>
            <w:r>
              <w:br/>
            </w:r>
            <w:r>
              <w:rPr>
                <w:rFonts w:ascii="仿宋_GB2312" w:hAnsi="仿宋_GB2312" w:cs="仿宋_GB2312" w:eastAsia="仿宋_GB2312"/>
                <w:sz w:val="18"/>
                <w:color w:val="000000"/>
              </w:rPr>
              <w:t xml:space="preserve"> 9、设备运行状态实时监测，以图形化的方式展示一个虚拟的视频处理平台设备，与真实的设备结构和配置一致，通过该图形化的虚拟设备，即可直观的了解视频处理平台的实物状态，如机箱和槽位规模，业务板卡及功能模块数量、接口类型。</w:t>
            </w:r>
            <w:r>
              <w:br/>
            </w:r>
            <w:r>
              <w:rPr>
                <w:rFonts w:ascii="仿宋_GB2312" w:hAnsi="仿宋_GB2312" w:cs="仿宋_GB2312" w:eastAsia="仿宋_GB2312"/>
                <w:sz w:val="18"/>
                <w:color w:val="000000"/>
              </w:rPr>
              <w:t xml:space="preserve"> 10、 具备异常告警提示，便于及时排查及处理，可对历史告警信息进行搜索及管理。</w:t>
            </w:r>
            <w:r>
              <w:br/>
            </w:r>
            <w:r>
              <w:rPr>
                <w:rFonts w:ascii="仿宋_GB2312" w:hAnsi="仿宋_GB2312" w:cs="仿宋_GB2312" w:eastAsia="仿宋_GB2312"/>
                <w:sz w:val="18"/>
                <w:color w:val="000000"/>
              </w:rPr>
              <w:t xml:space="preserve"> 11、输出端口画质调节  "用户可对拼接屏的亮度、灰度、饱和度、对比度、色温、Gamma值等参数进行自定义调节。</w:t>
            </w:r>
            <w:r>
              <w:br/>
            </w:r>
            <w:r>
              <w:rPr>
                <w:rFonts w:ascii="仿宋_GB2312" w:hAnsi="仿宋_GB2312" w:cs="仿宋_GB2312" w:eastAsia="仿宋_GB2312"/>
                <w:sz w:val="18"/>
                <w:color w:val="000000"/>
              </w:rPr>
              <w:t xml:space="preserve"> 12、LED屏幕智能管理  设备具备LED屏幕智能管理功能，包括：色域调节、屏参定时校正、亮度自动调节、LED屏环境参数的自动获取和监控、LED显示图像的手动调节、gamma调节、灰阶处理参数配置、LED屏亮暗线调节、LED屏幕灯珠逐点校正、LED亮色度快速校正等。（提供第三方权威检测报告或者原厂官方产品彩页）。</w:t>
            </w:r>
            <w:r>
              <w:br/>
            </w:r>
            <w:r>
              <w:rPr>
                <w:rFonts w:ascii="仿宋_GB2312" w:hAnsi="仿宋_GB2312" w:cs="仿宋_GB2312" w:eastAsia="仿宋_GB2312"/>
                <w:sz w:val="18"/>
                <w:color w:val="000000"/>
              </w:rPr>
              <w:t xml:space="preserve"> 13、具备多用户同步操作，操作界面实时同步。</w:t>
            </w:r>
            <w:r>
              <w:br/>
            </w:r>
            <w:r>
              <w:rPr>
                <w:rFonts w:ascii="仿宋_GB2312" w:hAnsi="仿宋_GB2312" w:cs="仿宋_GB2312" w:eastAsia="仿宋_GB2312"/>
                <w:sz w:val="18"/>
                <w:color w:val="000000"/>
              </w:rPr>
              <w:t xml:space="preserve"> 14、具备双控制卡槽位，配置双控制卡热备 ，一张控制卡出现问题，另一张控制卡自动切换，数据无丢失。（提供第三方权威检测报告或原厂官方彩页）</w:t>
            </w:r>
            <w:r>
              <w:br/>
            </w:r>
            <w:r>
              <w:rPr>
                <w:rFonts w:ascii="仿宋_GB2312" w:hAnsi="仿宋_GB2312" w:cs="仿宋_GB2312" w:eastAsia="仿宋_GB2312"/>
                <w:sz w:val="18"/>
                <w:color w:val="000000"/>
              </w:rPr>
              <w:t xml:space="preserve"> 15、全面热插拔，带电拔出不影响其他模块的正常运行。输入板卡热插拔恢复时间&lt;1s；输出板卡热插拔恢复时间&lt;3s（提供第三方权威检测报告或原厂官方彩页）。</w:t>
            </w:r>
            <w:r>
              <w:br/>
            </w:r>
            <w:r>
              <w:rPr>
                <w:rFonts w:ascii="仿宋_GB2312" w:hAnsi="仿宋_GB2312" w:cs="仿宋_GB2312" w:eastAsia="仿宋_GB2312"/>
                <w:sz w:val="18"/>
                <w:color w:val="000000"/>
              </w:rPr>
              <w:t xml:space="preserve"> 16、数据可自动备份到系统，也可以手动下载到本地，当进行数据恢复时，只需要上传需要恢复的数据即可。</w:t>
            </w:r>
            <w:r>
              <w:br/>
            </w:r>
            <w:r>
              <w:rPr>
                <w:rFonts w:ascii="仿宋_GB2312" w:hAnsi="仿宋_GB2312" w:cs="仿宋_GB2312" w:eastAsia="仿宋_GB2312"/>
                <w:sz w:val="18"/>
                <w:color w:val="000000"/>
              </w:rPr>
              <w:t xml:space="preserve"> 17、提供MTBF大于100000小时检测报告的报告。</w:t>
            </w:r>
            <w:r>
              <w:br/>
            </w:r>
            <w:r>
              <w:rPr>
                <w:rFonts w:ascii="仿宋_GB2312" w:hAnsi="仿宋_GB2312" w:cs="仿宋_GB2312" w:eastAsia="仿宋_GB2312"/>
                <w:sz w:val="18"/>
                <w:color w:val="000000"/>
              </w:rPr>
              <w:t xml:space="preserve"> 18、原厂针对本项目的授权和售后服务承诺。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LED配电箱：满足设备所需电力供应的相关配电设备</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配套线缆：设备连接所需的各种线缆和辅材</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负责拆除原有拼接屏设备，做好新建LED屏包边及周边装修衔接；新建LED屏预留电脑接口，可用作显示PPT等电脑操作内容；将原设备吸顶音箱设备改为外置音箱并配齐功放设备；完成全部设备的安装和调试工作，能够实现部省市县四级视频联网巡查，能够软件分割屏幕显示不同点位监控画面，并实现视频会议所需的各项音视频功能。</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质量保障和售后服务：</w:t>
            </w:r>
          </w:p>
          <w:p>
            <w:pPr>
              <w:pStyle w:val="null3"/>
            </w:pPr>
            <w:r>
              <w:rPr>
                <w:rFonts w:ascii="仿宋_GB2312" w:hAnsi="仿宋_GB2312" w:cs="仿宋_GB2312" w:eastAsia="仿宋_GB2312"/>
              </w:rPr>
              <w:t>1.按照同类产品国家规定时间提供质保服务；</w:t>
            </w:r>
          </w:p>
          <w:p>
            <w:pPr>
              <w:pStyle w:val="null3"/>
            </w:pPr>
            <w:r>
              <w:rPr>
                <w:rFonts w:ascii="仿宋_GB2312" w:hAnsi="仿宋_GB2312" w:cs="仿宋_GB2312" w:eastAsia="仿宋_GB2312"/>
              </w:rPr>
              <w:t>2.每年高考、中考期间，派驻专门技术人员值班值守，随时处理突发问题；其余考试和会议使用期间，技术人员须随时电话响应，并根据需要派出技术人员迅速妥善处置问题。</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自合同签订之日起120天以内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宝鸡市金台区大庆路29号宝鸡市考试管理中心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预付款，合同签订并开具正规发票，达到付款条件起30个工作日内，支付合同总金额的30.0%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进度款，验收合格并开具正规发票，达到付款条件起30个工作日内，支付合同总金额的65.0%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进度款，质保期满一年，达到付款条件起30个工作日内，支付合同总金额的5.0%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乙方的投标文件和乙方的澄清、说明或者更正为验收标准;乙方的投标文件和乙方的澄清、说明或者更正不明确的，以《采购文件》相关要求为验收标准;乙方的投标文件和乙方的澄清、说明或者更正和《采购文件》相关要求都不明确的，按国家相关标准;以上都不明确的，以通常标准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1.按照同类产品国家规定时间提供质保服务;2.产品使用期间无偿提供技术咨询服务。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(2)如果乙方没有按照合同规定的时间交货和提供相关服务，甲方有权从货款中扣除误期赔偿费。如果涉及公共利益，且赔偿金额无法弥补公共利益损失，甲方可要求继续履行或者采取其他补救措施。执行本合同中产生纠纷，由采购人与中标人双方协商解决;协商不成， 向有管辖权的人民法院提起诉讼。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供应商为企业（包括合伙企业）的，应提供有效的“营业执照”； 供应商为事业单位的，应提供有效的“事业单位法人证书”； 供应商是非企业机构的，应提供有效的“执业许可证”、“登记证书”等证明文件； 供应商是个体工商户的，应提供有效的“个体工商户营业执照”； 供应商是自然人的，应提供有效的自然人身份证明。 若本项目允许分支机构参加响应，则分支机构参加响应的，此处可提供该分支机构或其所属法人或其他组织的相应证明文件。</w:t>
            </w:r>
          </w:p>
        </w:tc>
        <w:tc>
          <w:tcPr>
            <w:tcW w:type="dxa" w:w="1661"/>
          </w:tcPr>
          <w:p>
            <w:pPr>
              <w:pStyle w:val="null3"/>
            </w:pPr>
            <w:r>
              <w:rPr>
                <w:rFonts w:ascii="仿宋_GB2312" w:hAnsi="仿宋_GB2312" w:cs="仿宋_GB2312" w:eastAsia="仿宋_GB2312"/>
              </w:rPr>
              <w:t>资格1、营业执照.docx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两年任一年度经会计师事务所审计过的年度完整财务报表：财务审计报告应按《陕西省财政厅关于启用会计师事务所审计报告“二维码”赋码查验功能的通知》（陕财办会函［2022］55号）文件的要求具有“二维码”赋码查验功能、成立时间至提交响应文件截止时间不足一年的可提供成立后任意时段的资产负债表；或提供开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资格2、财务状况报告.docx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提供2025年7月至今任一个月的依法缴纳社会保障资金的缴款凭据：指社会保险登记证、缴纳社保的凭据（专用收据或社会保险缴纳清单）。依法不需要缴纳社会保障资金的供应商应提供相关证明文件。</w:t>
            </w:r>
          </w:p>
        </w:tc>
        <w:tc>
          <w:tcPr>
            <w:tcW w:type="dxa" w:w="1661"/>
          </w:tcPr>
          <w:p>
            <w:pPr>
              <w:pStyle w:val="null3"/>
            </w:pPr>
            <w:r>
              <w:rPr>
                <w:rFonts w:ascii="仿宋_GB2312" w:hAnsi="仿宋_GB2312" w:cs="仿宋_GB2312" w:eastAsia="仿宋_GB2312"/>
              </w:rPr>
              <w:t>资格3、社保缴纳证明.docx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提供2025年7月至今任一个月的依法缴纳税收的缴款凭据：指供应商增值税、企业所得税。依法免税的应提供相关文件证明，包括相关法规要求原文及加盖公章的情况说明。</w:t>
            </w:r>
          </w:p>
        </w:tc>
        <w:tc>
          <w:tcPr>
            <w:tcW w:type="dxa" w:w="1661"/>
          </w:tcPr>
          <w:p>
            <w:pPr>
              <w:pStyle w:val="null3"/>
            </w:pPr>
            <w:r>
              <w:rPr>
                <w:rFonts w:ascii="仿宋_GB2312" w:hAnsi="仿宋_GB2312" w:cs="仿宋_GB2312" w:eastAsia="仿宋_GB2312"/>
              </w:rPr>
              <w:t>资格4、税收缴纳证明.docx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授权委托书</w:t>
            </w:r>
          </w:p>
        </w:tc>
        <w:tc>
          <w:tcPr>
            <w:tcW w:type="dxa" w:w="1661"/>
          </w:tcPr>
          <w:p>
            <w:pPr>
              <w:pStyle w:val="null3"/>
            </w:pPr>
            <w:r>
              <w:rPr>
                <w:rFonts w:ascii="仿宋_GB2312" w:hAnsi="仿宋_GB2312" w:cs="仿宋_GB2312" w:eastAsia="仿宋_GB2312"/>
              </w:rPr>
              <w:t>资格5、授权委托书.docx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供应商资格声明书</w:t>
            </w:r>
          </w:p>
        </w:tc>
        <w:tc>
          <w:tcPr>
            <w:tcW w:type="dxa" w:w="3322"/>
          </w:tcPr>
          <w:p>
            <w:pPr>
              <w:pStyle w:val="null3"/>
            </w:pPr>
            <w:r>
              <w:rPr>
                <w:rFonts w:ascii="仿宋_GB2312" w:hAnsi="仿宋_GB2312" w:cs="仿宋_GB2312" w:eastAsia="仿宋_GB2312"/>
              </w:rPr>
              <w:t>提供了符合竞争性磋商文件要求的《供应商资格声明书》。</w:t>
            </w:r>
          </w:p>
        </w:tc>
        <w:tc>
          <w:tcPr>
            <w:tcW w:type="dxa" w:w="1661"/>
          </w:tcPr>
          <w:p>
            <w:pPr>
              <w:pStyle w:val="null3"/>
            </w:pPr>
            <w:r>
              <w:rPr>
                <w:rFonts w:ascii="仿宋_GB2312" w:hAnsi="仿宋_GB2312" w:cs="仿宋_GB2312" w:eastAsia="仿宋_GB2312"/>
              </w:rPr>
              <w:t>资格6、供应商资格声明书.docx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按给定格式填写书面声明函，并提供自公告发布之日起至提交响应文件之日任意一天查询的记录截图</w:t>
            </w:r>
          </w:p>
        </w:tc>
        <w:tc>
          <w:tcPr>
            <w:tcW w:type="dxa" w:w="1661"/>
          </w:tcPr>
          <w:p>
            <w:pPr>
              <w:pStyle w:val="null3"/>
            </w:pPr>
            <w:r>
              <w:rPr>
                <w:rFonts w:ascii="仿宋_GB2312" w:hAnsi="仿宋_GB2312" w:cs="仿宋_GB2312" w:eastAsia="仿宋_GB2312"/>
              </w:rPr>
              <w:t>资格7、无重大违法记录的书面声明.docx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宝鸡市政府采购供应商诚信承诺书</w:t>
            </w:r>
          </w:p>
        </w:tc>
        <w:tc>
          <w:tcPr>
            <w:tcW w:type="dxa" w:w="3322"/>
          </w:tcPr>
          <w:p>
            <w:pPr>
              <w:pStyle w:val="null3"/>
            </w:pPr>
            <w:r>
              <w:rPr>
                <w:rFonts w:ascii="仿宋_GB2312" w:hAnsi="仿宋_GB2312" w:cs="仿宋_GB2312" w:eastAsia="仿宋_GB2312"/>
              </w:rPr>
              <w:t>按给定格式填写</w:t>
            </w:r>
          </w:p>
        </w:tc>
        <w:tc>
          <w:tcPr>
            <w:tcW w:type="dxa" w:w="1661"/>
          </w:tcPr>
          <w:p>
            <w:pPr>
              <w:pStyle w:val="null3"/>
            </w:pPr>
            <w:r>
              <w:rPr>
                <w:rFonts w:ascii="仿宋_GB2312" w:hAnsi="仿宋_GB2312" w:cs="仿宋_GB2312" w:eastAsia="仿宋_GB2312"/>
              </w:rPr>
              <w:t>资格8、宝鸡市政府采购供应商诚信承诺书.docx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投标担保行为信用承诺</w:t>
            </w:r>
          </w:p>
        </w:tc>
        <w:tc>
          <w:tcPr>
            <w:tcW w:type="dxa" w:w="3322"/>
          </w:tcPr>
          <w:p>
            <w:pPr>
              <w:pStyle w:val="null3"/>
            </w:pPr>
            <w:r>
              <w:rPr>
                <w:rFonts w:ascii="仿宋_GB2312" w:hAnsi="仿宋_GB2312" w:cs="仿宋_GB2312" w:eastAsia="仿宋_GB2312"/>
              </w:rPr>
              <w:t>供应商须出具投标担保行为信用承诺函。（自2022年7月1日起在宝鸡市公共资源交易投标担保中试行信用承诺制取代投标保证金。）</w:t>
            </w:r>
          </w:p>
        </w:tc>
        <w:tc>
          <w:tcPr>
            <w:tcW w:type="dxa" w:w="1661"/>
          </w:tcPr>
          <w:p>
            <w:pPr>
              <w:pStyle w:val="null3"/>
            </w:pPr>
            <w:r>
              <w:rPr>
                <w:rFonts w:ascii="仿宋_GB2312" w:hAnsi="仿宋_GB2312" w:cs="仿宋_GB2312" w:eastAsia="仿宋_GB2312"/>
              </w:rPr>
              <w:t>资格9、投标担保信用承诺函.docx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本项目的所有货物，生产制造商必须为中小企业。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供应商按实际情况提供的声明函并依法承担法律效力。</w:t>
            </w:r>
          </w:p>
        </w:tc>
        <w:tc>
          <w:tcPr>
            <w:tcW w:type="dxa" w:w="1661"/>
          </w:tcPr>
          <w:p>
            <w:pPr>
              <w:pStyle w:val="null3"/>
            </w:pPr>
            <w:r>
              <w:rPr>
                <w:rFonts w:ascii="仿宋_GB2312" w:hAnsi="仿宋_GB2312" w:cs="仿宋_GB2312" w:eastAsia="仿宋_GB2312"/>
              </w:rPr>
              <w:t>响应文件封面 符合1、谈判响应函.docx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谈判报价表</w:t>
            </w:r>
          </w:p>
        </w:tc>
        <w:tc>
          <w:tcPr>
            <w:tcW w:type="dxa" w:w="3322"/>
          </w:tcPr>
          <w:p>
            <w:pPr>
              <w:pStyle w:val="null3"/>
            </w:pPr>
            <w:r>
              <w:rPr>
                <w:rFonts w:ascii="仿宋_GB2312" w:hAnsi="仿宋_GB2312" w:cs="仿宋_GB2312" w:eastAsia="仿宋_GB2312"/>
              </w:rPr>
              <w:t>按给定格式填写</w:t>
            </w:r>
          </w:p>
        </w:tc>
        <w:tc>
          <w:tcPr>
            <w:tcW w:type="dxa" w:w="1661"/>
          </w:tcPr>
          <w:p>
            <w:pPr>
              <w:pStyle w:val="null3"/>
            </w:pPr>
            <w:r>
              <w:rPr>
                <w:rFonts w:ascii="仿宋_GB2312" w:hAnsi="仿宋_GB2312" w:cs="仿宋_GB2312" w:eastAsia="仿宋_GB2312"/>
              </w:rPr>
              <w:t>符合2、谈判报价表.docx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产品技术、质量及售后方案</w:t>
            </w:r>
          </w:p>
        </w:tc>
        <w:tc>
          <w:tcPr>
            <w:tcW w:type="dxa" w:w="3322"/>
          </w:tcPr>
          <w:p>
            <w:pPr>
              <w:pStyle w:val="null3"/>
            </w:pPr>
            <w:r>
              <w:rPr>
                <w:rFonts w:ascii="仿宋_GB2312" w:hAnsi="仿宋_GB2312" w:cs="仿宋_GB2312" w:eastAsia="仿宋_GB2312"/>
              </w:rPr>
              <w:t>按照采购文件内容提供</w:t>
            </w:r>
          </w:p>
        </w:tc>
        <w:tc>
          <w:tcPr>
            <w:tcW w:type="dxa" w:w="1661"/>
          </w:tcPr>
          <w:p>
            <w:pPr>
              <w:pStyle w:val="null3"/>
            </w:pPr>
            <w:r>
              <w:rPr>
                <w:rFonts w:ascii="仿宋_GB2312" w:hAnsi="仿宋_GB2312" w:cs="仿宋_GB2312" w:eastAsia="仿宋_GB2312"/>
              </w:rPr>
              <w:t>符合3、产品技术、质量及售后方案.docx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分项报价清单</w:t>
            </w:r>
          </w:p>
        </w:tc>
        <w:tc>
          <w:tcPr>
            <w:tcW w:type="dxa" w:w="3322"/>
          </w:tcPr>
          <w:p>
            <w:pPr>
              <w:pStyle w:val="null3"/>
            </w:pPr>
            <w:r>
              <w:rPr>
                <w:rFonts w:ascii="仿宋_GB2312" w:hAnsi="仿宋_GB2312" w:cs="仿宋_GB2312" w:eastAsia="仿宋_GB2312"/>
              </w:rPr>
              <w:t>1.按给定格式填写 2.响应采购文件实质性要求</w:t>
            </w:r>
          </w:p>
        </w:tc>
        <w:tc>
          <w:tcPr>
            <w:tcW w:type="dxa" w:w="1661"/>
          </w:tcPr>
          <w:p>
            <w:pPr>
              <w:pStyle w:val="null3"/>
            </w:pPr>
            <w:r>
              <w:rPr>
                <w:rFonts w:ascii="仿宋_GB2312" w:hAnsi="仿宋_GB2312" w:cs="仿宋_GB2312" w:eastAsia="仿宋_GB2312"/>
              </w:rPr>
              <w:t>符合4、货物分项报价清单.docx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货物偏差表</w:t>
            </w:r>
          </w:p>
        </w:tc>
        <w:tc>
          <w:tcPr>
            <w:tcW w:type="dxa" w:w="3322"/>
          </w:tcPr>
          <w:p>
            <w:pPr>
              <w:pStyle w:val="null3"/>
            </w:pPr>
            <w:r>
              <w:rPr>
                <w:rFonts w:ascii="仿宋_GB2312" w:hAnsi="仿宋_GB2312" w:cs="仿宋_GB2312" w:eastAsia="仿宋_GB2312"/>
              </w:rPr>
              <w:t>1.按给定格式填写 2.响应采购文件实质性要求</w:t>
            </w:r>
          </w:p>
        </w:tc>
        <w:tc>
          <w:tcPr>
            <w:tcW w:type="dxa" w:w="1661"/>
          </w:tcPr>
          <w:p>
            <w:pPr>
              <w:pStyle w:val="null3"/>
            </w:pPr>
            <w:r>
              <w:rPr>
                <w:rFonts w:ascii="仿宋_GB2312" w:hAnsi="仿宋_GB2312" w:cs="仿宋_GB2312" w:eastAsia="仿宋_GB2312"/>
              </w:rPr>
              <w:t>符合5、货物偏差表.docx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商务响应偏差表</w:t>
            </w:r>
          </w:p>
        </w:tc>
        <w:tc>
          <w:tcPr>
            <w:tcW w:type="dxa" w:w="3322"/>
          </w:tcPr>
          <w:p>
            <w:pPr>
              <w:pStyle w:val="null3"/>
            </w:pPr>
            <w:r>
              <w:rPr>
                <w:rFonts w:ascii="仿宋_GB2312" w:hAnsi="仿宋_GB2312" w:cs="仿宋_GB2312" w:eastAsia="仿宋_GB2312"/>
              </w:rPr>
              <w:t>1.按给定格式填写 2.响应采购文件实质性要求</w:t>
            </w:r>
          </w:p>
        </w:tc>
        <w:tc>
          <w:tcPr>
            <w:tcW w:type="dxa" w:w="1661"/>
          </w:tcPr>
          <w:p>
            <w:pPr>
              <w:pStyle w:val="null3"/>
            </w:pPr>
            <w:r>
              <w:rPr>
                <w:rFonts w:ascii="仿宋_GB2312" w:hAnsi="仿宋_GB2312" w:cs="仿宋_GB2312" w:eastAsia="仿宋_GB2312"/>
              </w:rPr>
              <w:t>符合6、商务响应偏差表.docx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详见附件：资格1、营业执照.docx</w:t>
      </w:r>
    </w:p>
    <w:p>
      <w:pPr>
        <w:pStyle w:val="null3"/>
        <w:ind w:firstLine="960"/>
      </w:pPr>
      <w:r>
        <w:rPr>
          <w:rFonts w:ascii="仿宋_GB2312" w:hAnsi="仿宋_GB2312" w:cs="仿宋_GB2312" w:eastAsia="仿宋_GB2312"/>
        </w:rPr>
        <w:t>详见附件：资格2、财务状况报告.docx</w:t>
      </w:r>
    </w:p>
    <w:p>
      <w:pPr>
        <w:pStyle w:val="null3"/>
        <w:ind w:firstLine="960"/>
      </w:pPr>
      <w:r>
        <w:rPr>
          <w:rFonts w:ascii="仿宋_GB2312" w:hAnsi="仿宋_GB2312" w:cs="仿宋_GB2312" w:eastAsia="仿宋_GB2312"/>
        </w:rPr>
        <w:t>详见附件：资格3、社保缴纳证明.docx</w:t>
      </w:r>
    </w:p>
    <w:p>
      <w:pPr>
        <w:pStyle w:val="null3"/>
        <w:ind w:firstLine="960"/>
      </w:pPr>
      <w:r>
        <w:rPr>
          <w:rFonts w:ascii="仿宋_GB2312" w:hAnsi="仿宋_GB2312" w:cs="仿宋_GB2312" w:eastAsia="仿宋_GB2312"/>
        </w:rPr>
        <w:t>详见附件：资格4、税收缴纳证明.docx</w:t>
      </w:r>
    </w:p>
    <w:p>
      <w:pPr>
        <w:pStyle w:val="null3"/>
        <w:ind w:firstLine="960"/>
      </w:pPr>
      <w:r>
        <w:rPr>
          <w:rFonts w:ascii="仿宋_GB2312" w:hAnsi="仿宋_GB2312" w:cs="仿宋_GB2312" w:eastAsia="仿宋_GB2312"/>
        </w:rPr>
        <w:t>详见附件：资格5、授权委托书.docx</w:t>
      </w:r>
    </w:p>
    <w:p>
      <w:pPr>
        <w:pStyle w:val="null3"/>
        <w:ind w:firstLine="960"/>
      </w:pPr>
      <w:r>
        <w:rPr>
          <w:rFonts w:ascii="仿宋_GB2312" w:hAnsi="仿宋_GB2312" w:cs="仿宋_GB2312" w:eastAsia="仿宋_GB2312"/>
        </w:rPr>
        <w:t>详见附件：资格6、供应商资格声明书.docx</w:t>
      </w:r>
    </w:p>
    <w:p>
      <w:pPr>
        <w:pStyle w:val="null3"/>
        <w:ind w:firstLine="960"/>
      </w:pPr>
      <w:r>
        <w:rPr>
          <w:rFonts w:ascii="仿宋_GB2312" w:hAnsi="仿宋_GB2312" w:cs="仿宋_GB2312" w:eastAsia="仿宋_GB2312"/>
        </w:rPr>
        <w:t>详见附件：资格7、无重大违法记录的书面声明.docx</w:t>
      </w:r>
    </w:p>
    <w:p>
      <w:pPr>
        <w:pStyle w:val="null3"/>
        <w:ind w:firstLine="960"/>
      </w:pPr>
      <w:r>
        <w:rPr>
          <w:rFonts w:ascii="仿宋_GB2312" w:hAnsi="仿宋_GB2312" w:cs="仿宋_GB2312" w:eastAsia="仿宋_GB2312"/>
        </w:rPr>
        <w:t>详见附件：资格8、宝鸡市政府采购供应商诚信承诺书.docx</w:t>
      </w:r>
    </w:p>
    <w:p>
      <w:pPr>
        <w:pStyle w:val="null3"/>
        <w:ind w:firstLine="960"/>
      </w:pPr>
      <w:r>
        <w:rPr>
          <w:rFonts w:ascii="仿宋_GB2312" w:hAnsi="仿宋_GB2312" w:cs="仿宋_GB2312" w:eastAsia="仿宋_GB2312"/>
        </w:rPr>
        <w:t>详见附件：资格9、投标担保信用承诺函.docx</w:t>
      </w:r>
    </w:p>
    <w:p>
      <w:pPr>
        <w:pStyle w:val="null3"/>
        <w:ind w:firstLine="960"/>
      </w:pPr>
      <w:r>
        <w:rPr>
          <w:rFonts w:ascii="仿宋_GB2312" w:hAnsi="仿宋_GB2312" w:cs="仿宋_GB2312" w:eastAsia="仿宋_GB2312"/>
        </w:rPr>
        <w:t>详见附件：符合1、谈判响应函.docx</w:t>
      </w:r>
    </w:p>
    <w:p>
      <w:pPr>
        <w:pStyle w:val="null3"/>
        <w:ind w:firstLine="960"/>
      </w:pPr>
      <w:r>
        <w:rPr>
          <w:rFonts w:ascii="仿宋_GB2312" w:hAnsi="仿宋_GB2312" w:cs="仿宋_GB2312" w:eastAsia="仿宋_GB2312"/>
        </w:rPr>
        <w:t>详见附件：符合2、谈判报价表.docx</w:t>
      </w:r>
    </w:p>
    <w:p>
      <w:pPr>
        <w:pStyle w:val="null3"/>
        <w:ind w:firstLine="960"/>
      </w:pPr>
      <w:r>
        <w:rPr>
          <w:rFonts w:ascii="仿宋_GB2312" w:hAnsi="仿宋_GB2312" w:cs="仿宋_GB2312" w:eastAsia="仿宋_GB2312"/>
        </w:rPr>
        <w:t>详见附件：符合3、产品技术、质量及售后方案.docx</w:t>
      </w:r>
    </w:p>
    <w:p>
      <w:pPr>
        <w:pStyle w:val="null3"/>
        <w:ind w:firstLine="960"/>
      </w:pPr>
      <w:r>
        <w:rPr>
          <w:rFonts w:ascii="仿宋_GB2312" w:hAnsi="仿宋_GB2312" w:cs="仿宋_GB2312" w:eastAsia="仿宋_GB2312"/>
        </w:rPr>
        <w:t>详见附件：符合4、货物分项报价清单.docx</w:t>
      </w:r>
    </w:p>
    <w:p>
      <w:pPr>
        <w:pStyle w:val="null3"/>
        <w:ind w:firstLine="960"/>
      </w:pPr>
      <w:r>
        <w:rPr>
          <w:rFonts w:ascii="仿宋_GB2312" w:hAnsi="仿宋_GB2312" w:cs="仿宋_GB2312" w:eastAsia="仿宋_GB2312"/>
        </w:rPr>
        <w:t>详见附件：符合5、货物偏差表.docx</w:t>
      </w:r>
    </w:p>
    <w:p>
      <w:pPr>
        <w:pStyle w:val="null3"/>
        <w:ind w:firstLine="960"/>
      </w:pPr>
      <w:r>
        <w:rPr>
          <w:rFonts w:ascii="仿宋_GB2312" w:hAnsi="仿宋_GB2312" w:cs="仿宋_GB2312" w:eastAsia="仿宋_GB2312"/>
        </w:rPr>
        <w:t>详见附件：符合6、商务响应偏差表.docx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