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版本号：ZCZB-2026-010520260206001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合阳县城区环卫社会化服务项目（二期）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ZCZB-2026-0105</w:t>
      </w:r>
      <w:r>
        <w:br/>
      </w:r>
      <w:r>
        <w:br/>
      </w:r>
      <w:r>
        <w:br/>
      </w:r>
    </w:p>
    <w:p>
      <w:pPr>
        <w:pStyle w:val="null3"/>
        <w:jc w:val="center"/>
        <w:outlineLvl w:val="2"/>
      </w:pPr>
      <w:r>
        <w:rPr>
          <w:rFonts w:ascii="仿宋_GB2312" w:hAnsi="仿宋_GB2312" w:cs="仿宋_GB2312" w:eastAsia="仿宋_GB2312"/>
          <w:sz w:val="28"/>
          <w:b/>
        </w:rPr>
        <w:t>合阳县城市管理执法局</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合阳县城市管理执法局</w:t>
      </w:r>
      <w:r>
        <w:rPr>
          <w:rFonts w:ascii="仿宋_GB2312" w:hAnsi="仿宋_GB2312" w:cs="仿宋_GB2312" w:eastAsia="仿宋_GB2312"/>
        </w:rPr>
        <w:t>委托，拟对</w:t>
      </w:r>
      <w:r>
        <w:rPr>
          <w:rFonts w:ascii="仿宋_GB2312" w:hAnsi="仿宋_GB2312" w:cs="仿宋_GB2312" w:eastAsia="仿宋_GB2312"/>
        </w:rPr>
        <w:t>合阳县城区环卫社会化服务项目（二期）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ZCZB-2026-0105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合阳县城区环卫社会化服务项目（二期）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合阳县城区环卫社会化服务项目（二期）,包含：道路清扫保洁工作、绿化带及公共区域维护、垃圾收集与清运、环卫设施的保洁、公厕管理、垃圾分类与处理等，具体详见招标文件第3章。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报告：供应商是法人的，提供近三年（2022-2024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2、税收缴纳证明：提供2025年9月1日以来任意一个月税收缴纳证明（至少包含增值税或企业所得税其中一种），依法免税的单位应提供相关证明材料</w:t>
      </w:r>
    </w:p>
    <w:p>
      <w:pPr>
        <w:pStyle w:val="null3"/>
      </w:pPr>
      <w:r>
        <w:rPr>
          <w:rFonts w:ascii="仿宋_GB2312" w:hAnsi="仿宋_GB2312" w:cs="仿宋_GB2312" w:eastAsia="仿宋_GB2312"/>
        </w:rPr>
        <w:t>3、社会保障资金缴纳证明：提供2025年9月1日以来任意一个月的社会保障资金缴存单据或社保机构开具的社会保险参保缴费情况证明，依法不需要缴纳社会保障资金的单位应提供相关证明材料；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4、具备履行合同所必需的设备和专业技术能力的证明材料；：具备履行合同所必需的设备和专业技术能力的证明材料；</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法定代表人授权委托书（法定代表人身份证明）：供应商代表应提供法定代表人（单位负责人）授权书（附法定代表人（单位负责人）及被授权人身份证复印件）并提供被授权人身份证复印件件，（法定代表人（单位负责人）直接参加只须提供法定代表人（单位负责人）身份证）复印件；</w:t>
      </w:r>
    </w:p>
    <w:p>
      <w:pPr>
        <w:pStyle w:val="null3"/>
      </w:pPr>
      <w:r>
        <w:rPr>
          <w:rFonts w:ascii="仿宋_GB2312" w:hAnsi="仿宋_GB2312" w:cs="仿宋_GB2312" w:eastAsia="仿宋_GB2312"/>
        </w:rPr>
        <w:t>8、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其他：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合阳县城市管理执法局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陕西省渭南市合阳县西大街11号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颜焕治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13720660446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18809257394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合阳县城市管理执法局</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合阳县城市管理执法局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合阳县城市管理执法局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详见考核办法</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联系人：张盼</w:t>
      </w:r>
    </w:p>
    <w:p>
      <w:pPr>
        <w:pStyle w:val="null3"/>
      </w:pPr>
      <w:r>
        <w:rPr>
          <w:rFonts w:ascii="仿宋_GB2312" w:hAnsi="仿宋_GB2312" w:cs="仿宋_GB2312" w:eastAsia="仿宋_GB2312"/>
        </w:rPr>
        <w:t>联系电话：18809257394</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合阳县城区环卫社会化服务项目（二期）（包括道路、公共区域清扫保洁；绿化带养护和保洁；垃圾收集与清运；环卫设施的保洁；公厕管理；垃圾分类与处理等）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24,000,000.00</w:t>
      </w:r>
    </w:p>
    <w:p>
      <w:pPr>
        <w:pStyle w:val="null3"/>
      </w:pPr>
      <w:r>
        <w:rPr>
          <w:rFonts w:ascii="仿宋_GB2312" w:hAnsi="仿宋_GB2312" w:cs="仿宋_GB2312" w:eastAsia="仿宋_GB2312"/>
        </w:rPr>
        <w:t>采购包最高限价（元）: 24,000,000.00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城区环卫社会化服务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标的名称：城区环卫社会化服务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0"/>
            </w:pPr>
            <w:r>
              <w:rPr>
                <w:rFonts w:ascii="仿宋_GB2312" w:hAnsi="仿宋_GB2312" w:cs="仿宋_GB2312" w:eastAsia="仿宋_GB2312"/>
                <w:sz w:val="36"/>
                <w:b/>
                <w:color w:val="0F4761"/>
              </w:rPr>
              <w:t>合阳县城区环卫社会化服务项目（二期）</w:t>
            </w:r>
          </w:p>
          <w:p>
            <w:pPr>
              <w:pStyle w:val="null3"/>
              <w:spacing w:after="75"/>
              <w:jc w:val="center"/>
              <w:outlineLvl w:val="0"/>
            </w:pPr>
            <w:r>
              <w:rPr>
                <w:rFonts w:ascii="仿宋_GB2312" w:hAnsi="仿宋_GB2312" w:cs="仿宋_GB2312" w:eastAsia="仿宋_GB2312"/>
                <w:sz w:val="36"/>
                <w:b/>
                <w:color w:val="0F4761"/>
              </w:rPr>
              <w:t>服务内容及要求</w:t>
            </w:r>
          </w:p>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1）道路清扫保洁工作：包含不限于主次干道2166069.04平方米（具体详见本章 作业范围）、背街小巷210585.69平方米（具体详见本章 作业范围）、人行道的机械化清扫与人工保洁。路面、绿化带、树池、道路隔车带、雨污井篦口等区域的垃圾清理、清运工作及无堵塞和雨污管道的疏通。完成服务区防尘喷雾作业。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2）绿化带及公共区域维护：绿化带内无白色垃圾、堆积杂物，公共广场、公园无卫生死角。面</w:t>
            </w:r>
            <w:r>
              <w:rPr>
                <w:rFonts w:ascii="仿宋_GB2312" w:hAnsi="仿宋_GB2312" w:cs="仿宋_GB2312" w:eastAsia="仿宋_GB2312"/>
                <w:sz w:val="24"/>
              </w:rPr>
              <w:t>积</w:t>
            </w:r>
            <w:r>
              <w:rPr>
                <w:rFonts w:ascii="仿宋_GB2312" w:hAnsi="仿宋_GB2312" w:cs="仿宋_GB2312" w:eastAsia="仿宋_GB2312"/>
                <w:sz w:val="24"/>
              </w:rPr>
              <w:t>369204.07</w:t>
            </w:r>
            <w:r>
              <w:rPr>
                <w:rFonts w:ascii="仿宋_GB2312" w:hAnsi="仿宋_GB2312" w:cs="仿宋_GB2312" w:eastAsia="仿宋_GB2312"/>
                <w:sz w:val="24"/>
              </w:rPr>
              <w:t>平</w:t>
            </w:r>
            <w:r>
              <w:rPr>
                <w:rFonts w:ascii="仿宋_GB2312" w:hAnsi="仿宋_GB2312" w:cs="仿宋_GB2312" w:eastAsia="仿宋_GB2312"/>
                <w:sz w:val="24"/>
              </w:rPr>
              <w:t>方米（具体详见本章</w:t>
            </w:r>
            <w:r>
              <w:rPr>
                <w:rFonts w:ascii="仿宋_GB2312" w:hAnsi="仿宋_GB2312" w:cs="仿宋_GB2312" w:eastAsia="仿宋_GB2312"/>
                <w:sz w:val="24"/>
              </w:rPr>
              <w:t>作业范围）的养护和清扫保洁，树植坑的清扫保洁、养护等。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3）垃圾收集与清运：居民生活垃圾定时定点收集，确保“日产日清”，垃圾桶、果皮箱的清洗、消毒及维护，5座生活垃圾收集屋的运行管理和垃圾转运至填埋场，服务区生活垃圾(120吨/天)、</w:t>
            </w:r>
            <w:r>
              <w:rPr>
                <w:rFonts w:ascii="仿宋_GB2312" w:hAnsi="仿宋_GB2312" w:cs="仿宋_GB2312" w:eastAsia="仿宋_GB2312"/>
                <w:sz w:val="24"/>
              </w:rPr>
              <w:t>生活垃圾填埋场所有渗滤液的收集、转运及处理。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4）环卫设施的保洁：包括不限于城区所有街牌、路牌、栏杆、座椅、公交站、灯杆等)、维护，果皮箱的保洁、维护及道路零星散落生活垃圾的收集，张贴栏及野广告清理等工作。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5）公厕管理：32座公厕日常保洁和维护。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6）垃圾分类与处理：分类垃圾桶设置规范，指导居民分类投放，可回收物与有害垃圾专项处理，落实省市垃圾分类工作要求，做好垃圾分类工作。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7）应急保障：重大活动、极端天气（如暴雨、雪灾、汛期）后的快速清理与恢复。清除道路上泥沙和积水、积雪、积冰、排涝等工作。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8）保洁队伍维稳安全管理，保洁员社会保险办理，辖区舆0情上报处理等工作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 xml:space="preserve">9）临时安排的其他工作。 </w:t>
            </w:r>
          </w:p>
          <w:p>
            <w:pPr>
              <w:pStyle w:val="null3"/>
              <w:ind w:firstLine="480"/>
              <w:jc w:val="both"/>
              <w:outlineLvl w:val="1"/>
            </w:pPr>
            <w:r>
              <w:rPr>
                <w:rFonts w:ascii="仿宋_GB2312" w:hAnsi="仿宋_GB2312" w:cs="仿宋_GB2312" w:eastAsia="仿宋_GB2312"/>
                <w:sz w:val="24"/>
                <w:b/>
                <w:color w:val="0F4761"/>
              </w:rPr>
              <w:t>二</w:t>
            </w:r>
            <w:r>
              <w:rPr>
                <w:rFonts w:ascii="仿宋_GB2312" w:hAnsi="仿宋_GB2312" w:cs="仿宋_GB2312" w:eastAsia="仿宋_GB2312"/>
                <w:sz w:val="24"/>
                <w:b/>
                <w:color w:val="0F4761"/>
              </w:rPr>
              <w:t>、作业要求</w:t>
            </w:r>
          </w:p>
          <w:p>
            <w:pPr>
              <w:pStyle w:val="null3"/>
              <w:ind w:firstLine="480"/>
              <w:jc w:val="both"/>
            </w:pPr>
            <w:r>
              <w:rPr>
                <w:rFonts w:ascii="仿宋_GB2312" w:hAnsi="仿宋_GB2312" w:cs="仿宋_GB2312" w:eastAsia="仿宋_GB2312"/>
                <w:sz w:val="24"/>
              </w:rPr>
              <w:t>1.道路清扫保洁作业要求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主城区人行道每周冲洗一次，每日洒水、喷雾不少于</w:t>
            </w:r>
            <w:r>
              <w:rPr>
                <w:rFonts w:ascii="仿宋_GB2312" w:hAnsi="仿宋_GB2312" w:cs="仿宋_GB2312" w:eastAsia="仿宋_GB2312"/>
                <w:sz w:val="24"/>
              </w:rPr>
              <w:t>6</w:t>
            </w:r>
            <w:r>
              <w:rPr>
                <w:rFonts w:ascii="仿宋_GB2312" w:hAnsi="仿宋_GB2312" w:cs="仿宋_GB2312" w:eastAsia="仿宋_GB2312"/>
                <w:sz w:val="24"/>
              </w:rPr>
              <w:t>次。主要道路每天进行</w:t>
            </w:r>
            <w:r>
              <w:rPr>
                <w:rFonts w:ascii="仿宋_GB2312" w:hAnsi="仿宋_GB2312" w:cs="仿宋_GB2312" w:eastAsia="仿宋_GB2312"/>
                <w:sz w:val="24"/>
              </w:rPr>
              <w:t>3</w:t>
            </w:r>
            <w:r>
              <w:rPr>
                <w:rFonts w:ascii="仿宋_GB2312" w:hAnsi="仿宋_GB2312" w:cs="仿宋_GB2312" w:eastAsia="仿宋_GB2312"/>
                <w:sz w:val="24"/>
              </w:rPr>
              <w:t>次机械化清扫，冬季根据气温气候变化适时调整机械作业，主要道路路面每天</w:t>
            </w:r>
            <w:r>
              <w:rPr>
                <w:rFonts w:ascii="仿宋_GB2312" w:hAnsi="仿宋_GB2312" w:cs="仿宋_GB2312" w:eastAsia="仿宋_GB2312"/>
                <w:sz w:val="24"/>
              </w:rPr>
              <w:t>6</w:t>
            </w:r>
            <w:r>
              <w:rPr>
                <w:rFonts w:ascii="仿宋_GB2312" w:hAnsi="仿宋_GB2312" w:cs="仿宋_GB2312" w:eastAsia="仿宋_GB2312"/>
                <w:sz w:val="24"/>
              </w:rPr>
              <w:t>次酒水和喷雾。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城区道路机动车道、非机动车道、人行道等要动态保洁</w:t>
            </w:r>
            <w:r>
              <w:rPr>
                <w:rFonts w:ascii="仿宋_GB2312" w:hAnsi="仿宋_GB2312" w:cs="仿宋_GB2312" w:eastAsia="仿宋_GB2312"/>
                <w:sz w:val="24"/>
              </w:rPr>
              <w:t>,保持路面干净整洁。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道路及沿线责任范围清扫无丢段、丢片丢堆、卫生死角现象，无小堆积存建筑垃圾，达到主要道路及人行道路面清扫保洁质量</w:t>
            </w:r>
            <w:r>
              <w:rPr>
                <w:rFonts w:ascii="仿宋_GB2312" w:hAnsi="仿宋_GB2312" w:cs="仿宋_GB2312" w:eastAsia="仿宋_GB2312"/>
                <w:sz w:val="24"/>
              </w:rPr>
              <w:t>“六无”（即：无堆积物、无污染积水、无果皮纸屑塑膜、无烟头、无碎砖瓦砾、无痰迹）； “七净”（即下水口净、树池净、绿化带内及周边净、路沿石净、人行道净、车行道净、边沟净）。城区巷道及外围道路清扫保洁质量达到“五无”即无堆积物、无污泥积水和积尘、无果皮纸屑塑膜、无砖头瓦块、无积存垃圾;“五净”即下水口净、树池净、绿化带及周边净，人行道净、车行道净。</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任何路面不得出现积存垃圾，不得焚烧垃圾。禁止焚烧垃圾、树叶、杂物、禁止将垃圾扫、倒入下水道或绿化带及树池花池内。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作业时间</w:t>
            </w:r>
            <w:r>
              <w:rPr>
                <w:rFonts w:ascii="仿宋_GB2312" w:hAnsi="仿宋_GB2312" w:cs="仿宋_GB2312" w:eastAsia="仿宋_GB2312"/>
                <w:sz w:val="24"/>
              </w:rPr>
              <w:t>:</w:t>
            </w:r>
            <w:r>
              <w:rPr>
                <w:rFonts w:ascii="仿宋_GB2312" w:hAnsi="仿宋_GB2312" w:cs="仿宋_GB2312" w:eastAsia="仿宋_GB2312"/>
                <w:sz w:val="24"/>
              </w:rPr>
              <w:t>环卫作业时间</w:t>
            </w:r>
            <w:r>
              <w:rPr>
                <w:rFonts w:ascii="仿宋_GB2312" w:hAnsi="仿宋_GB2312" w:cs="仿宋_GB2312" w:eastAsia="仿宋_GB2312"/>
                <w:sz w:val="24"/>
              </w:rPr>
              <w:t>:</w:t>
            </w:r>
            <w:r>
              <w:rPr>
                <w:rFonts w:ascii="仿宋_GB2312" w:hAnsi="仿宋_GB2312" w:cs="仿宋_GB2312" w:eastAsia="仿宋_GB2312"/>
                <w:sz w:val="24"/>
              </w:rPr>
              <w:t>夏</w:t>
            </w:r>
            <w:r>
              <w:rPr>
                <w:rFonts w:ascii="仿宋_GB2312" w:hAnsi="仿宋_GB2312" w:cs="仿宋_GB2312" w:eastAsia="仿宋_GB2312"/>
                <w:sz w:val="24"/>
              </w:rPr>
              <w:t>:</w:t>
            </w:r>
            <w:r>
              <w:rPr>
                <w:rFonts w:ascii="仿宋_GB2312" w:hAnsi="仿宋_GB2312" w:cs="仿宋_GB2312" w:eastAsia="仿宋_GB2312"/>
                <w:sz w:val="24"/>
              </w:rPr>
              <w:t xml:space="preserve">早 </w:t>
            </w:r>
            <w:r>
              <w:rPr>
                <w:rFonts w:ascii="仿宋_GB2312" w:hAnsi="仿宋_GB2312" w:cs="仿宋_GB2312" w:eastAsia="仿宋_GB2312"/>
                <w:sz w:val="24"/>
              </w:rPr>
              <w:t>7:00</w:t>
            </w:r>
            <w:r>
              <w:rPr>
                <w:rFonts w:ascii="仿宋_GB2312" w:hAnsi="仿宋_GB2312" w:cs="仿宋_GB2312" w:eastAsia="仿宋_GB2312"/>
                <w:sz w:val="24"/>
              </w:rPr>
              <w:t>前完成一扫，早</w:t>
            </w:r>
            <w:r>
              <w:rPr>
                <w:rFonts w:ascii="仿宋_GB2312" w:hAnsi="仿宋_GB2312" w:cs="仿宋_GB2312" w:eastAsia="仿宋_GB2312"/>
                <w:sz w:val="24"/>
              </w:rPr>
              <w:t>7:00-</w:t>
            </w:r>
            <w:r>
              <w:rPr>
                <w:rFonts w:ascii="仿宋_GB2312" w:hAnsi="仿宋_GB2312" w:cs="仿宋_GB2312" w:eastAsia="仿宋_GB2312"/>
                <w:sz w:val="24"/>
              </w:rPr>
              <w:t xml:space="preserve">晚 </w:t>
            </w:r>
            <w:r>
              <w:rPr>
                <w:rFonts w:ascii="仿宋_GB2312" w:hAnsi="仿宋_GB2312" w:cs="仿宋_GB2312" w:eastAsia="仿宋_GB2312"/>
                <w:sz w:val="24"/>
              </w:rPr>
              <w:t>9:30</w:t>
            </w:r>
            <w:r>
              <w:rPr>
                <w:rFonts w:ascii="仿宋_GB2312" w:hAnsi="仿宋_GB2312" w:cs="仿宋_GB2312" w:eastAsia="仿宋_GB2312"/>
                <w:sz w:val="24"/>
              </w:rPr>
              <w:t>，全天保洁：冬</w:t>
            </w:r>
            <w:r>
              <w:rPr>
                <w:rFonts w:ascii="仿宋_GB2312" w:hAnsi="仿宋_GB2312" w:cs="仿宋_GB2312" w:eastAsia="仿宋_GB2312"/>
                <w:sz w:val="24"/>
              </w:rPr>
              <w:t>:</w:t>
            </w:r>
            <w:r>
              <w:rPr>
                <w:rFonts w:ascii="仿宋_GB2312" w:hAnsi="仿宋_GB2312" w:cs="仿宋_GB2312" w:eastAsia="仿宋_GB2312"/>
                <w:sz w:val="24"/>
              </w:rPr>
              <w:t xml:space="preserve">早 </w:t>
            </w:r>
            <w:r>
              <w:rPr>
                <w:rFonts w:ascii="仿宋_GB2312" w:hAnsi="仿宋_GB2312" w:cs="仿宋_GB2312" w:eastAsia="仿宋_GB2312"/>
                <w:sz w:val="24"/>
              </w:rPr>
              <w:t>7:30</w:t>
            </w:r>
            <w:r>
              <w:rPr>
                <w:rFonts w:ascii="仿宋_GB2312" w:hAnsi="仿宋_GB2312" w:cs="仿宋_GB2312" w:eastAsia="仿宋_GB2312"/>
                <w:sz w:val="24"/>
              </w:rPr>
              <w:t>前完成一扫，早</w:t>
            </w:r>
            <w:r>
              <w:rPr>
                <w:rFonts w:ascii="仿宋_GB2312" w:hAnsi="仿宋_GB2312" w:cs="仿宋_GB2312" w:eastAsia="仿宋_GB2312"/>
                <w:sz w:val="24"/>
              </w:rPr>
              <w:t>7:30-</w:t>
            </w:r>
            <w:r>
              <w:rPr>
                <w:rFonts w:ascii="仿宋_GB2312" w:hAnsi="仿宋_GB2312" w:cs="仿宋_GB2312" w:eastAsia="仿宋_GB2312"/>
                <w:sz w:val="24"/>
              </w:rPr>
              <w:t xml:space="preserve">晚 </w:t>
            </w:r>
            <w:r>
              <w:rPr>
                <w:rFonts w:ascii="仿宋_GB2312" w:hAnsi="仿宋_GB2312" w:cs="仿宋_GB2312" w:eastAsia="仿宋_GB2312"/>
                <w:sz w:val="24"/>
              </w:rPr>
              <w:t>9:00</w:t>
            </w:r>
            <w:r>
              <w:rPr>
                <w:rFonts w:ascii="仿宋_GB2312" w:hAnsi="仿宋_GB2312" w:cs="仿宋_GB2312" w:eastAsia="仿宋_GB2312"/>
                <w:sz w:val="24"/>
              </w:rPr>
              <w:t>，全天保洁。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道路废物箱等垃圾收集容器配置齐全，城区内无卫生死角，无暴露垃圾、粪便、污水，无污迹，无渣土。隔离栏清扫保洁应达标，无积尘、漂浮物、杂物等。下水井篦及时清洁、下水管道畅通。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道路保洁率</w:t>
            </w:r>
            <w:r>
              <w:rPr>
                <w:rFonts w:ascii="仿宋_GB2312" w:hAnsi="仿宋_GB2312" w:cs="仿宋_GB2312" w:eastAsia="仿宋_GB2312"/>
                <w:sz w:val="24"/>
              </w:rPr>
              <w:t>100%；机械化清扫率90%以上；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在节庆、重要考评检查工作、重要活动开展需要进行环境卫生综合整治时，必须按要求，及时组织按时按量的完成环境卫生保障任务及应急处置工作。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在处置道路路面突发性污染、泼洒事件时，必须在接到通知后</w:t>
            </w:r>
            <w:r>
              <w:rPr>
                <w:rFonts w:ascii="仿宋_GB2312" w:hAnsi="仿宋_GB2312" w:cs="仿宋_GB2312" w:eastAsia="仿宋_GB2312"/>
                <w:sz w:val="24"/>
              </w:rPr>
              <w:t>10分钟内到达现场进行处理，并在相关部门规定时间内及时组织人员、车辆全面清除作业区域内乱倒的建筑垃圾等废弃物和卫生死角。路段若遇突发情况，服务单位应设置路障安全警示标志，并在10分钟内向环卫主管部门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城区发生内涝和积水，应立即启用排水抢险车，主路面积水应在雨停后</w:t>
            </w:r>
            <w:r>
              <w:rPr>
                <w:rFonts w:ascii="仿宋_GB2312" w:hAnsi="仿宋_GB2312" w:cs="仿宋_GB2312" w:eastAsia="仿宋_GB2312"/>
                <w:sz w:val="24"/>
              </w:rPr>
              <w:t>4小时清除完毕，便道积水6小时内清除完毕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城区内积雪的清扫、清理、清运工作必须当天完成，不允许将积雪堆放到树植坑，应拉运至可融化的地点。降雪是要根据需要及时撒布融雪剂，主路面积小雪应在雪停后</w:t>
            </w:r>
            <w:r>
              <w:rPr>
                <w:rFonts w:ascii="仿宋_GB2312" w:hAnsi="仿宋_GB2312" w:cs="仿宋_GB2312" w:eastAsia="仿宋_GB2312"/>
                <w:sz w:val="24"/>
              </w:rPr>
              <w:t>12小时清除完毕，便道积雪18小时内清除完毕。中大雪根据实际情况而定。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工作期间不迟到、早退、聚岗、聊天、串岗、离岗，作业时间不干私活</w:t>
            </w:r>
            <w:r>
              <w:rPr>
                <w:rFonts w:ascii="仿宋_GB2312" w:hAnsi="仿宋_GB2312" w:cs="仿宋_GB2312" w:eastAsia="仿宋_GB2312"/>
                <w:sz w:val="24"/>
              </w:rPr>
              <w:t>;着装规范、整洁、作业车辆、工具不得随意外借。</w:t>
            </w:r>
          </w:p>
          <w:p>
            <w:pPr>
              <w:pStyle w:val="null3"/>
              <w:ind w:firstLine="482"/>
              <w:jc w:val="both"/>
            </w:pPr>
            <w:r>
              <w:rPr>
                <w:rFonts w:ascii="仿宋_GB2312" w:hAnsi="仿宋_GB2312" w:cs="仿宋_GB2312" w:eastAsia="仿宋_GB2312"/>
                <w:sz w:val="24"/>
                <w:b/>
              </w:rPr>
              <w:t>2.人工清扫作业规范</w:t>
            </w:r>
            <w:r>
              <w:rPr>
                <w:rFonts w:ascii="仿宋_GB2312" w:hAnsi="仿宋_GB2312" w:cs="仿宋_GB2312" w:eastAsia="仿宋_GB2312"/>
                <w:sz w:val="24"/>
                <w:b/>
              </w:rPr>
              <w:t>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人工清扫保洁：主要道路及人行道实行</w:t>
            </w:r>
            <w:r>
              <w:rPr>
                <w:rFonts w:ascii="仿宋_GB2312" w:hAnsi="仿宋_GB2312" w:cs="仿宋_GB2312" w:eastAsia="仿宋_GB2312"/>
                <w:sz w:val="24"/>
              </w:rPr>
              <w:t>“周洗日扫全保”，其他道路“每天一扫，巡回保洁”。普扫时，应按人行道路面、树圈及周边、车行道路面、收水井口的顺序进行全面清扫。</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保洁时，巡回走动，严禁随意坐岗、离岗。</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保洁作业时应采用小扫把、钳子等工具清除路面垃圾，并随身携带垃圾收集容器。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全面落实</w:t>
            </w:r>
            <w:r>
              <w:rPr>
                <w:rFonts w:ascii="仿宋_GB2312" w:hAnsi="仿宋_GB2312" w:cs="仿宋_GB2312" w:eastAsia="仿宋_GB2312"/>
                <w:sz w:val="24"/>
              </w:rPr>
              <w:t>“一把扫把扫到底”，切实做到“四不五要”，（“四不”，即：清扫不产生大扬尘；不往下水口、河道（边沟）、树塘、绿化带、绿地内、窨井、雨水篦子、各种缝隙内赶垃圾； 不往交警防撞桶、果皮箱等公共设施内乱倒垃圾；不焚烧垃圾。“五要”，即： 要按规定时间上下岗，在责任路段上面对面交接班，确保作业时间内不空档； 要在作业时穿着统一工作服，规范仪表仪容，确保干净、整洁；要确保作业范围内雨水篦子及其它排水设施不出现垃圾堵塞现象；要及时清理垃圾，随扫随清，清扫保洁垃圾集中后在路段上滞留不得超过 10 分钟，环卫清扫保洁、果皮箱清掏及工作区域内产生的垃圾必须倒入指定的垃圾中转站内。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发现有人随地乱扔垃圾，应及时进行劝阻。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凡遇与其它路段、外区域范围交界处及道路交叉路口，必须延伸</w:t>
            </w:r>
            <w:r>
              <w:rPr>
                <w:rFonts w:ascii="仿宋_GB2312" w:hAnsi="仿宋_GB2312" w:cs="仿宋_GB2312" w:eastAsia="仿宋_GB2312"/>
                <w:sz w:val="24"/>
              </w:rPr>
              <w:t>5 米进行清扫保洁。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道路排水篦不应堵塞，周围不应有明显积水和油腻脏污。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雨后</w:t>
            </w:r>
            <w:r>
              <w:rPr>
                <w:rFonts w:ascii="仿宋_GB2312" w:hAnsi="仿宋_GB2312" w:cs="仿宋_GB2312" w:eastAsia="仿宋_GB2312"/>
                <w:sz w:val="24"/>
              </w:rPr>
              <w:t>2h道路不应有积水。雨后4h应恢复道路清洁水平。</w:t>
            </w:r>
          </w:p>
          <w:p>
            <w:pPr>
              <w:pStyle w:val="null3"/>
              <w:ind w:firstLine="482"/>
              <w:jc w:val="both"/>
            </w:pPr>
            <w:r>
              <w:rPr>
                <w:rFonts w:ascii="仿宋_GB2312" w:hAnsi="仿宋_GB2312" w:cs="仿宋_GB2312" w:eastAsia="仿宋_GB2312"/>
                <w:sz w:val="24"/>
                <w:b/>
              </w:rPr>
              <w:t>3.道路机械化作业要求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机械化冲刷、清扫：主要道路及人行道每天机械清扫</w:t>
            </w:r>
            <w:r>
              <w:rPr>
                <w:rFonts w:ascii="仿宋_GB2312" w:hAnsi="仿宋_GB2312" w:cs="仿宋_GB2312" w:eastAsia="仿宋_GB2312"/>
                <w:sz w:val="24"/>
              </w:rPr>
              <w:t>3次，城区巷道及外围道路每天机械清扫2次。主要道路非机动车道、人行道（路牙至墙根）根据道路情况每周进行人工冲刷1次。 作业过程中不扬尘、不漏垃圾、清扫后路缘石无存积泥沙，地面干净整洁无污物。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洒水降尘：外围道路每天洒水不少于</w:t>
            </w:r>
            <w:r>
              <w:rPr>
                <w:rFonts w:ascii="仿宋_GB2312" w:hAnsi="仿宋_GB2312" w:cs="仿宋_GB2312" w:eastAsia="仿宋_GB2312"/>
                <w:sz w:val="24"/>
              </w:rPr>
              <w:t>6次，遇重大污染天气或重要活动按照环卫部门要求加大洒水频次；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机械作业注意事项：温度低于</w:t>
            </w:r>
            <w:r>
              <w:rPr>
                <w:rFonts w:ascii="仿宋_GB2312" w:hAnsi="仿宋_GB2312" w:cs="仿宋_GB2312" w:eastAsia="仿宋_GB2312"/>
                <w:sz w:val="24"/>
              </w:rPr>
              <w:t>3℃，停止洒水作业。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环卫机械化清扫车辆、洒水车辆及冲洗车辆、保洁车辆必须喷印公司名称，在作业时应严格按照合阳县环境卫生作业规范进行作业，并保持车辆外观干净整洁、无垃圾、污垢、积尘等，做到注意避让行人，文明操作。</w:t>
            </w:r>
          </w:p>
          <w:p>
            <w:pPr>
              <w:pStyle w:val="null3"/>
              <w:ind w:firstLine="482"/>
              <w:jc w:val="both"/>
            </w:pPr>
            <w:r>
              <w:rPr>
                <w:rFonts w:ascii="仿宋_GB2312" w:hAnsi="仿宋_GB2312" w:cs="仿宋_GB2312" w:eastAsia="仿宋_GB2312"/>
                <w:sz w:val="24"/>
                <w:b/>
              </w:rPr>
              <w:t>4.绿化带作业要求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绿化带应保持干净整洁、无垃圾，无纸屑、塑料袋、包装袋等废弃物，无断枝落叶、无人畜类便。</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草坪修剪</w:t>
            </w:r>
            <w:r>
              <w:rPr>
                <w:rFonts w:ascii="仿宋_GB2312" w:hAnsi="仿宋_GB2312" w:cs="仿宋_GB2312" w:eastAsia="仿宋_GB2312"/>
                <w:sz w:val="24"/>
              </w:rPr>
              <w:t>:修剪及时合理，草坪修剪要保持平整，到边到沿，5-6月份、8-9月份做到每月修剪2-3次,其他生长季节根据生长情况每月修剪2次左右。坪面整齐高度控制在5±1厘米。</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花卉修剪</w:t>
            </w:r>
            <w:r>
              <w:rPr>
                <w:rFonts w:ascii="仿宋_GB2312" w:hAnsi="仿宋_GB2312" w:cs="仿宋_GB2312" w:eastAsia="仿宋_GB2312"/>
                <w:sz w:val="24"/>
              </w:rPr>
              <w:t>:及时进行修剪或清理干枯花草，保持绿地景观效果。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绿篱、景观造型及球类修剪结合各路段实际，做到一路一形，一街一特色，绿篱修剪要平整，错落有致，棱角分明，面平边直每次修剪原则上不超过上一次剪口，已定型的绿篱新枝留高不得超过</w:t>
            </w:r>
            <w:r>
              <w:rPr>
                <w:rFonts w:ascii="仿宋_GB2312" w:hAnsi="仿宋_GB2312" w:cs="仿宋_GB2312" w:eastAsia="仿宋_GB2312"/>
                <w:sz w:val="24"/>
              </w:rPr>
              <w:t>10 ㎝，也可适当考虑艺术造型，但一定要自然美观，球类修剪要做到圆润自然。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每年全面修剪不少于</w:t>
            </w:r>
            <w:r>
              <w:rPr>
                <w:rFonts w:ascii="仿宋_GB2312" w:hAnsi="仿宋_GB2312" w:cs="仿宋_GB2312" w:eastAsia="仿宋_GB2312"/>
                <w:sz w:val="24"/>
              </w:rPr>
              <w:t>4次。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施肥一般以</w:t>
            </w:r>
            <w:r>
              <w:rPr>
                <w:rFonts w:ascii="仿宋_GB2312" w:hAnsi="仿宋_GB2312" w:cs="仿宋_GB2312" w:eastAsia="仿宋_GB2312"/>
                <w:sz w:val="24"/>
              </w:rPr>
              <w:t>1平方米每次生根剂15ɡ算，一年施肥3次（包括行道树）。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浇水按照国家三级标准执行。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病虫害防治：绿化带、景观带一年喷药</w:t>
            </w:r>
            <w:r>
              <w:rPr>
                <w:rFonts w:ascii="仿宋_GB2312" w:hAnsi="仿宋_GB2312" w:cs="仿宋_GB2312" w:eastAsia="仿宋_GB2312"/>
                <w:sz w:val="24"/>
              </w:rPr>
              <w:t>4次，行道树喷药10次。</w:t>
            </w:r>
          </w:p>
          <w:p>
            <w:pPr>
              <w:pStyle w:val="null3"/>
              <w:ind w:firstLine="482"/>
              <w:jc w:val="both"/>
            </w:pPr>
            <w:r>
              <w:rPr>
                <w:rFonts w:ascii="仿宋_GB2312" w:hAnsi="仿宋_GB2312" w:cs="仿宋_GB2312" w:eastAsia="仿宋_GB2312"/>
                <w:sz w:val="24"/>
                <w:b/>
              </w:rPr>
              <w:t>5.其他设施作业要求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道路两侧的建筑物外墙无明显污迹，无乱张贴、乱涂写和过时破损标语；</w:t>
            </w:r>
            <w:r>
              <w:rPr>
                <w:rFonts w:ascii="仿宋_GB2312" w:hAnsi="仿宋_GB2312" w:cs="仿宋_GB2312" w:eastAsia="仿宋_GB2312"/>
                <w:sz w:val="24"/>
              </w:rPr>
              <w:t>道路</w:t>
            </w:r>
            <w:r>
              <w:rPr>
                <w:rFonts w:ascii="仿宋_GB2312" w:hAnsi="仿宋_GB2312" w:cs="仿宋_GB2312" w:eastAsia="仿宋_GB2312"/>
                <w:sz w:val="24"/>
              </w:rPr>
              <w:t>“墙到墙”之间所有构筑物和构件三米以下部分要每天清理乱张贴和乱涂、乱画等。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桥面应无明显垃圾，阶梯、扶手、栏杆应干净整洁，无乱张贴、乱涂写。道路人行天桥桥面每天冲洗一次，注意清理口香糖渣等污垢，做到桥面见本色。阶梯、扶手、栏杆每天擦拭一次，及时对乱张贴、乱涂写进行清理；</w:t>
            </w:r>
            <w:r>
              <w:rPr>
                <w:rFonts w:ascii="仿宋_GB2312" w:hAnsi="仿宋_GB2312" w:cs="仿宋_GB2312" w:eastAsia="仿宋_GB2312"/>
                <w:sz w:val="24"/>
              </w:rPr>
              <w:t>其他道路跨河大桥桥面保洁质量应与保洁道路相同。确保做到无</w:t>
            </w:r>
            <w:r>
              <w:rPr>
                <w:rFonts w:ascii="仿宋_GB2312" w:hAnsi="仿宋_GB2312" w:cs="仿宋_GB2312" w:eastAsia="仿宋_GB2312"/>
                <w:sz w:val="24"/>
              </w:rPr>
              <w:t>3米以下野广告，清除覆盖无二次污染，做到同色覆盖。</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树坑、雨水口无污物非法宣传品每千米不超过</w:t>
            </w:r>
            <w:r>
              <w:rPr>
                <w:rFonts w:ascii="仿宋_GB2312" w:hAnsi="仿宋_GB2312" w:cs="仿宋_GB2312" w:eastAsia="仿宋_GB2312"/>
                <w:sz w:val="24"/>
              </w:rPr>
              <w:t>1处。</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道路两侧广告牌、路名牌、邮筒、报栏等设施应保持完好，无污迹、积尘。公交候车站（台）应设置果皮箱并保持周边整洁，其保洁质量应与所在道路保洁质量标准相同。沿街雕塑应无明显污迹。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果皮（废物）箱应美观、适用，与周围环境协调，完好率应不低于</w:t>
            </w:r>
            <w:r>
              <w:rPr>
                <w:rFonts w:ascii="仿宋_GB2312" w:hAnsi="仿宋_GB2312" w:cs="仿宋_GB2312" w:eastAsia="仿宋_GB2312"/>
                <w:sz w:val="24"/>
              </w:rPr>
              <w:t>98%；箱体保持干净，无野广告，周围地面应无抛洒存留垃圾。道路两侧果皮箱垃圾清理每日不少于2次，并巡回检查，发现垃圾满溢应及时清理，果皮箱清（擦）洗每日不少于1次。</w:t>
            </w:r>
          </w:p>
          <w:p>
            <w:pPr>
              <w:pStyle w:val="null3"/>
              <w:ind w:firstLine="482"/>
              <w:jc w:val="both"/>
            </w:pPr>
            <w:r>
              <w:rPr>
                <w:rFonts w:ascii="仿宋_GB2312" w:hAnsi="仿宋_GB2312" w:cs="仿宋_GB2312" w:eastAsia="仿宋_GB2312"/>
                <w:sz w:val="24"/>
                <w:b/>
              </w:rPr>
              <w:t>6.垃圾收集要求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垃圾不得乱倒、乱卸。垃圾收集点地面须硬化，垃圾收集容器间应设给排水和通风设施。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垃圾日产日清，垃圾屋、垃圾收集站（点）内垃圾定时清理，无堆积、外溢，无陈旧垃圾和污水外流现象，周边地面整洁，无蝇、无臭，无杂物堆放。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收集作业完成后应清理现场，可移动式桶须及时复位，做到车离地净，无遗留垃圾。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蝇、蚊孳生季节，垃圾屋，垃圾收集站（点）喷洒消毒、灭蚊蝇药物，控制蚊蝇的孳生。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垃圾收集箱（桶）定位设置，便于使用和转运，不妨碍交通，不影响市容，无残缺、破损，封闭性好，外体干净，摆放整齐。</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转运车要按时收集垃圾，不得迟到、早退，特殊情况必须征得上级同意；</w:t>
            </w:r>
            <w:r>
              <w:rPr>
                <w:rFonts w:ascii="仿宋_GB2312" w:hAnsi="仿宋_GB2312" w:cs="仿宋_GB2312" w:eastAsia="仿宋_GB2312"/>
                <w:sz w:val="24"/>
              </w:rPr>
              <w:t>不得无故阻止环卫工人倾倒垃圾。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收集作业完成后，应及时清理场地，并将垃圾桶复位，盖上桶盖，不得有地面零散垃圾，收集点及周围应整洁，无散落、存留垃圾。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收转运时应加盖密闭运输，遮盖严实，不得沿街撒落，不得抛、冒、滴、漏，垃圾必须倾倒在指定的垃圾场（站），不得乱倾倒。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严格按照操作规程操作车辆和车载设备、机具，不得丢甩垃圾桶。车辆行驶中不得坐于箱顶、箱内。不得翻捡垃圾和废品、容留拾废人员。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车容整洁，无污物、灰垢，无乱堆乱挂、乱停乱放，并按车队规定停放在指定位置。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垃圾收运人员必须穿着统一的环卫标志服，分片、定点、定人、定车、定时对自己任务范围内的生活垃圾做到日产日清。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对街道门面生活垃圾实行鸣号收运，确保全面收集，做到不隔日、不漏户；保护相关环卫设施，垃圾房应轻开轻关，掏完后打扫干净，运送垃圾时覆盖蓬布，沿途无洒漏，确保路面整洁，保证垃圾清运车的车容车貌整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工作中做到文明生产，礼貌服务，遵守职业道德，垃圾做到日产日清，</w:t>
            </w:r>
            <w:r>
              <w:rPr>
                <w:rFonts w:ascii="仿宋_GB2312" w:hAnsi="仿宋_GB2312" w:cs="仿宋_GB2312" w:eastAsia="仿宋_GB2312"/>
                <w:sz w:val="24"/>
              </w:rPr>
              <w:t>不积留，不延误。不与单位和居民发生不礼貌的行为，不得私自向代运单位索取物品及报酬。上班时一律不准说脏话，做到文明生产。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作业车辆必须遵守交通规则，严禁酒后上岗、违章驾驶严禁三轮车不遵守交通法规，闯红灯、逆行；严禁载人、超速行驶；严禁超载行驶及酒后作业；严禁三轮车在人行道上骑行；严禁在收集过程中横穿公路、翻越护栏。</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环境卫生作业车辆要统一喷涂环卫标识、标语。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16）对生活垃圾填埋场所有渗滤液要进行科学合理，符合环保要求的收集、转运、处理；建立相关台帐；做好各级各类检查的准备工作。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在城区餐厨垃圾缺乏第三方集中处理服务的情况下，供应商需承担餐厨垃圾的收集、转运及处理。</w:t>
            </w:r>
          </w:p>
          <w:p>
            <w:pPr>
              <w:pStyle w:val="null3"/>
              <w:ind w:firstLine="482"/>
              <w:jc w:val="both"/>
            </w:pPr>
            <w:r>
              <w:rPr>
                <w:rFonts w:ascii="仿宋_GB2312" w:hAnsi="仿宋_GB2312" w:cs="仿宋_GB2312" w:eastAsia="仿宋_GB2312"/>
                <w:sz w:val="24"/>
                <w:b/>
              </w:rPr>
              <w:t>7.垃圾运输要求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垃圾运输车辆应保持车容整洁，出车前检查车况，保持性能良好，车牌号码完整，密闭作业，车门上喷印的单位名称清晰，车顶无乱焊铁架等现象。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机动车辆作业人员，应具备相应资格，并定期参加作业培训。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垃圾车应采取密闭方式运输，禁止乱吊乱挂、禁止超高超载，挂包运输垃圾，出车前须排尽污水箱中的污水，禁止沿途抛撒垃圾和滴漏污水。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垃圾车装卸垃圾作业过程中，垃圾装运量应以车辆的额定荷载和有效容积为限。垃圾压缩车应经常检查车辆密封构件，确保完好，不泄漏污水。运输过程中禁止抛撒滴漏，垃圾按市级或区级主管部门规定地点投放，不得乱卸。</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垃圾点离居民住宅较近时，应合理安排装运时间，避开早晨以及中午的上下班高峰期，并按市级或区级主管部门规定线路行驶，减少噪声，不影响居民正常生活。</w:t>
            </w:r>
          </w:p>
          <w:p>
            <w:pPr>
              <w:pStyle w:val="null3"/>
              <w:ind w:firstLine="482"/>
              <w:jc w:val="both"/>
            </w:pPr>
            <w:r>
              <w:rPr>
                <w:rFonts w:ascii="仿宋_GB2312" w:hAnsi="仿宋_GB2312" w:cs="仿宋_GB2312" w:eastAsia="仿宋_GB2312"/>
                <w:sz w:val="24"/>
                <w:b/>
              </w:rPr>
              <w:t>8.垃圾站点的日常管理要求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每天对中转站进行冲洗作业，确保垃圾中转站内的干净、整洁；定期对垃圾点周边的地面进行冲洗作业，确保地面无明显油污。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定时做好垃圾的运输工作，避免出现垃圾满溢等现象；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做好站点垃圾车辆运输登记工作；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做好站点的安全引导设备，避免安全事故的发生；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定期做好站点的消毒、灭蚊虫工作，避免影响周边环境和居民生活。</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垃圾点须按垃圾分类设置三分收集箱，收集箱必须加盖，并随时加盖存放。</w:t>
            </w:r>
          </w:p>
          <w:p>
            <w:pPr>
              <w:pStyle w:val="null3"/>
              <w:ind w:firstLine="482"/>
              <w:jc w:val="both"/>
            </w:pPr>
            <w:r>
              <w:rPr>
                <w:rFonts w:ascii="仿宋_GB2312" w:hAnsi="仿宋_GB2312" w:cs="仿宋_GB2312" w:eastAsia="仿宋_GB2312"/>
                <w:sz w:val="24"/>
                <w:b/>
              </w:rPr>
              <w:t>9.公厕的日常管理要求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公厕配专人管理，公厕管理人员要着环卫标志服、挂牌上岗，为每座公厕配备</w:t>
            </w:r>
            <w:r>
              <w:rPr>
                <w:rFonts w:ascii="仿宋_GB2312" w:hAnsi="仿宋_GB2312" w:cs="仿宋_GB2312" w:eastAsia="仿宋_GB2312"/>
                <w:sz w:val="24"/>
              </w:rPr>
              <w:t>1名或以上的管理人员。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按照《城市公共厕所设计标准》（</w:t>
            </w:r>
            <w:r>
              <w:rPr>
                <w:rFonts w:ascii="仿宋_GB2312" w:hAnsi="仿宋_GB2312" w:cs="仿宋_GB2312" w:eastAsia="仿宋_GB2312"/>
                <w:sz w:val="24"/>
              </w:rPr>
              <w:t>CJJ14-2005）的规定，并根据公厕所在景点、道路的实际情况，将公厕保洁质量分为一类公厕、二类公厕、三类公厕。生态公厕、旅游景区公厕保洁质量应达到一类公厕保洁标准，移动公厕保洁质量应达到三类公厕保洁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公厕实行</w:t>
            </w:r>
            <w:r>
              <w:rPr>
                <w:rFonts w:ascii="仿宋_GB2312" w:hAnsi="仿宋_GB2312" w:cs="仿宋_GB2312" w:eastAsia="仿宋_GB2312"/>
                <w:sz w:val="24"/>
              </w:rPr>
              <w:t>24h开放，保洁时间 6:00-22:00；节假日、重大活动期间，视情延长公厕开放时间。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公厕厕内通风良好，摆放纸篓、无蝇、无蛆、无痰迹、无臭味、无乱贴乱画。窗台、墙壁、顶棚无灰尘、蜘蛛网。厕内外设施完好；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厕内达到蹲位净、地面净、窗台净、墙壁净；厕外三米内地面干净；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粪便收集容器保持整洁，密闭性能良好，倒粪口、取粪口清洁，地面无粪迹、垃圾和污水。车辆应完好、整洁，车体无粪迹污物；</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公厕内台面、镜面水渍及时清理，做到清洁明亮。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地面卫生做到无烟头、无杂物、无积水；墙面、公益宣传牌等做到干净整洁、无灰尘、蜘蛛网。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卫生洁具随时擦拭，做到表面光洁，无污渍。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垃圾桶、废纸篓内杂物不超过三分之二，及时清倒。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每天点卫生香，及时放置卫生球；夏季定期消杀，有效减少蝇虫。</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公厕设施存在故障不能提供使用时，按规范放置温馨提示牌进行告知。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使用灭虫剂、消毒液、草酸、火碱等物品时，要佩戴相应的防护用具。</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公厕开放期内，保洁人员不得做与工作无关的事情。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对破坏、损坏设施等违规行为进行劝阻，对不听劝阻者及时上报，直至问题解决，有条件时收集相关影像资料。</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公厕设施损坏要及时上报。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公厕</w:t>
            </w:r>
            <w:r>
              <w:rPr>
                <w:rFonts w:ascii="仿宋_GB2312" w:hAnsi="仿宋_GB2312" w:cs="仿宋_GB2312" w:eastAsia="仿宋_GB2312"/>
                <w:sz w:val="24"/>
              </w:rPr>
              <w:t>设施损坏，修复时间不得超过两个工作日。</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）公厕维修，包括不限于防水层局部修补、更换破损瓷砖、墙面翻新等，此部分费用不计算在总服务费用中，服务期限内据实结算（维修费用≤</w:t>
            </w:r>
            <w:r>
              <w:rPr>
                <w:rFonts w:ascii="仿宋_GB2312" w:hAnsi="仿宋_GB2312" w:cs="仿宋_GB2312" w:eastAsia="仿宋_GB2312"/>
                <w:sz w:val="24"/>
              </w:rPr>
              <w:t>2</w:t>
            </w:r>
            <w:r>
              <w:rPr>
                <w:rFonts w:ascii="仿宋_GB2312" w:hAnsi="仿宋_GB2312" w:cs="仿宋_GB2312" w:eastAsia="仿宋_GB2312"/>
                <w:sz w:val="24"/>
              </w:rPr>
              <w:t>万元</w:t>
            </w:r>
            <w:r>
              <w:rPr>
                <w:rFonts w:ascii="仿宋_GB2312" w:hAnsi="仿宋_GB2312" w:cs="仿宋_GB2312" w:eastAsia="仿宋_GB2312"/>
                <w:sz w:val="24"/>
              </w:rPr>
              <w:t>/</w:t>
            </w:r>
            <w:r>
              <w:rPr>
                <w:rFonts w:ascii="仿宋_GB2312" w:hAnsi="仿宋_GB2312" w:cs="仿宋_GB2312" w:eastAsia="仿宋_GB2312"/>
                <w:sz w:val="24"/>
              </w:rPr>
              <w:t>座</w:t>
            </w:r>
            <w:r>
              <w:rPr>
                <w:rFonts w:ascii="仿宋_GB2312" w:hAnsi="仿宋_GB2312" w:cs="仿宋_GB2312" w:eastAsia="仿宋_GB2312"/>
                <w:sz w:val="24"/>
              </w:rPr>
              <w:t>/</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b/>
              </w:rPr>
              <w:t>、作业范围</w:t>
            </w:r>
          </w:p>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331"/>
              <w:gridCol w:w="909"/>
              <w:gridCol w:w="564"/>
              <w:gridCol w:w="855"/>
              <w:gridCol w:w="519"/>
            </w:tblGrid>
            <w:tr>
              <w:tc>
                <w:tcPr>
                  <w:tcW w:type="dxa" w:w="317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u w:val="single"/>
                    </w:rPr>
                    <w:t xml:space="preserve"> </w:t>
                  </w:r>
                  <w:r>
                    <w:rPr>
                      <w:rFonts w:ascii="仿宋_GB2312" w:hAnsi="仿宋_GB2312" w:cs="仿宋_GB2312" w:eastAsia="仿宋_GB2312"/>
                      <w:sz w:val="28"/>
                      <w:b/>
                      <w:color w:val="000000"/>
                      <w:u w:val="single"/>
                    </w:rPr>
                    <w:t xml:space="preserve">2025 </w:t>
                  </w:r>
                  <w:r>
                    <w:rPr>
                      <w:rFonts w:ascii="仿宋_GB2312" w:hAnsi="仿宋_GB2312" w:cs="仿宋_GB2312" w:eastAsia="仿宋_GB2312"/>
                      <w:sz w:val="28"/>
                      <w:b/>
                      <w:color w:val="000000"/>
                      <w:u w:val="single"/>
                    </w:rPr>
                    <w:t>合阳县城区（主、次）干道，背街小巷测量成果汇总表</w:t>
                  </w:r>
                </w:p>
              </w:tc>
            </w:tr>
            <w:tr>
              <w:tc>
                <w:tcPr>
                  <w:tcW w:type="dxa" w:w="317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  城中村巷道数据</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社区（村委会）</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巷道数量</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巷道总长（</w:t>
                  </w:r>
                  <w:r>
                    <w:rPr>
                      <w:rFonts w:ascii="仿宋_GB2312" w:hAnsi="仿宋_GB2312" w:cs="仿宋_GB2312" w:eastAsia="仿宋_GB2312"/>
                      <w:sz w:val="24"/>
                      <w:color w:val="000000"/>
                    </w:rPr>
                    <w:t>m）</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巷道面积（㎡）</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北街社区</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9622.7</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36520.09</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九龙社区</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8977.6</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33081.02</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南街村村委会</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7873.1</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35948.43</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东街村村委会</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10118.9</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42010.60</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官庄社区</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6652.7</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32415.29</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大庄头社区</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4535.7</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30610.26</w:t>
                  </w:r>
                </w:p>
              </w:tc>
            </w:tr>
            <w:tr>
              <w:tc>
                <w:tcPr>
                  <w:tcW w:type="dxa" w:w="12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合计</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338</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47780.7</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210585.69</w:t>
                  </w:r>
                </w:p>
              </w:tc>
            </w:tr>
            <w:tr>
              <w:tc>
                <w:tcPr>
                  <w:tcW w:type="dxa" w:w="31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  城区道路数据</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7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主道路面积（㎡）</w:t>
                  </w:r>
                </w:p>
              </w:tc>
              <w:tc>
                <w:tcPr>
                  <w:tcW w:type="dxa" w:w="13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956040.15</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辅道面积（㎡）</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340526.76</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人行道面积（㎡）</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737514.46</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道路绿化面积（㎡）</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132865.26</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道路外绿化面积（㎡）</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230790.8</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行道树（棵）</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13093</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小计</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保洁面积：</w:t>
                  </w:r>
                  <w:r>
                    <w:rPr>
                      <w:rFonts w:ascii="仿宋_GB2312" w:hAnsi="仿宋_GB2312" w:cs="仿宋_GB2312" w:eastAsia="仿宋_GB2312"/>
                      <w:sz w:val="24"/>
                      <w:b/>
                    </w:rPr>
                    <w:t>2034081.37</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绿化面积：</w:t>
                  </w:r>
                  <w:r>
                    <w:rPr>
                      <w:rFonts w:ascii="仿宋_GB2312" w:hAnsi="仿宋_GB2312" w:cs="仿宋_GB2312" w:eastAsia="仿宋_GB2312"/>
                      <w:sz w:val="24"/>
                      <w:b/>
                    </w:rPr>
                    <w:t>363656.06</w:t>
                  </w:r>
                </w:p>
              </w:tc>
            </w:tr>
            <w:tr>
              <w:tc>
                <w:tcPr>
                  <w:tcW w:type="dxa" w:w="31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 工业园区道路数据</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7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主道路面积（㎡）</w:t>
                  </w:r>
                </w:p>
              </w:tc>
              <w:tc>
                <w:tcPr>
                  <w:tcW w:type="dxa" w:w="13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95744.29</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人行道面积（㎡）</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36243.38</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道路绿化面积（㎡）</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5548.01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行道树（棵）</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1339</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小计</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保洁面积：</w:t>
                  </w:r>
                  <w:r>
                    <w:rPr>
                      <w:rFonts w:ascii="仿宋_GB2312" w:hAnsi="仿宋_GB2312" w:cs="仿宋_GB2312" w:eastAsia="仿宋_GB2312"/>
                      <w:sz w:val="24"/>
                      <w:b/>
                    </w:rPr>
                    <w:t>131987.67</w:t>
                  </w:r>
                </w:p>
              </w:tc>
              <w:tc>
                <w:tcPr>
                  <w:tcW w:type="dxa" w:w="1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绿化面积：</w:t>
                  </w:r>
                  <w:r>
                    <w:rPr>
                      <w:rFonts w:ascii="仿宋_GB2312" w:hAnsi="仿宋_GB2312" w:cs="仿宋_GB2312" w:eastAsia="仿宋_GB2312"/>
                      <w:sz w:val="24"/>
                      <w:b/>
                    </w:rPr>
                    <w:t>5548.01</w:t>
                  </w:r>
                </w:p>
              </w:tc>
            </w:tr>
            <w:tr>
              <w:tc>
                <w:tcPr>
                  <w:tcW w:type="dxa" w:w="3178"/>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4"/>
                      <w:b/>
                    </w:rPr>
                    <w:t xml:space="preserve">      </w:t>
                  </w:r>
                  <w:r>
                    <w:rPr>
                      <w:rFonts w:ascii="仿宋_GB2312" w:hAnsi="仿宋_GB2312" w:cs="仿宋_GB2312" w:eastAsia="仿宋_GB2312"/>
                      <w:sz w:val="24"/>
                      <w:b/>
                    </w:rPr>
                    <w:t>总面积：</w:t>
                  </w:r>
                  <w:r>
                    <w:rPr>
                      <w:rFonts w:ascii="仿宋_GB2312" w:hAnsi="仿宋_GB2312" w:cs="仿宋_GB2312" w:eastAsia="仿宋_GB2312"/>
                      <w:sz w:val="24"/>
                      <w:b/>
                    </w:rPr>
                    <w:t>2745858.80平方米</w:t>
                  </w:r>
                </w:p>
                <w:p>
                  <w:pPr>
                    <w:pStyle w:val="null3"/>
                    <w:spacing w:after="240"/>
                    <w:jc w:val="center"/>
                  </w:pPr>
                  <w:r>
                    <w:rPr>
                      <w:rFonts w:ascii="仿宋_GB2312" w:hAnsi="仿宋_GB2312" w:cs="仿宋_GB2312" w:eastAsia="仿宋_GB2312"/>
                      <w:sz w:val="24"/>
                      <w:b/>
                    </w:rPr>
                    <w:t xml:space="preserve">1、保洁面积：2376654.73㎡； 2、绿化面积：369204.07㎡；3、行道树：14432（棵）                          </w:t>
                  </w:r>
                  <w:r>
                    <w:rPr>
                      <w:rFonts w:ascii="仿宋_GB2312" w:hAnsi="仿宋_GB2312" w:cs="仿宋_GB2312" w:eastAsia="仿宋_GB2312"/>
                      <w:sz w:val="21"/>
                    </w:rPr>
                    <w:t xml:space="preserve">                           </w:t>
                  </w:r>
                </w:p>
              </w:tc>
            </w:tr>
            <w:tr>
              <w:tc>
                <w:tcPr>
                  <w:tcW w:type="dxa" w:w="3178"/>
                  <w:gridSpan w:val="5"/>
                  <w:vMerge/>
                  <w:tcBorders>
                    <w:top w:val="none" w:color="000000" w:sz="4"/>
                    <w:left w:val="single" w:color="000000" w:sz="4"/>
                    <w:bottom w:val="single" w:color="000000" w:sz="4"/>
                    <w:right w:val="single" w:color="000000" w:sz="4"/>
                  </w:tcBorders>
                </w:tcPr>
                <w:p/>
              </w:tc>
            </w:tr>
            <w:tr>
              <w:tc>
                <w:tcPr>
                  <w:tcW w:type="dxa" w:w="3178"/>
                  <w:gridSpan w:val="5"/>
                  <w:vMerge/>
                  <w:tcBorders>
                    <w:top w:val="none" w:color="000000" w:sz="4"/>
                    <w:left w:val="single" w:color="000000" w:sz="4"/>
                    <w:bottom w:val="single" w:color="000000" w:sz="4"/>
                    <w:right w:val="single" w:color="000000" w:sz="4"/>
                  </w:tcBorders>
                </w:tcPr>
                <w:p/>
              </w:tc>
            </w:tr>
          </w:tbl>
          <w:tbl>
            <w:tblPr>
              <w:tblBorders>
                <w:top w:val="none" w:color="000000" w:sz="4"/>
                <w:left w:val="none" w:color="000000" w:sz="4"/>
                <w:bottom w:val="none" w:color="000000" w:sz="4"/>
                <w:right w:val="none" w:color="000000" w:sz="4"/>
                <w:insideH w:val="none"/>
                <w:insideV w:val="none"/>
              </w:tblBorders>
            </w:tblPr>
            <w:tblGrid>
              <w:gridCol w:w="95"/>
              <w:gridCol w:w="290"/>
              <w:gridCol w:w="246"/>
              <w:gridCol w:w="205"/>
              <w:gridCol w:w="194"/>
              <w:gridCol w:w="249"/>
              <w:gridCol w:w="274"/>
              <w:gridCol w:w="268"/>
              <w:gridCol w:w="301"/>
              <w:gridCol w:w="323"/>
              <w:gridCol w:w="276"/>
              <w:gridCol w:w="446"/>
            </w:tblGrid>
            <w:tr>
              <w:tc>
                <w:tcPr>
                  <w:tcW w:type="dxa" w:w="3167"/>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合阳县城区（主、次）干道统计表</w:t>
                  </w:r>
                </w:p>
              </w:tc>
            </w:tr>
            <w:tr>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道路名称</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道路长度（</w:t>
                  </w:r>
                  <w:r>
                    <w:rPr>
                      <w:rFonts w:ascii="仿宋_GB2312" w:hAnsi="仿宋_GB2312" w:cs="仿宋_GB2312" w:eastAsia="仿宋_GB2312"/>
                      <w:sz w:val="20"/>
                    </w:rPr>
                    <w:t>m）</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行道树品种</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行道树数量</w:t>
                  </w:r>
                  <w:r>
                    <w:rPr>
                      <w:rFonts w:ascii="仿宋_GB2312" w:hAnsi="仿宋_GB2312" w:cs="仿宋_GB2312" w:eastAsia="仿宋_GB2312"/>
                      <w:sz w:val="20"/>
                    </w:rPr>
                    <w:t xml:space="preserve">   </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主道路面积（㎡）</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辅道面积（㎡）</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人行道面积（㎡）</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道路绿化面积（㎡）</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道路外绿化面积（㎡）</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九龙大道</w:t>
                  </w:r>
                  <w:r>
                    <w:rPr>
                      <w:rFonts w:ascii="仿宋_GB2312" w:hAnsi="仿宋_GB2312" w:cs="仿宋_GB2312" w:eastAsia="仿宋_GB2312"/>
                      <w:sz w:val="2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2383.38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456</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42863.95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25780.78</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13967.45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6682.67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89294.85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七里村至武帝路</w:t>
                  </w:r>
                </w:p>
              </w:tc>
            </w:tr>
            <w:tr>
              <w:tc>
                <w:tcPr>
                  <w:tcW w:type="dxa" w:w="95"/>
                  <w:vMerge/>
                  <w:tcBorders>
                    <w:top w:val="none" w:color="000000" w:sz="4"/>
                    <w:left w:val="singl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九龙大道</w:t>
                  </w:r>
                  <w:r>
                    <w:rPr>
                      <w:rFonts w:ascii="仿宋_GB2312" w:hAnsi="仿宋_GB2312" w:cs="仿宋_GB2312" w:eastAsia="仿宋_GB2312"/>
                      <w:sz w:val="2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2506.35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49195.35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33938.60</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20331.33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10462.50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61954.65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175882.43</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武帝路至蓝山公寓</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泰山西路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1600.61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24496.71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28785.98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422.58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53705.27</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看守所至解放北路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泰山东路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1386.50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20794.95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8931.76</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22869.90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2471.74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55068.35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解放北路至四中</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杏林街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838.20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12205.59</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9959.09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22164.68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骏景园北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解放北路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1716.63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29382.87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13886.65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20888.63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4202.92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12245.10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80606.17</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东大街至九龙大道</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公园南路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676.34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10882.73</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5151.15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5695.09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2261.27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23990.24</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国韵兰亭南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武帝北路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1622.26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25444.22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14257.15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24590.05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4807.71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528.35</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69627.48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西大街至九龙大道</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大有路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1042.14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14153.78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13424.80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27578.58</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西街广场至杏林街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西大街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568.82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7724.76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9048.49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16773.25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武帝北路至城管局</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北大街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519.17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5897.04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8078.12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13975.16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泰山西路至城管局</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太清路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228.68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1237.93</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872.58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2110.51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文化街至东大街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东大街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452.52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6446.77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7065.12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13511.89</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城管局至解放北路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道路名称</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道路长度（</w:t>
                  </w:r>
                  <w:r>
                    <w:rPr>
                      <w:rFonts w:ascii="仿宋_GB2312" w:hAnsi="仿宋_GB2312" w:cs="仿宋_GB2312" w:eastAsia="仿宋_GB2312"/>
                      <w:sz w:val="20"/>
                    </w:rPr>
                    <w:t>m）</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行道树品种</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行道树数量</w:t>
                  </w:r>
                  <w:r>
                    <w:rPr>
                      <w:rFonts w:ascii="仿宋_GB2312" w:hAnsi="仿宋_GB2312" w:cs="仿宋_GB2312" w:eastAsia="仿宋_GB2312"/>
                      <w:sz w:val="20"/>
                    </w:rPr>
                    <w:t xml:space="preserve">   </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主道路面积（㎡）</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辅道面积（㎡）</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人行道面积（㎡）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道路绿化面积（㎡）</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道路外绿化面积（㎡）</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南大街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626.98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9647.96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8225.28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2924.92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20798.16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东大街至金水路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南关市场</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355.25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1957.78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3578.79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5536.57</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南大街至解放中路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梨花苑</w:t>
                  </w:r>
                  <w:r>
                    <w:rPr>
                      <w:rFonts w:ascii="仿宋_GB2312" w:hAnsi="仿宋_GB2312" w:cs="仿宋_GB2312" w:eastAsia="仿宋_GB2312"/>
                      <w:sz w:val="20"/>
                    </w:rPr>
                    <w:t>C区街道</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334.81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3322.66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2883.05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6205.71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大有路至武帝北路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旧甘井路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441.18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3760.85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3760.85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泰山西路至运动公园</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旧</w:t>
                  </w:r>
                  <w:r>
                    <w:rPr>
                      <w:rFonts w:ascii="仿宋_GB2312" w:hAnsi="仿宋_GB2312" w:cs="仿宋_GB2312" w:eastAsia="仿宋_GB2312"/>
                      <w:sz w:val="20"/>
                    </w:rPr>
                    <w:t>108国道</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589.15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7222.51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7222.51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泰山西路至九龙湖南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2550.92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47379.78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30852.99</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29347.48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10243.43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40025.00</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157848.68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合洽路至九龙大道</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新一路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1491.26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33285.97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18831.18</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16317.89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5852.70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74287.74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凤凰北路至北湖</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文化街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400.07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4246.05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5138.21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9384.26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北大街至解放北路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合洽路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1681.56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白松</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35276.67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12846.50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48123.17</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凤凰北路至新城村</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东清步行街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589.90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7065.57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6419.67</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13485.24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锦江医院至君悦府</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槐北路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134.40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1294.27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723.01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2017.28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君悦府东</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西新街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648.17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7847.76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7478.59</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9223.73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1675.16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26225.24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武帝南路至南大街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东新街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1982.07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23749.10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21254.00</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38988.01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5612.90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502.57</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90106.58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南大街至翊东庄园</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太姒路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2278.06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59260.46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34552.54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19742.40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31005.36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52382.43</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196943.19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合洽路至印光大道</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道路名称</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道路长度（</w:t>
                  </w:r>
                  <w:r>
                    <w:rPr>
                      <w:rFonts w:ascii="仿宋_GB2312" w:hAnsi="仿宋_GB2312" w:cs="仿宋_GB2312" w:eastAsia="仿宋_GB2312"/>
                      <w:sz w:val="20"/>
                    </w:rPr>
                    <w:t>m）</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行道树品种</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行道树数量</w:t>
                  </w:r>
                  <w:r>
                    <w:rPr>
                      <w:rFonts w:ascii="仿宋_GB2312" w:hAnsi="仿宋_GB2312" w:cs="仿宋_GB2312" w:eastAsia="仿宋_GB2312"/>
                      <w:sz w:val="20"/>
                    </w:rPr>
                    <w:t xml:space="preserve">   </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主道路面积（㎡）</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辅道面积（㎡）</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人行道面积（㎡）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道路绿化面积（㎡）</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道路外绿化面积（㎡）</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凤凰中路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950.54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276</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16692.11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14509.55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24718.75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4304.17</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1985.87</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62210.45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合洽路至天合园</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祥和北路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505.09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4551.21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4908.64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9459.85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黄河路至东新街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解放中路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1308.93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20932.12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20166.08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41098.20</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东大街至东新街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印光大道</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2267.89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684</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74098.9</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43891.82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23077.78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21016.75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20548.72</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182634.00</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武帝南路至高速口</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祥和南路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460.77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栾树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5588.80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8151.32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13740.12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东新街至商南路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县委步行街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237.18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1630.12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1433.83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3063.95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东新街至南关市场</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黄河路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690.02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176</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9022.56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16247.29</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25269.85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解放北路至凤凰北路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武帝南路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2571.49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栾树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49275.41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58971.84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1796.43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110043.68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西大街至印光大道</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金水路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2743.52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栾树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654</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34282.27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24896.03</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35833.22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6360.36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101371.88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西新街至</w:t>
                  </w:r>
                  <w:r>
                    <w:rPr>
                      <w:rFonts w:ascii="仿宋_GB2312" w:hAnsi="仿宋_GB2312" w:cs="仿宋_GB2312" w:eastAsia="仿宋_GB2312"/>
                      <w:sz w:val="20"/>
                    </w:rPr>
                    <w:t>342国道</w:t>
                  </w:r>
                </w:p>
              </w:tc>
            </w:tr>
            <w:tr>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朝阳北路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459.83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3686.01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3359.18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7045.19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西新街至慧宁府十字</w:t>
                  </w:r>
                </w:p>
              </w:tc>
            </w:tr>
            <w:tr>
              <w:tc>
                <w:tcPr>
                  <w:tcW w:type="dxa" w:w="95"/>
                  <w:vMerge/>
                  <w:tcBorders>
                    <w:top w:val="none" w:color="000000" w:sz="4"/>
                    <w:left w:val="singl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朝阳东路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347.29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3662.38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2943.83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6606.21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慧宁府十字至金水路</w:t>
                  </w:r>
                </w:p>
              </w:tc>
            </w:tr>
            <w:tr>
              <w:tc>
                <w:tcPr>
                  <w:tcW w:type="dxa" w:w="95"/>
                  <w:vMerge/>
                  <w:tcBorders>
                    <w:top w:val="none" w:color="000000" w:sz="4"/>
                    <w:left w:val="singl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朝阳西路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261.37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3044.77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2545.52</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5590.29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慧宁府十字至武帝南路</w:t>
                  </w:r>
                </w:p>
              </w:tc>
            </w:tr>
            <w:tr>
              <w:tc>
                <w:tcPr>
                  <w:tcW w:type="dxa" w:w="95"/>
                  <w:vMerge/>
                  <w:tcBorders>
                    <w:top w:val="none" w:color="000000" w:sz="4"/>
                    <w:left w:val="singl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朝阳南路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216.56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1787.20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2080.58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3867.78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慧宁府十字至凤凰西路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道路名称</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道路长度（</w:t>
                  </w:r>
                  <w:r>
                    <w:rPr>
                      <w:rFonts w:ascii="仿宋_GB2312" w:hAnsi="仿宋_GB2312" w:cs="仿宋_GB2312" w:eastAsia="仿宋_GB2312"/>
                      <w:sz w:val="20"/>
                    </w:rPr>
                    <w:t>m）</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行道树品种</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行道树数量</w:t>
                  </w:r>
                  <w:r>
                    <w:rPr>
                      <w:rFonts w:ascii="仿宋_GB2312" w:hAnsi="仿宋_GB2312" w:cs="仿宋_GB2312" w:eastAsia="仿宋_GB2312"/>
                      <w:sz w:val="20"/>
                    </w:rPr>
                    <w:t xml:space="preserve">   </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主道路面积（㎡）</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辅道面积（㎡）</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人行道面积（㎡）</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道路绿化面积（㎡）</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道路外绿化面积（㎡）</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凤凰西路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1416.91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414</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27236.23</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20587.99</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31802.94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6621.23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4359.50</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90607.89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武帝南路至天合园西</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凤凰东路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610.00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11861.21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9550.6</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8632.11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2471.74</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2466.74</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34982.40</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天合园东至太姒路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1731.44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13455.46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14106.03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27561.49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金水路至天合园</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商东路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961.65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栾树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10896.94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7770.14</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18667.08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祥和南路至太姒路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天合园环路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1120.64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青桐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254</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22557.08</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13558.05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824.22</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5260.04</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42199.39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环天合园</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西街广场环路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745.21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红叶李</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6989.81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2980.00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9969.81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金城花园小区南</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创业园区道路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1913.74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15346.55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2191.43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17537.98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合阳县创业工业园区</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官庄七组市场</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662.38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10705.24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11592.50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127.53</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22425.27</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东新街至凤凰东路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官庄八组市场</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397.46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4742.31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9053.33</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13795.64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凤凰东路至建设东路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水车头市场</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641.10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8603.86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9563.30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18167.16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建设东路至印光大道</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建设西路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584.27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9581.96</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9128.38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18710.34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武帝南路至金水路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建设东路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2068.25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25186.04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32380.35</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57566.39</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金水路至太姒路</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1826.60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33615.87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12175.38</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18320.28</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3641.89</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25606.91</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93360.33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天合园南至</w:t>
                  </w:r>
                  <w:r>
                    <w:rPr>
                      <w:rFonts w:ascii="仿宋_GB2312" w:hAnsi="仿宋_GB2312" w:cs="仿宋_GB2312" w:eastAsia="仿宋_GB2312"/>
                      <w:sz w:val="20"/>
                    </w:rPr>
                    <w:t>342国道</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解放南路</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1429.61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546</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18655.69</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22987.11</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41642.80</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凤凰西路至南庄村</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108太乐村段</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846.01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栾树</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12307.97</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12307.97</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太乐村口至</w:t>
                  </w:r>
                  <w:r>
                    <w:rPr>
                      <w:rFonts w:ascii="仿宋_GB2312" w:hAnsi="仿宋_GB2312" w:cs="仿宋_GB2312" w:eastAsia="仿宋_GB2312"/>
                      <w:sz w:val="20"/>
                    </w:rPr>
                    <w:t>342国道</w:t>
                  </w:r>
                </w:p>
              </w:tc>
            </w:tr>
            <w:tr>
              <w:tc>
                <w:tcPr>
                  <w:tcW w:type="dxa" w:w="3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总计</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59621.1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13093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956040.15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340526.76</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737514.46</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132865.26</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230790.80</w:t>
                  </w:r>
                </w:p>
              </w:tc>
              <w:tc>
                <w:tcPr>
                  <w:tcW w:type="dxa" w:w="27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2397737.43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4"/>
                <w:color w:val="000000"/>
              </w:rPr>
              <w:t>工业园区（主、次）干道统计表</w:t>
            </w:r>
          </w:p>
          <w:tbl>
            <w:tblPr>
              <w:tblBorders>
                <w:top w:val="none" w:color="000000" w:sz="4"/>
                <w:left w:val="none" w:color="000000" w:sz="4"/>
                <w:bottom w:val="none" w:color="000000" w:sz="4"/>
                <w:right w:val="none" w:color="000000" w:sz="4"/>
                <w:insideH w:val="none"/>
                <w:insideV w:val="none"/>
              </w:tblBorders>
            </w:tblPr>
            <w:tblGrid>
              <w:gridCol w:w="138"/>
              <w:gridCol w:w="331"/>
              <w:gridCol w:w="267"/>
              <w:gridCol w:w="202"/>
              <w:gridCol w:w="196"/>
              <w:gridCol w:w="347"/>
              <w:gridCol w:w="347"/>
              <w:gridCol w:w="347"/>
              <w:gridCol w:w="347"/>
              <w:gridCol w:w="321"/>
              <w:gridCol w:w="331"/>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道路名称</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道路长度（</w:t>
                  </w:r>
                  <w:r>
                    <w:rPr>
                      <w:rFonts w:ascii="仿宋_GB2312" w:hAnsi="仿宋_GB2312" w:cs="仿宋_GB2312" w:eastAsia="仿宋_GB2312"/>
                      <w:sz w:val="20"/>
                    </w:rPr>
                    <w:t>m）</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行道树品种</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行道树数量</w:t>
                  </w:r>
                  <w:r>
                    <w:rPr>
                      <w:rFonts w:ascii="仿宋_GB2312" w:hAnsi="仿宋_GB2312" w:cs="仿宋_GB2312" w:eastAsia="仿宋_GB2312"/>
                      <w:sz w:val="20"/>
                    </w:rPr>
                    <w:t xml:space="preserve">   </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主道路面积（㎡）</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辅道面积（㎡）</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人行道面积（㎡）</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道路绿化面积（㎡）</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道路外绿化面积（㎡）</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经一路</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977.60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22623.92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8064.32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2141.52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32829.76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经二路</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948.20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栾树</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17133.46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7036.59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24170.05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纬四路</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743.10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栾树</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12502.2</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6710.37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19212.57</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纬五路</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734.00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213</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27080.55</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6597.66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3406.49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37084.70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纬六路</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1055.20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法桐</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317</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16404.16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7834.44</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24238.6</w:t>
                  </w:r>
                </w:p>
              </w:tc>
            </w:tr>
            <w:tr>
              <w:tc>
                <w:tcPr>
                  <w:tcW w:type="dxa" w:w="4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总计</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4458.1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1339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95744.29</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36243.38</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5548.01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137535.68</w:t>
                  </w:r>
                </w:p>
              </w:tc>
            </w:tr>
          </w:tbl>
          <w:p>
            <w:pPr>
              <w:pStyle w:val="null3"/>
            </w:pPr>
            <w:r>
              <w:rPr>
                <w:rFonts w:ascii="仿宋_GB2312" w:hAnsi="仿宋_GB2312" w:cs="仿宋_GB2312" w:eastAsia="仿宋_GB2312"/>
                <w:sz w:val="24"/>
                <w:b/>
              </w:rPr>
              <w:t>四</w:t>
            </w:r>
            <w:r>
              <w:rPr>
                <w:rFonts w:ascii="仿宋_GB2312" w:hAnsi="仿宋_GB2312" w:cs="仿宋_GB2312" w:eastAsia="仿宋_GB2312"/>
                <w:sz w:val="24"/>
                <w:b/>
              </w:rPr>
              <w:t>、设备处理及人员安置要求</w:t>
            </w:r>
          </w:p>
          <w:p>
            <w:pPr>
              <w:pStyle w:val="null3"/>
              <w:ind w:firstLine="482"/>
              <w:jc w:val="both"/>
            </w:pPr>
            <w:r>
              <w:rPr>
                <w:rFonts w:ascii="仿宋_GB2312" w:hAnsi="仿宋_GB2312" w:cs="仿宋_GB2312" w:eastAsia="仿宋_GB2312"/>
                <w:sz w:val="24"/>
                <w:b/>
              </w:rPr>
              <w:t>1.设备处理要求</w:t>
            </w:r>
          </w:p>
          <w:p>
            <w:pPr>
              <w:pStyle w:val="null3"/>
              <w:ind w:firstLine="480"/>
              <w:jc w:val="both"/>
            </w:pPr>
            <w:r>
              <w:rPr>
                <w:rFonts w:ascii="仿宋_GB2312" w:hAnsi="仿宋_GB2312" w:cs="仿宋_GB2312" w:eastAsia="仿宋_GB2312"/>
                <w:sz w:val="24"/>
              </w:rPr>
              <w:t>将县环卫中心原手续合法齐全的环卫设备（见最低设备配备表）转租中标企业管理和使用</w:t>
            </w:r>
            <w:r>
              <w:rPr>
                <w:rFonts w:ascii="仿宋_GB2312" w:hAnsi="仿宋_GB2312" w:cs="仿宋_GB2312" w:eastAsia="仿宋_GB2312"/>
                <w:sz w:val="24"/>
              </w:rPr>
              <w:t>,由中标企业缴纳租金（原有环卫设备租金参考2022-2025租赁费用,40万每年）。（如后续环卫设备有调整，经专业评估机构评估后，中标人服务费及租金可适当调整）</w:t>
            </w:r>
          </w:p>
          <w:p>
            <w:pPr>
              <w:pStyle w:val="null3"/>
              <w:ind w:firstLine="482"/>
              <w:jc w:val="both"/>
            </w:pPr>
            <w:r>
              <w:rPr>
                <w:rFonts w:ascii="仿宋_GB2312" w:hAnsi="仿宋_GB2312" w:cs="仿宋_GB2312" w:eastAsia="仿宋_GB2312"/>
                <w:sz w:val="24"/>
                <w:b/>
              </w:rPr>
              <w:t>2.人员安置及配备要求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1）中标企业应接收原环卫临聘人员。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2）在保证人员平稳过渡的基础上制定积极稳妥的人员转移安置接收方案，所接收人员三个月内不允许无故辞退、解雇（自愿离职除外），中标单位在招录环卫工作人员时，须优先考虑当地人员。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为满足合阳县环卫作业要求，中标单位应根据道路实际状况及作业要求配备充足的环卫工人、为全部环卫车辆配备专职司机，全部人员工资待遇应不低于合阳县最低工资标准，中标单位需为所有符合政策的环卫工人办理相关保险，至少包含工伤保险和养老保险。</w:t>
            </w:r>
          </w:p>
          <w:p>
            <w:pPr>
              <w:pStyle w:val="null3"/>
              <w:ind w:firstLine="482"/>
              <w:jc w:val="both"/>
            </w:pPr>
            <w:r>
              <w:rPr>
                <w:rFonts w:ascii="仿宋_GB2312" w:hAnsi="仿宋_GB2312" w:cs="仿宋_GB2312" w:eastAsia="仿宋_GB2312"/>
                <w:sz w:val="24"/>
                <w:b/>
              </w:rPr>
              <w:t>3、其它要求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.中标企业在合阳设立分公司或全资子公司全权负责运营该项目，采购人按月支付中标企业分公司或全资子公司服务费用。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2）.中标企业每周向采购人报送工作计划，以及完成计划需要的人、物、设备和其它费用使用情况，由采购人监督实施。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3）.采购人对本次招标的服务项目每月组织不定期检查，检查标准和检查方法按《合阳县环境卫生作业考核标准实施办法》进行。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4）.中标人必须随时接受采购人以及其它相关部门的监督、检查和指导，必须服从采购人组织的阶段性、突击性任务及迎检活动，按时、按标准、按要求完成所分配的工作。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合同期间，中标人必须根据承包合同中的各项条款履行各项职责，如发现中标人因组织措施不当、计划不落实、管理不严，所雇人员数量不足、设备维护不当，导致投标项目的服务质量达不到规定标准的，情况严重、屡教不改的，采购人有权视情况按合同作出严格的经济处罚或做出终止合同的决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中标人必须落实安全生产和安全防火措施，中标人应按采购人的要求，自行解决安全作业问题。中标人在进行作业时，必须认真负责，严格安全作业操作，如发生任何安全事故，中标人负责安全事故处理及由此产生的一切经济和法律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中标人应严格遵守国家法律、法规和地方政府的有关规定，不得违反国家法律、法规的规定。如中标人员工有任何违法乱纪行为，中标人承担一切经济责任和法律责任，采购人有权视情况作出适当的处罚或做出终止合同的决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8）.在合同期内，因城市建设发展，采购人管理需要调整中标人的工作量时，中标人要服从大局，采购人可相应减少或增加承包经费，经费增减标准按承包款增减办法计算。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9）.中标人必须服从采购人组织的全民清洁活动及其他突击性的工作任务，按时、按标准、按要求完成采购人所分配的工作。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10）.中标人应配合采购人做好环境卫生知识及法律法规的宣传、监督工作，教育市民遵守有关城市环境卫生管理规定。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11）.严禁分包及转包，如发现中标人擅自分包或转包，合同自动中止失效。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树立良好的职业道德，确保项目作业在安全文明的状态下实施，中标人法人代表是该承包项目的第一安全责任人，对项目实施过程的安全生产工作负全部的经济和法律责任。要经常对员工开展安全生产的教育和岗前培训工作，制定员工安全作业守则，并报采购人备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13）.在每年节假日及重要活动，中标人要按应急机制加强保洁工作的安排。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在作业时间内中标人要按招标文件规定及投标文件承诺配足工作人员实施现场作业，优先录用甲方现有保洁人员，并派足够的专职管理人员进行现场监督管理，每天负责检查监督承包范围内各项工作任务完成情况并做好记录工作，发现有不符合标准要求的要及时进行自我整改，各承包管理人员必须配备移动通信工具及轻便机动车以确保工作高效落实。</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15）.中标人要按招标文件规定及投标文件承诺的标准自行配足作业工具及相关机械设备实施现场作业，作业工具的管理及停放由中标人自行负责，作业工具的放置不能影响市容市貌。有工具房的路段，工具应放在工具房内，保持工具房整洁，对工具房外墙的乱张贴、乱涂画应及时清洗。无工具房的路段，不得将工具摆放在人行道上，要将工具存放在隐蔽位置，并摆放整齐，不得影响观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16）.中标人必须按时参加采购人组织的有关工作会议和检查活动。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17）.中标人要建立强力有效的应急管理机制，成立处理应急工作的队伍和配备必要的应急工具设备。出现应急工作时，应急队伍必须在30分钟内到达现场按采购人的要求实施应急处置工作。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18）.采购人和中标人双方所有文书来往，一律不能用手写字体，必须全部用电脑打印（法定代表人或委托代表人签字除外），并加盖公章。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19）.中标方在签订合同后40天内要保证环卫专业作业设备全部到位，同时在承包项目范围附近设立固定的办公场地及停车场地，配备常驻管理人员。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20）.中标方必须制定切实可行的人员和设备接受安置方案，按照有关法律法规规定，落实相关移交人员的工资待遇及缴纳各项保险，落实福利待遇，确保人员和设备平稳交接。按照第三方评估价格收购或租赁环卫部门现有环卫设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21）.招标相关费用由中标方承担。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22）.项目服务完成后，所有固定资产（车辆除外）的残值归采购人所有。</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、人员及设备配备表</w:t>
            </w:r>
          </w:p>
          <w:p>
            <w:pPr>
              <w:pStyle w:val="null3"/>
              <w:ind w:firstLine="480"/>
              <w:jc w:val="both"/>
            </w:pPr>
            <w:r>
              <w:rPr>
                <w:rFonts w:ascii="仿宋_GB2312" w:hAnsi="仿宋_GB2312" w:cs="仿宋_GB2312" w:eastAsia="仿宋_GB2312"/>
                <w:sz w:val="24"/>
              </w:rPr>
              <w:t>若投标人的人员及设备配置低于最低人员配备表及最低设备配备表，按无效标处理。</w:t>
            </w:r>
          </w:p>
          <w:p>
            <w:pPr>
              <w:pStyle w:val="null3"/>
              <w:jc w:val="center"/>
            </w:pPr>
            <w:r>
              <w:rPr>
                <w:rFonts w:ascii="仿宋_GB2312" w:hAnsi="仿宋_GB2312" w:cs="仿宋_GB2312" w:eastAsia="仿宋_GB2312"/>
                <w:sz w:val="24"/>
                <w:b/>
              </w:rPr>
              <w:t>最低人员配备表</w:t>
            </w:r>
          </w:p>
          <w:tbl>
            <w:tblPr>
              <w:tblInd w:type="dxa" w:w="90"/>
              <w:tblBorders>
                <w:top w:val="none" w:color="000000" w:sz="4"/>
                <w:left w:val="none" w:color="000000" w:sz="4"/>
                <w:bottom w:val="none" w:color="000000" w:sz="4"/>
                <w:right w:val="none" w:color="000000" w:sz="4"/>
                <w:insideH w:val="none"/>
                <w:insideV w:val="none"/>
              </w:tblBorders>
            </w:tblPr>
            <w:tblGrid>
              <w:gridCol w:w="293"/>
              <w:gridCol w:w="802"/>
              <w:gridCol w:w="572"/>
              <w:gridCol w:w="683"/>
            </w:tblGrid>
            <w:tr>
              <w:tc>
                <w:tcPr>
                  <w:tcW w:type="dxa" w:w="2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80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工作内容</w:t>
                  </w:r>
                </w:p>
              </w:tc>
              <w:tc>
                <w:tcPr>
                  <w:tcW w:type="dxa" w:w="57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工作</w:t>
                  </w:r>
                </w:p>
                <w:p>
                  <w:pPr>
                    <w:pStyle w:val="null3"/>
                    <w:jc w:val="center"/>
                  </w:pPr>
                  <w:r>
                    <w:rPr>
                      <w:rFonts w:ascii="仿宋_GB2312" w:hAnsi="仿宋_GB2312" w:cs="仿宋_GB2312" w:eastAsia="仿宋_GB2312"/>
                      <w:sz w:val="21"/>
                    </w:rPr>
                    <w:t>岗位</w:t>
                  </w:r>
                </w:p>
              </w:tc>
              <w:tc>
                <w:tcPr>
                  <w:tcW w:type="dxa" w:w="68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人数</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管理人员</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项目经理</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管理人员</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项目副经理</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管理人员</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车队长</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管理人员</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财务</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管理人员</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内勤</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主次干道清扫保洁</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督察员</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主次干道清扫保洁</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保洁组长</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13</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主次干道清扫保洁</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保洁员</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290</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主次干道清扫保洁</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驾驶员</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主次干道清扫保洁</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小型车驾驶员</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背街小巷清扫保洁</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保洁员</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公厕管理</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公厕保洁员</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维修人员</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设施维修工</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绿化修剪</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绿化工</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35</w:t>
                  </w:r>
                  <w:r>
                    <w:rPr>
                      <w:rFonts w:ascii="仿宋_GB2312" w:hAnsi="仿宋_GB2312" w:cs="仿宋_GB2312" w:eastAsia="仿宋_GB2312"/>
                      <w:sz w:val="21"/>
                    </w:rPr>
                    <w:t>人</w:t>
                  </w:r>
                </w:p>
              </w:tc>
            </w:tr>
            <w:tr>
              <w:tc>
                <w:tcPr>
                  <w:tcW w:type="dxa" w:w="2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5</w:t>
                  </w:r>
                </w:p>
              </w:tc>
              <w:tc>
                <w:tcPr>
                  <w:tcW w:type="dxa" w:w="80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生活垃圾收转运</w:t>
                  </w:r>
                </w:p>
              </w:tc>
              <w:tc>
                <w:tcPr>
                  <w:tcW w:type="dxa" w:w="5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驾驶员</w:t>
                  </w:r>
                </w:p>
              </w:tc>
              <w:tc>
                <w:tcPr>
                  <w:tcW w:type="dxa" w:w="68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24</w:t>
                  </w:r>
                  <w:r>
                    <w:rPr>
                      <w:rFonts w:ascii="仿宋_GB2312" w:hAnsi="仿宋_GB2312" w:cs="仿宋_GB2312" w:eastAsia="仿宋_GB2312"/>
                      <w:sz w:val="21"/>
                    </w:rPr>
                    <w:t>人</w:t>
                  </w:r>
                </w:p>
              </w:tc>
            </w:tr>
          </w:tbl>
          <w:p>
            <w:pPr>
              <w:pStyle w:val="null3"/>
              <w:jc w:val="center"/>
            </w:pPr>
            <w:r>
              <w:rPr>
                <w:rFonts w:ascii="仿宋_GB2312" w:hAnsi="仿宋_GB2312" w:cs="仿宋_GB2312" w:eastAsia="仿宋_GB2312"/>
                <w:sz w:val="24"/>
                <w:b/>
              </w:rPr>
              <w:t>最低设备</w:t>
            </w:r>
            <w:r>
              <w:rPr>
                <w:rFonts w:ascii="仿宋_GB2312" w:hAnsi="仿宋_GB2312" w:cs="仿宋_GB2312" w:eastAsia="仿宋_GB2312"/>
                <w:sz w:val="24"/>
                <w:b/>
              </w:rPr>
              <w:t>配备表</w:t>
            </w:r>
          </w:p>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59"/>
              <w:gridCol w:w="459"/>
              <w:gridCol w:w="311"/>
              <w:gridCol w:w="415"/>
              <w:gridCol w:w="280"/>
              <w:gridCol w:w="211"/>
              <w:gridCol w:w="359"/>
              <w:gridCol w:w="359"/>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设备名称</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车辆类型</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总数量</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环卫中心租赁</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需供应商投入</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洗扫车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≥8T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洗扫车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≥16T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干式扫路车</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≥7T</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电动小型扫地车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清扫宽度</w:t>
                  </w:r>
                  <w:r>
                    <w:rPr>
                      <w:rFonts w:ascii="仿宋_GB2312" w:hAnsi="仿宋_GB2312" w:cs="仿宋_GB2312" w:eastAsia="仿宋_GB2312"/>
                      <w:sz w:val="21"/>
                    </w:rPr>
                    <w:t>≥1.8m</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低压清洗车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≥7T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低压清洗车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≥18T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高压清洗车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≥18T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抑尘车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≥16T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路面养护车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≥3T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电动清洗车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水箱容积</w:t>
                  </w:r>
                  <w:r>
                    <w:rPr>
                      <w:rFonts w:ascii="仿宋_GB2312" w:hAnsi="仿宋_GB2312" w:cs="仿宋_GB2312" w:eastAsia="仿宋_GB2312"/>
                      <w:sz w:val="21"/>
                    </w:rPr>
                    <w:t>≥500L</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压缩车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垃圾收运类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≥8T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压缩车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垃圾收运类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≥16T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垃圾收集车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垃圾收运类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≥3T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车厢可卸式垃圾车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垃圾收运类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≥4T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排水抢险车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市政类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5000立方/小时</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吸污车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市政类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≥8T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除雪车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除雪类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≥16T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雪滚</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除雪类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雪铲</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除雪类</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撒布机</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除雪类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电动快速保洁车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工具类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巡查车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工具类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电动两轮巡查车</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工具类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保洁员工具椅</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设施类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铁质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垃圾桶</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设施类</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容积</w:t>
                  </w:r>
                  <w:r>
                    <w:rPr>
                      <w:rFonts w:ascii="仿宋_GB2312" w:hAnsi="仿宋_GB2312" w:cs="仿宋_GB2312" w:eastAsia="仿宋_GB2312"/>
                      <w:sz w:val="21"/>
                    </w:rPr>
                    <w:t>240L/660L</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塑料</w:t>
                  </w:r>
                  <w:r>
                    <w:rPr>
                      <w:rFonts w:ascii="仿宋_GB2312" w:hAnsi="仿宋_GB2312" w:cs="仿宋_GB2312" w:eastAsia="仿宋_GB2312"/>
                      <w:sz w:val="21"/>
                    </w:rPr>
                    <w:t>/铁质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p>
              </w:tc>
            </w:tr>
            <w:tr>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三分类果皮箱</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设施类</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铁质</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580</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580</w:t>
                  </w:r>
                </w:p>
              </w:tc>
            </w:tr>
            <w:tr>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餐厨垃圾收集车</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垃圾收运类</w:t>
                  </w:r>
                </w:p>
              </w:tc>
              <w:tc>
                <w:tcPr>
                  <w:tcW w:type="dxa" w:w="4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总质量</w:t>
                  </w:r>
                  <w:r>
                    <w:rPr>
                      <w:rFonts w:ascii="仿宋_GB2312" w:hAnsi="仿宋_GB2312" w:cs="仿宋_GB2312" w:eastAsia="仿宋_GB2312"/>
                      <w:sz w:val="21"/>
                    </w:rPr>
                    <w:t>≥10T</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燃油</w:t>
                  </w: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 3.2.2 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 3.2.2 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合同一年一签，履行期限不超过3年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年度服务费用按月付款，详见合同支付条款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本项目付款方式详见合同， 服务标准：符合行业规范，满足采购人需求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是法人的，提供近三年（2022-2024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提供2025年9月1日以来任意一个月税收缴纳证明（至少包含增值税或企业所得税其中一种），依法免税的单位应提供相关证明材料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提供2025年9月1日以来任意一个月的社会保障资金缴存单据或社保机构开具的社会保险参保缴费情况证明，依法不需要缴纳社会保障资金的单位应提供相关证明材料；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法定代表人授权委托书（法定代表人身份证明）</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复印件件，（法定代表人（单位负责人）直接参加只须提供法定代表人（单位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服务的主营业务成本（应根据投标人企业类型予以区别）、税金及附加、人工成本、设备成本、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投标函、开标一览表、标的清单、法定代表人授权委托书符合签字盖章要求</w:t>
            </w:r>
          </w:p>
        </w:tc>
        <w:tc>
          <w:tcPr>
            <w:tcW w:type="dxa" w:w="1661"/>
          </w:tcPr>
          <w:p>
            <w:pPr>
              <w:pStyle w:val="null3"/>
            </w:pPr>
            <w:r>
              <w:rPr>
                <w:rFonts w:ascii="仿宋_GB2312" w:hAnsi="仿宋_GB2312" w:cs="仿宋_GB2312" w:eastAsia="仿宋_GB2312"/>
              </w:rPr>
              <w:t>开标一览表 投标函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（2）开标一览表填写符合要求； （3）未超出招标文件规定的最高限价。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要求服务内容及服务要求、商务要求条款全部响应，不能有招标人不能接受的附加条件。</w:t>
            </w:r>
          </w:p>
        </w:tc>
        <w:tc>
          <w:tcPr>
            <w:tcW w:type="dxa" w:w="1661"/>
          </w:tcPr>
          <w:p>
            <w:pPr>
              <w:pStyle w:val="null3"/>
            </w:pPr>
            <w:r>
              <w:rPr>
                <w:rFonts w:ascii="仿宋_GB2312" w:hAnsi="仿宋_GB2312" w:cs="仿宋_GB2312" w:eastAsia="仿宋_GB2312"/>
              </w:rPr>
              <w:t>服务内容及服务邀请应答表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 不能有招标人不能接受的附加条件。</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项目实施方案1</w:t>
            </w:r>
          </w:p>
        </w:tc>
        <w:tc>
          <w:tcPr>
            <w:tcW w:type="dxa" w:w="2492"/>
          </w:tcPr>
          <w:p>
            <w:pPr>
              <w:pStyle w:val="null3"/>
            </w:pPr>
            <w:r>
              <w:rPr>
                <w:rFonts w:ascii="仿宋_GB2312" w:hAnsi="仿宋_GB2312" w:cs="仿宋_GB2312" w:eastAsia="仿宋_GB2312"/>
              </w:rPr>
              <w:t>1.人员配备充足、合理。从公司架构合理度、人员充足性等角度评分。满分3分。 （具体赋分办法见项目实施方案11中的“项目实施方案赋分说明”）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项目实施方案2</w:t>
            </w:r>
          </w:p>
        </w:tc>
        <w:tc>
          <w:tcPr>
            <w:tcW w:type="dxa" w:w="2492"/>
          </w:tcPr>
          <w:p>
            <w:pPr>
              <w:pStyle w:val="null3"/>
            </w:pPr>
            <w:r>
              <w:rPr>
                <w:rFonts w:ascii="仿宋_GB2312" w:hAnsi="仿宋_GB2312" w:cs="仿宋_GB2312" w:eastAsia="仿宋_GB2312"/>
              </w:rPr>
              <w:t>2. 车辆配备满足作业要求且配备合理。从车辆配备的合理度、充足性等角度评分。满分3分。（具体赋分办法见项目实施方案11中的“项目实施方案赋分说明”）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项目实施方案3</w:t>
            </w:r>
          </w:p>
        </w:tc>
        <w:tc>
          <w:tcPr>
            <w:tcW w:type="dxa" w:w="2492"/>
          </w:tcPr>
          <w:p>
            <w:pPr>
              <w:pStyle w:val="null3"/>
            </w:pPr>
            <w:r>
              <w:rPr>
                <w:rFonts w:ascii="仿宋_GB2312" w:hAnsi="仿宋_GB2312" w:cs="仿宋_GB2312" w:eastAsia="仿宋_GB2312"/>
              </w:rPr>
              <w:t>3. 人员培训方案。从内容详实度、覆盖度、可落实度等角度评分。满分3分。（具体赋分办法见项目实施方案11中的“项目实施方案赋分说明”）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项目实施方案4</w:t>
            </w:r>
          </w:p>
        </w:tc>
        <w:tc>
          <w:tcPr>
            <w:tcW w:type="dxa" w:w="2492"/>
          </w:tcPr>
          <w:p>
            <w:pPr>
              <w:pStyle w:val="null3"/>
            </w:pPr>
            <w:r>
              <w:rPr>
                <w:rFonts w:ascii="仿宋_GB2312" w:hAnsi="仿宋_GB2312" w:cs="仿宋_GB2312" w:eastAsia="仿宋_GB2312"/>
              </w:rPr>
              <w:t>4. 环卫作业实施方案，从方案合理、详实、可落实等角度评分： ① 道路清扫保洁作业方案，满分3分； ② 公厕管理作业方案，满分3分； ③ 垃圾收运作业管理，满分3分； ④ 绿化带作业管理，满分3分； ⑤ 扬尘污染管理，满分3分。（具体赋分办法见项目实施方案11中的“项目实施方案赋分说明”）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项目实施方案5</w:t>
            </w:r>
          </w:p>
        </w:tc>
        <w:tc>
          <w:tcPr>
            <w:tcW w:type="dxa" w:w="2492"/>
          </w:tcPr>
          <w:p>
            <w:pPr>
              <w:pStyle w:val="null3"/>
            </w:pPr>
            <w:r>
              <w:rPr>
                <w:rFonts w:ascii="仿宋_GB2312" w:hAnsi="仿宋_GB2312" w:cs="仿宋_GB2312" w:eastAsia="仿宋_GB2312"/>
              </w:rPr>
              <w:t>5. 内部管理流程全面。从内容全面程度、可落实度、优化度、详尽程度等角度评分。满分3分。（具体赋分办法见项目实施方案11中的“项目实施方案赋分说明”）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项目实施方案6</w:t>
            </w:r>
          </w:p>
        </w:tc>
        <w:tc>
          <w:tcPr>
            <w:tcW w:type="dxa" w:w="2492"/>
          </w:tcPr>
          <w:p>
            <w:pPr>
              <w:pStyle w:val="null3"/>
            </w:pPr>
            <w:r>
              <w:rPr>
                <w:rFonts w:ascii="仿宋_GB2312" w:hAnsi="仿宋_GB2312" w:cs="仿宋_GB2312" w:eastAsia="仿宋_GB2312"/>
              </w:rPr>
              <w:t>6. 员工保险及社会福利保障方案。从覆盖度、可落实度等角度评分。满分5分。（具体赋分办法见项目实施方案11中的“项目实施方案赋分说明”）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项目实施方案7</w:t>
            </w:r>
          </w:p>
        </w:tc>
        <w:tc>
          <w:tcPr>
            <w:tcW w:type="dxa" w:w="2492"/>
          </w:tcPr>
          <w:p>
            <w:pPr>
              <w:pStyle w:val="null3"/>
            </w:pPr>
            <w:r>
              <w:rPr>
                <w:rFonts w:ascii="仿宋_GB2312" w:hAnsi="仿宋_GB2312" w:cs="仿宋_GB2312" w:eastAsia="仿宋_GB2312"/>
              </w:rPr>
              <w:t>7. 安全生产保证措施。从措施可落实、全面性、专业性等角度评分。满分5分。（具体赋分办法见项目实施方案11中的“项目实施方案赋分说明”）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项目实施方案8</w:t>
            </w:r>
          </w:p>
        </w:tc>
        <w:tc>
          <w:tcPr>
            <w:tcW w:type="dxa" w:w="2492"/>
          </w:tcPr>
          <w:p>
            <w:pPr>
              <w:pStyle w:val="null3"/>
            </w:pPr>
            <w:r>
              <w:rPr>
                <w:rFonts w:ascii="仿宋_GB2312" w:hAnsi="仿宋_GB2312" w:cs="仿宋_GB2312" w:eastAsia="仿宋_GB2312"/>
              </w:rPr>
              <w:t>8. 质量保证措施。从措施可操作、全面性等角度评分。满分3分。（具体赋分办法见项目实施方案11中的“项目实施方案赋分说明”）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项目实施方案9</w:t>
            </w:r>
          </w:p>
        </w:tc>
        <w:tc>
          <w:tcPr>
            <w:tcW w:type="dxa" w:w="2492"/>
          </w:tcPr>
          <w:p>
            <w:pPr>
              <w:pStyle w:val="null3"/>
            </w:pPr>
            <w:r>
              <w:rPr>
                <w:rFonts w:ascii="仿宋_GB2312" w:hAnsi="仿宋_GB2312" w:cs="仿宋_GB2312" w:eastAsia="仿宋_GB2312"/>
              </w:rPr>
              <w:t>9.合同期交接起始期及合同终止期时配合业主工作的方案。从措施可落实、全面性等角度评分。满分3分。（具体赋分办法见项目实施方案11中的“项目实施方案赋分说明”）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项目实施方案10</w:t>
            </w:r>
          </w:p>
        </w:tc>
        <w:tc>
          <w:tcPr>
            <w:tcW w:type="dxa" w:w="2492"/>
          </w:tcPr>
          <w:p>
            <w:pPr>
              <w:pStyle w:val="null3"/>
            </w:pPr>
            <w:r>
              <w:rPr>
                <w:rFonts w:ascii="仿宋_GB2312" w:hAnsi="仿宋_GB2312" w:cs="仿宋_GB2312" w:eastAsia="仿宋_GB2312"/>
              </w:rPr>
              <w:t>10.项目现状分析及合理化建议。从合理化建议与实际贴合度、可行度、创新性角度给予评分。满分3分。（具体赋分办法见项目实施方案11中的“项目实施方案赋分说明”）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项目实施方案11</w:t>
            </w:r>
          </w:p>
        </w:tc>
        <w:tc>
          <w:tcPr>
            <w:tcW w:type="dxa" w:w="2492"/>
          </w:tcPr>
          <w:p>
            <w:pPr>
              <w:pStyle w:val="null3"/>
            </w:pPr>
            <w:r>
              <w:rPr>
                <w:rFonts w:ascii="仿宋_GB2312" w:hAnsi="仿宋_GB2312" w:cs="仿宋_GB2312" w:eastAsia="仿宋_GB2312"/>
              </w:rPr>
              <w:t>11.应急预案措施。从应急预案措施全面可落实、方案详尽、可操作性等角度评分： ①重大节假日应急预案，满分3分； ②暴雨、大风大雪等极端天气应急预案，满分3分； ③道路抛洒应急预案，满分3分。 项目实施方案赋分说明：投标人应根据本项目的采购需求并结合自身经验提供本项目的实施方案，根据以上评审因素进行综合评审，上述所有方案完全满足项目需求的得55分，每有一项内容缺项或漏项扣减本项分值，每项内容中每有一处的内容存在不足或缺陷的，扣1分，本项扣完为止。 注：1、内容满足需求是指：①内容与项目服务需求吻合，有具体详细的阐述；②阐述从实际出发，切合项目背景、项目需求并提出专业技术建议或者解决方案；③内容符合国家、地方、行业标准、行业惯例以及项目特点；④内容全面完整、方案合理翔实、专业性强、可实施操作性强、针对本项目制定、利于目标实现。 2、①不足具体是指：内容缺失（不完整），缺少关键执行点，实施操作性不强、不利于目标实现。 ②缺陷具体是指：非专门针对本项目或不适用本项目实施、套用其他项目内容、出现前后描述矛盾。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1.现有可回购作业车辆的接收承诺。 2.现有作业人员的接收承诺。 3.合法用工的承诺。 4.质量、安全生产的承诺。 5.中标后在合阳县设立分公司或全资子公司全权负责运营该项目的承诺。 以上每项有承诺得1分，无承诺0分。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1、投标人具有有效的ISO9001:2015质量管理体系认证、ISO14001:2015环境管理体系认证、ISO45001:2018职业健康安全管理体系认证证书（认证范围需包含：道路清扫保洁、垃圾收集转运相关服务内容），每有一个认证证书得1分，满分3分。 2、投标人具有有效的GB/T31950-2023企业诚信管理体系认证证书、GB/T39604-2020社会责任管理体系认证证书、垃圾分类能力服务认证证书，每个得1分，满分3分。 注：第1-2项投标文件中提供的证书复印件为评审依据，并加盖投标人公章。 3、担任本项目的项目经理同时具有本科及以上学历、相关专业高级及以上职称证书，得3分，缺一不得分，满分3分。 4、除项目经理外，拟配备的管理团队成员中具有相关专业高级及以上职称的，每提供1个得1分，满分3分。 5、担任本项目的专职安全负责人具有行政主管部门颁发的注册安全工程师执业证书且注册到本单位的得4分，没有不得分。 6、本项目的行政管理人员同时具备本科及以上学历、一级人力资源管理师证书和一级劳动关系协调师证书的得4分，缺一不得分。 注：第3项至第6项须提供相应证书及投标人近3个月为其缴纳的社保证明材料，否则不得分。 7、业绩：提供2022年1月1日起至今正在进行或已完成的环卫服务项目的类似业绩，每个业绩得1分，最高得5分。 注：第7项须提供中标通知书或项目合同复印件等证明资料，证明资料中的服务内容需包含清扫保洁，否则不予认可。</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1.经初审合格的投标文件，其投标报价为有效投标报价。并对有效投标报价进行政策性扣减，并依据扣减后的价格（评审价格）进行价格评审。 2.有效最低评审价格得15分。 3.按（有效最低投标报价/有效投标报价）×15的公式计算其得分。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