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版本号：JZZB-【2026】-4720260824001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西安人防金龙峡疏散基地项目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JZZB-【2026】-47</w:t>
      </w:r>
      <w:r>
        <w:br/>
      </w:r>
      <w:r>
        <w:br/>
      </w:r>
      <w:r>
        <w:br/>
      </w:r>
    </w:p>
    <w:p>
      <w:pPr>
        <w:pStyle w:val="null3"/>
        <w:jc w:val="center"/>
        <w:outlineLvl w:val="2"/>
      </w:pPr>
      <w:r>
        <w:rPr>
          <w:rFonts w:ascii="仿宋_GB2312" w:hAnsi="仿宋_GB2312" w:cs="仿宋_GB2312" w:eastAsia="仿宋_GB2312"/>
          <w:sz w:val="28"/>
          <w:b/>
        </w:rPr>
        <w:t>西安市鄠邑区发展和改革委员会</w:t>
      </w:r>
    </w:p>
    <w:p>
      <w:pPr>
        <w:pStyle w:val="null3"/>
        <w:jc w:val="center"/>
        <w:outlineLvl w:val="2"/>
      </w:pPr>
      <w:r>
        <w:rPr>
          <w:rFonts w:ascii="仿宋_GB2312" w:hAnsi="仿宋_GB2312" w:cs="仿宋_GB2312" w:eastAsia="仿宋_GB2312"/>
          <w:sz w:val="28"/>
          <w:b/>
        </w:rPr>
        <w:t>陕西金泽盛业项目管理有限公司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陕西金泽盛业项目管理有限公司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西安市鄠邑区发展和改革委员会</w:t>
      </w:r>
      <w:r>
        <w:rPr>
          <w:rFonts w:ascii="仿宋_GB2312" w:hAnsi="仿宋_GB2312" w:cs="仿宋_GB2312" w:eastAsia="仿宋_GB2312"/>
        </w:rPr>
        <w:t>委托，拟对</w:t>
      </w:r>
      <w:r>
        <w:rPr>
          <w:rFonts w:ascii="仿宋_GB2312" w:hAnsi="仿宋_GB2312" w:cs="仿宋_GB2312" w:eastAsia="仿宋_GB2312"/>
        </w:rPr>
        <w:t>西安人防金龙峡疏散基地项目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JZZB-【2026】-47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西安人防金龙峡疏散基地项目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西安市人防金龙峡疏散基地项目建设内容主要包括疏散应急指挥中心建设、疏散标识标牌及宣传栏的制作安装、疏散物资采购等。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采购包1（西安人防金龙峡疏散基地项目）：属于专门面向中小企业采购。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1、有效的主体资格证明：供应商为具有独立承担民事责任能力的法人、其他组织或自然人。并提供合法有效的营业执照(统一社会信用代码证)或自然人身份证明或其他合法证明文件。</w:t>
      </w:r>
    </w:p>
    <w:p>
      <w:pPr>
        <w:pStyle w:val="null3"/>
      </w:pPr>
      <w:r>
        <w:rPr>
          <w:rFonts w:ascii="仿宋_GB2312" w:hAnsi="仿宋_GB2312" w:cs="仿宋_GB2312" w:eastAsia="仿宋_GB2312"/>
        </w:rPr>
        <w:t>2、法定代表人授权书：被授权人参与磋商的，需提供法定代表人授权委托书及被授权人身份证扫描件;法定代表人直接参与磋商的，需提供法定代表人身份证明及法定代表人身份证扫描件。</w:t>
      </w:r>
    </w:p>
    <w:p>
      <w:pPr>
        <w:pStyle w:val="null3"/>
      </w:pPr>
      <w:r>
        <w:rPr>
          <w:rFonts w:ascii="仿宋_GB2312" w:hAnsi="仿宋_GB2312" w:cs="仿宋_GB2312" w:eastAsia="仿宋_GB2312"/>
        </w:rPr>
        <w:t>3、企业资质：供应商须具备国家建设行政主管部门核发的市政公用工程施工总承包三级(含三级)以上资质且具有有效的安全生产许可证。</w:t>
      </w:r>
    </w:p>
    <w:p>
      <w:pPr>
        <w:pStyle w:val="null3"/>
      </w:pPr>
      <w:r>
        <w:rPr>
          <w:rFonts w:ascii="仿宋_GB2312" w:hAnsi="仿宋_GB2312" w:cs="仿宋_GB2312" w:eastAsia="仿宋_GB2312"/>
        </w:rPr>
        <w:t>4、项目经理：拟派项目经理须具备市政公用工程专业二级注册建造师(含二级)以上资格及有效的安全生产考核合格证书(B类证)，且未担任其它在施建设工程的项目经理。</w:t>
      </w:r>
    </w:p>
    <w:p>
      <w:pPr>
        <w:pStyle w:val="null3"/>
      </w:pPr>
      <w:r>
        <w:rPr>
          <w:rFonts w:ascii="仿宋_GB2312" w:hAnsi="仿宋_GB2312" w:cs="仿宋_GB2312" w:eastAsia="仿宋_GB2312"/>
        </w:rPr>
        <w:t>5、税收缴纳证明：提供投标截止日前近一年内任意一个月的纳税证明或完税证明(任意税种)，依法免税的单位应提供相关证明材料</w:t>
      </w:r>
    </w:p>
    <w:p>
      <w:pPr>
        <w:pStyle w:val="null3"/>
      </w:pPr>
      <w:r>
        <w:rPr>
          <w:rFonts w:ascii="仿宋_GB2312" w:hAnsi="仿宋_GB2312" w:cs="仿宋_GB2312" w:eastAsia="仿宋_GB2312"/>
        </w:rPr>
        <w:t>6、社会保障资金缴纳证明：提供投标截止日前一年内已缴存的任意一个月的社会保障资金缴存单据或社保机构开具的社会保险参保缴费情况证明，依法不需要缴纳社会保障资金的单位应提供相关证明材料。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7、无重大违法记录的书面声明：供应商参加本次磋商前3年内，在经营活动中没有重大违法记录的书面声明。</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政府采购严重违法失信行为记录名单中被财政部门禁止参加政府采购活动的供应商；省外企业需在陕西建设网“陕西省建筑市场监管与诚信信息发布平台”可查询到企业基本信息。</w:t>
      </w:r>
    </w:p>
    <w:p>
      <w:pPr>
        <w:pStyle w:val="null3"/>
      </w:pPr>
      <w:r>
        <w:rPr>
          <w:rFonts w:ascii="仿宋_GB2312" w:hAnsi="仿宋_GB2312" w:cs="仿宋_GB2312" w:eastAsia="仿宋_GB2312"/>
        </w:rPr>
        <w:t>9、承诺函：供应商负责人为同一人或者存在控股、管理关系的不同单位，不得参加同一采购项目，提供承诺函。</w:t>
      </w:r>
    </w:p>
    <w:p>
      <w:pPr>
        <w:pStyle w:val="null3"/>
      </w:pPr>
      <w:r>
        <w:rPr>
          <w:rFonts w:ascii="仿宋_GB2312" w:hAnsi="仿宋_GB2312" w:cs="仿宋_GB2312" w:eastAsia="仿宋_GB2312"/>
        </w:rPr>
        <w:t>10、联合体投标：本项目不接受联合体投标，提供承诺函。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西安市鄠邑区发展和改革委员会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西安市鄠邑区甘亭街办人民路9号新农投大厦5楼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西安市鄠邑区发展和改革委员会经办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029-84832128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陕西金泽盛业项目管理有限公司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西安市经济技术开发区凤城五路123号秦创原软科中心A座20层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高翠翠、王闯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13109596903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招标代理服务收费管理暂行办法》的通知（计价格[2002]1980号）、国家发展改革委《关于降低部分建设项目收费标准规范收费行为等有关问题的通知》（发改价格[2011]534号）”规定收费标准收取。代理费不足8000元的，按8000元收取。 招标代理服务费收款账户信息： 招标代理机构开户名称：陕西金泽盛业项目管理有限公司 开户行名称：北京银行股份有限公司西安大明宫支行 账号：200000 430482 000331 80933 转账附言：项目名称+代理服务费 注：成交人支付招标代理服务费后，请将转账凭证、单位开票信息、发票收件人地址信息发至3030240844@qq.com，如有疑问，可致电13109596903。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西安市鄠邑区发展和改革委员会</w:t>
      </w:r>
      <w:r>
        <w:rPr>
          <w:rFonts w:ascii="仿宋_GB2312" w:hAnsi="仿宋_GB2312" w:cs="仿宋_GB2312" w:eastAsia="仿宋_GB2312"/>
        </w:rPr>
        <w:t>和</w:t>
      </w:r>
      <w:r>
        <w:rPr>
          <w:rFonts w:ascii="仿宋_GB2312" w:hAnsi="仿宋_GB2312" w:cs="仿宋_GB2312" w:eastAsia="仿宋_GB2312"/>
        </w:rPr>
        <w:t>陕西金泽盛业项目管理有限公司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西安市鄠邑区发展和改革委员会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陕西金泽盛业项目管理有限公司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西安市鄠邑区发展和改革委员会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陕西金泽盛业项目管理有限公司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联系电话：13109596903</w:t>
      </w:r>
    </w:p>
    <w:p>
      <w:pPr>
        <w:pStyle w:val="null3"/>
      </w:pPr>
      <w:r>
        <w:rPr>
          <w:rFonts w:ascii="仿宋_GB2312" w:hAnsi="仿宋_GB2312" w:cs="仿宋_GB2312" w:eastAsia="仿宋_GB2312"/>
        </w:rPr>
        <w:t>地址：西安市经济技术开发区凤城五路123号秦创原软科中心A座20层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544,728.15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建设安装</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其他未列明行业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标的名称：建设安装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ind w:left="420"/>
              <w:jc w:val="both"/>
            </w:pPr>
            <w:r>
              <w:rPr>
                <w:rFonts w:ascii="仿宋_GB2312" w:hAnsi="仿宋_GB2312" w:cs="仿宋_GB2312" w:eastAsia="仿宋_GB2312"/>
                <w:sz w:val="28"/>
                <w:b/>
              </w:rPr>
              <w:t>一、项目概况</w:t>
            </w:r>
          </w:p>
          <w:p>
            <w:pPr>
              <w:pStyle w:val="null3"/>
              <w:spacing w:before="315"/>
              <w:ind w:left="420"/>
              <w:jc w:val="both"/>
            </w:pPr>
            <w:r>
              <w:rPr>
                <w:rFonts w:ascii="仿宋_GB2312" w:hAnsi="仿宋_GB2312" w:cs="仿宋_GB2312" w:eastAsia="仿宋_GB2312"/>
                <w:sz w:val="21"/>
                <w:color w:val="000000"/>
              </w:rPr>
              <w:t>西安市人防金龙峡疏散基地项目建设内容</w:t>
            </w:r>
            <w:r>
              <w:rPr>
                <w:rFonts w:ascii="仿宋_GB2312" w:hAnsi="仿宋_GB2312" w:cs="仿宋_GB2312" w:eastAsia="仿宋_GB2312"/>
                <w:sz w:val="21"/>
                <w:color w:val="000000"/>
              </w:rPr>
              <w:t>主要</w:t>
            </w:r>
            <w:r>
              <w:rPr>
                <w:rFonts w:ascii="仿宋_GB2312" w:hAnsi="仿宋_GB2312" w:cs="仿宋_GB2312" w:eastAsia="仿宋_GB2312"/>
                <w:sz w:val="21"/>
                <w:color w:val="000000"/>
              </w:rPr>
              <w:t>包括疏散</w:t>
            </w:r>
            <w:r>
              <w:rPr>
                <w:rFonts w:ascii="仿宋_GB2312" w:hAnsi="仿宋_GB2312" w:cs="仿宋_GB2312" w:eastAsia="仿宋_GB2312"/>
                <w:sz w:val="21"/>
                <w:color w:val="000000"/>
              </w:rPr>
              <w:t>应急指挥中心</w:t>
            </w:r>
            <w:r>
              <w:rPr>
                <w:rFonts w:ascii="仿宋_GB2312" w:hAnsi="仿宋_GB2312" w:cs="仿宋_GB2312" w:eastAsia="仿宋_GB2312"/>
                <w:sz w:val="21"/>
                <w:color w:val="000000"/>
              </w:rPr>
              <w:t>建设</w:t>
            </w:r>
            <w:r>
              <w:rPr>
                <w:rFonts w:ascii="仿宋_GB2312" w:hAnsi="仿宋_GB2312" w:cs="仿宋_GB2312" w:eastAsia="仿宋_GB2312"/>
                <w:sz w:val="21"/>
                <w:color w:val="000000"/>
              </w:rPr>
              <w:t>、</w:t>
            </w:r>
            <w:r>
              <w:rPr>
                <w:rFonts w:ascii="仿宋_GB2312" w:hAnsi="仿宋_GB2312" w:cs="仿宋_GB2312" w:eastAsia="仿宋_GB2312"/>
                <w:sz w:val="21"/>
                <w:color w:val="000000"/>
              </w:rPr>
              <w:t>疏散标识标牌及宣传栏的制作安装、疏散物资采购等。</w:t>
            </w:r>
          </w:p>
          <w:p>
            <w:pPr>
              <w:pStyle w:val="null3"/>
              <w:spacing w:before="315"/>
              <w:ind w:left="420"/>
              <w:jc w:val="both"/>
            </w:pPr>
            <w:r>
              <w:rPr>
                <w:rFonts w:ascii="仿宋_GB2312" w:hAnsi="仿宋_GB2312" w:cs="仿宋_GB2312" w:eastAsia="仿宋_GB2312"/>
                <w:sz w:val="28"/>
                <w:b/>
              </w:rPr>
              <w:t>二、工程内容和施工地点、计划工期、缺陷责任期、质量保修期</w:t>
            </w:r>
          </w:p>
          <w:p>
            <w:pPr>
              <w:pStyle w:val="null3"/>
              <w:ind w:firstLine="480"/>
            </w:pPr>
            <w:r>
              <w:rPr>
                <w:rFonts w:ascii="仿宋_GB2312" w:hAnsi="仿宋_GB2312" w:cs="仿宋_GB2312" w:eastAsia="仿宋_GB2312"/>
                <w:sz w:val="21"/>
                <w:color w:val="000000"/>
              </w:rPr>
              <w:t>（一）工程内容：西安市人防金龙峡疏散基地的主要建设内容包括：应急指挥调度中心、应急医疗救护中心、应急避难人员集散场、应急避难人员安置中心、应急蓬宿区、应急物资调度场、应急物资发放区、应急物资储备中心、应急停车场、应急供水供电系统等。</w:t>
            </w:r>
          </w:p>
          <w:p>
            <w:pPr>
              <w:pStyle w:val="null3"/>
              <w:ind w:firstLine="480"/>
            </w:pPr>
            <w:r>
              <w:rPr>
                <w:rFonts w:ascii="仿宋_GB2312" w:hAnsi="仿宋_GB2312" w:cs="仿宋_GB2312" w:eastAsia="仿宋_GB2312"/>
                <w:sz w:val="21"/>
                <w:color w:val="000000"/>
              </w:rPr>
              <w:t>（二）工程地点：鄠邑区境内的金龙峡风景区。</w:t>
            </w:r>
          </w:p>
          <w:p>
            <w:pPr>
              <w:pStyle w:val="null3"/>
              <w:ind w:firstLine="480"/>
            </w:pPr>
            <w:r>
              <w:rPr>
                <w:rFonts w:ascii="仿宋_GB2312" w:hAnsi="仿宋_GB2312" w:cs="仿宋_GB2312" w:eastAsia="仿宋_GB2312"/>
                <w:sz w:val="21"/>
                <w:color w:val="000000"/>
              </w:rPr>
              <w:t>（三）</w:t>
            </w:r>
            <w:r>
              <w:rPr>
                <w:rFonts w:ascii="仿宋_GB2312" w:hAnsi="仿宋_GB2312" w:cs="仿宋_GB2312" w:eastAsia="仿宋_GB2312"/>
                <w:sz w:val="21"/>
                <w:color w:val="000000"/>
              </w:rPr>
              <w:t>计划工期：自合同签订日后60日历天。</w:t>
            </w:r>
          </w:p>
          <w:p>
            <w:pPr>
              <w:pStyle w:val="null3"/>
              <w:ind w:firstLine="480"/>
            </w:pPr>
            <w:r>
              <w:rPr>
                <w:rFonts w:ascii="仿宋_GB2312" w:hAnsi="仿宋_GB2312" w:cs="仿宋_GB2312" w:eastAsia="仿宋_GB2312"/>
                <w:sz w:val="21"/>
                <w:color w:val="000000"/>
              </w:rPr>
              <w:t>（四）缺陷责任期（与质保金的退还有关）：</w:t>
            </w:r>
            <w:r>
              <w:rPr>
                <w:rFonts w:ascii="仿宋_GB2312" w:hAnsi="仿宋_GB2312" w:cs="仿宋_GB2312" w:eastAsia="仿宋_GB2312"/>
                <w:sz w:val="21"/>
                <w:color w:val="000000"/>
              </w:rPr>
              <w:t>2年。</w:t>
            </w:r>
          </w:p>
          <w:p>
            <w:pPr>
              <w:pStyle w:val="null3"/>
              <w:ind w:firstLine="480"/>
            </w:pPr>
            <w:r>
              <w:rPr>
                <w:rFonts w:ascii="仿宋_GB2312" w:hAnsi="仿宋_GB2312" w:cs="仿宋_GB2312" w:eastAsia="仿宋_GB2312"/>
                <w:sz w:val="21"/>
                <w:color w:val="000000"/>
              </w:rPr>
              <w:t>（五）质量保修期（与质保金的退还无关）：按《建设工程质量管理条例》规定执行。</w:t>
            </w:r>
          </w:p>
          <w:p>
            <w:pPr>
              <w:pStyle w:val="null3"/>
              <w:spacing w:before="315"/>
              <w:ind w:left="420"/>
              <w:jc w:val="both"/>
            </w:pPr>
            <w:r>
              <w:rPr>
                <w:rFonts w:ascii="仿宋_GB2312" w:hAnsi="仿宋_GB2312" w:cs="仿宋_GB2312" w:eastAsia="仿宋_GB2312"/>
                <w:sz w:val="28"/>
                <w:b/>
              </w:rPr>
              <w:t>三、施工要求</w:t>
            </w:r>
          </w:p>
          <w:p>
            <w:pPr>
              <w:pStyle w:val="null3"/>
              <w:ind w:firstLine="480"/>
            </w:pPr>
            <w:r>
              <w:rPr>
                <w:rFonts w:ascii="仿宋_GB2312" w:hAnsi="仿宋_GB2312" w:cs="仿宋_GB2312" w:eastAsia="仿宋_GB2312"/>
                <w:sz w:val="21"/>
                <w:color w:val="000000"/>
              </w:rPr>
              <w:t>在施工期间，中标供应商必须注意人员安全，加强安全措施，并对施工人员进行安全教育。施工人员必须持证上岗。因采购人工作的特殊性，要求中标供应商在施工中做到封闭性施工。</w:t>
            </w:r>
          </w:p>
          <w:p>
            <w:pPr>
              <w:pStyle w:val="null3"/>
              <w:spacing w:before="315"/>
              <w:ind w:left="420"/>
              <w:jc w:val="both"/>
            </w:pPr>
            <w:r>
              <w:rPr>
                <w:rFonts w:ascii="仿宋_GB2312" w:hAnsi="仿宋_GB2312" w:cs="仿宋_GB2312" w:eastAsia="仿宋_GB2312"/>
                <w:sz w:val="28"/>
                <w:b/>
              </w:rPr>
              <w:t>四、</w:t>
            </w:r>
            <w:r>
              <w:rPr>
                <w:rFonts w:ascii="仿宋_GB2312" w:hAnsi="仿宋_GB2312" w:cs="仿宋_GB2312" w:eastAsia="仿宋_GB2312"/>
                <w:sz w:val="28"/>
                <w:b/>
              </w:rPr>
              <w:t>商务要求（如合同</w:t>
            </w:r>
            <w:r>
              <w:rPr>
                <w:rFonts w:ascii="仿宋_GB2312" w:hAnsi="仿宋_GB2312" w:cs="仿宋_GB2312" w:eastAsia="仿宋_GB2312"/>
                <w:sz w:val="28"/>
                <w:b/>
              </w:rPr>
              <w:t>价款及结算方式</w:t>
            </w:r>
            <w:r>
              <w:rPr>
                <w:rFonts w:ascii="仿宋_GB2312" w:hAnsi="仿宋_GB2312" w:cs="仿宋_GB2312" w:eastAsia="仿宋_GB2312"/>
                <w:sz w:val="28"/>
                <w:b/>
              </w:rPr>
              <w:t>等）</w:t>
            </w:r>
          </w:p>
          <w:p>
            <w:pPr>
              <w:pStyle w:val="null3"/>
              <w:ind w:firstLine="480"/>
            </w:pPr>
            <w:r>
              <w:rPr>
                <w:rFonts w:ascii="仿宋_GB2312" w:hAnsi="仿宋_GB2312" w:cs="仿宋_GB2312" w:eastAsia="仿宋_GB2312"/>
                <w:sz w:val="21"/>
                <w:color w:val="000000"/>
              </w:rPr>
              <w:t>1、款项结算：</w:t>
            </w:r>
          </w:p>
          <w:p>
            <w:pPr>
              <w:pStyle w:val="null3"/>
              <w:ind w:firstLine="480"/>
            </w:pPr>
            <w:r>
              <w:rPr>
                <w:rFonts w:ascii="仿宋_GB2312" w:hAnsi="仿宋_GB2312" w:cs="仿宋_GB2312" w:eastAsia="仿宋_GB2312"/>
                <w:sz w:val="21"/>
                <w:color w:val="000000"/>
              </w:rPr>
              <w:t>（</w:t>
            </w:r>
            <w:r>
              <w:rPr>
                <w:rFonts w:ascii="仿宋_GB2312" w:hAnsi="仿宋_GB2312" w:cs="仿宋_GB2312" w:eastAsia="仿宋_GB2312"/>
                <w:sz w:val="21"/>
                <w:color w:val="000000"/>
              </w:rPr>
              <w:t>1）合同签订后10个工作日内支付合同总价款30%作为预付款；</w:t>
            </w:r>
          </w:p>
          <w:p>
            <w:pPr>
              <w:pStyle w:val="null3"/>
              <w:ind w:firstLine="480"/>
            </w:pPr>
            <w:r>
              <w:rPr>
                <w:rFonts w:ascii="仿宋_GB2312" w:hAnsi="仿宋_GB2312" w:cs="仿宋_GB2312" w:eastAsia="仿宋_GB2312"/>
                <w:sz w:val="21"/>
                <w:color w:val="000000"/>
              </w:rPr>
              <w:t>（</w:t>
            </w:r>
            <w:r>
              <w:rPr>
                <w:rFonts w:ascii="仿宋_GB2312" w:hAnsi="仿宋_GB2312" w:cs="仿宋_GB2312" w:eastAsia="仿宋_GB2312"/>
                <w:sz w:val="21"/>
                <w:color w:val="000000"/>
              </w:rPr>
              <w:t>2）工程竣工、验收合格后15个工作日内支付合同总价款的67%；</w:t>
            </w:r>
          </w:p>
          <w:p>
            <w:pPr>
              <w:pStyle w:val="null3"/>
              <w:ind w:firstLine="480"/>
            </w:pPr>
            <w:r>
              <w:rPr>
                <w:rFonts w:ascii="仿宋_GB2312" w:hAnsi="仿宋_GB2312" w:cs="仿宋_GB2312" w:eastAsia="仿宋_GB2312"/>
                <w:sz w:val="21"/>
                <w:color w:val="000000"/>
              </w:rPr>
              <w:t>（</w:t>
            </w:r>
            <w:r>
              <w:rPr>
                <w:rFonts w:ascii="仿宋_GB2312" w:hAnsi="仿宋_GB2312" w:cs="仿宋_GB2312" w:eastAsia="仿宋_GB2312"/>
                <w:sz w:val="21"/>
                <w:color w:val="000000"/>
              </w:rPr>
              <w:t>3）留合同总价款3%的质保金，在缺陷责任期满后7个工作日内支付。</w:t>
            </w:r>
          </w:p>
          <w:p>
            <w:pPr>
              <w:pStyle w:val="null3"/>
              <w:spacing w:before="315"/>
              <w:ind w:left="420"/>
              <w:jc w:val="both"/>
            </w:pPr>
            <w:r>
              <w:rPr>
                <w:rFonts w:ascii="仿宋_GB2312" w:hAnsi="仿宋_GB2312" w:cs="仿宋_GB2312" w:eastAsia="仿宋_GB2312"/>
                <w:sz w:val="28"/>
                <w:b/>
              </w:rPr>
              <w:t>五、</w:t>
            </w:r>
            <w:r>
              <w:rPr>
                <w:rFonts w:ascii="仿宋_GB2312" w:hAnsi="仿宋_GB2312" w:cs="仿宋_GB2312" w:eastAsia="仿宋_GB2312"/>
                <w:sz w:val="28"/>
                <w:b/>
              </w:rPr>
              <w:t>其他</w:t>
            </w:r>
          </w:p>
          <w:p>
            <w:pPr>
              <w:pStyle w:val="null3"/>
              <w:ind w:firstLine="480"/>
            </w:pPr>
            <w:r>
              <w:rPr>
                <w:rFonts w:ascii="仿宋_GB2312" w:hAnsi="仿宋_GB2312" w:cs="仿宋_GB2312" w:eastAsia="仿宋_GB2312"/>
                <w:sz w:val="21"/>
                <w:color w:val="000000"/>
              </w:rPr>
              <w:t>（一）质量验收标准或规范</w:t>
            </w:r>
          </w:p>
          <w:p>
            <w:pPr>
              <w:pStyle w:val="null3"/>
              <w:ind w:firstLine="480"/>
            </w:pPr>
            <w:r>
              <w:rPr>
                <w:rFonts w:ascii="仿宋_GB2312" w:hAnsi="仿宋_GB2312" w:cs="仿宋_GB2312" w:eastAsia="仿宋_GB2312"/>
                <w:sz w:val="21"/>
                <w:color w:val="000000"/>
              </w:rPr>
              <w:t>1、符合现行的国家标准或国家行政部门颁布的法律法规、规章制度等，没有国家标准的，参考行业标准。</w:t>
            </w:r>
          </w:p>
          <w:p>
            <w:pPr>
              <w:pStyle w:val="null3"/>
              <w:ind w:firstLine="480"/>
            </w:pPr>
            <w:r>
              <w:rPr>
                <w:rFonts w:ascii="仿宋_GB2312" w:hAnsi="仿宋_GB2312" w:cs="仿宋_GB2312" w:eastAsia="仿宋_GB2312"/>
                <w:sz w:val="21"/>
                <w:color w:val="000000"/>
              </w:rPr>
              <w:t>2、要求符合国家《建筑工程施工质量验收统一标准》的合格标准。</w:t>
            </w:r>
          </w:p>
          <w:p>
            <w:pPr>
              <w:pStyle w:val="null3"/>
              <w:ind w:firstLine="480"/>
            </w:pPr>
            <w:r>
              <w:rPr>
                <w:rFonts w:ascii="仿宋_GB2312" w:hAnsi="仿宋_GB2312" w:cs="仿宋_GB2312" w:eastAsia="仿宋_GB2312"/>
                <w:sz w:val="21"/>
                <w:color w:val="000000"/>
              </w:rPr>
              <w:t>（二）违约责任</w:t>
            </w:r>
          </w:p>
          <w:p>
            <w:pPr>
              <w:pStyle w:val="null3"/>
              <w:ind w:firstLine="480"/>
            </w:pPr>
            <w:r>
              <w:rPr>
                <w:rFonts w:ascii="仿宋_GB2312" w:hAnsi="仿宋_GB2312" w:cs="仿宋_GB2312" w:eastAsia="仿宋_GB2312"/>
                <w:sz w:val="21"/>
                <w:color w:val="000000"/>
              </w:rPr>
              <w:t>依据《中华人民共和国民法典》及本项目采购人与成交供应商签订的合同中对于违约责任的约定执行。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1、符合现行的国家标准或国家行政部门颁布的法律法规、规章制度等，没有国家标准的，参考行业标准。 2、要求符合国家《建筑工程施工质量验收统一标准》的合格标准。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的财务审计报告（至少包括资产负债表、利润表（损益表）、现金流量表、所有者权益变动表及财务报表附注，成立时间至提交投标文件截止时间不足一年的可提供成立后任意时段的资产负债表）；或其开标前半年内基本存款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供应商为具有独立承担民事责任能力的法人、其他组织或自然人。并提供合法有效的营业执照(统一社会信用代码证)或自然人身份证明或其他合法证明文件。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被授权人参与磋商的，需提供法定代表人授权委托书及被授权人身份证扫描件;法定代表人直接参与磋商的，需提供法定代表人身份证明及法定代表人身份证扫描件。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供应商须具备国家建设行政主管部门核发的市政公用工程施工总承包三级(含三级)以上资质且具有有效的安全生产许可证。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拟派项目经理须具备市政公用工程专业二级注册建造师(含二级)以上资格及有效的安全生产考核合格证书(B类证)，且未担任其它在施建设工程的项目经理。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提供投标截止日前近一年内任意一个月的纳税证明或完税证明(任意税种)，依法免税的单位应提供相关证明材料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供应商参加本次磋商前3年内，在经营活动中没有重大违法记录的书面声明。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政府采购严重违法失信行为记录名单中被财政部门禁止参加政府采购活动的供应商；省外企业需在陕西建设网“陕西省建筑市场监管与诚信信息发布平台”可查询到企业基本信息。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供应商负责人为同一人或者存在控股、管理关系的不同单位，不得参加同一采购项目，提供承诺函。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文件签署盖章</w:t>
            </w:r>
          </w:p>
        </w:tc>
        <w:tc>
          <w:tcPr>
            <w:tcW w:type="dxa" w:w="3322"/>
          </w:tcPr>
          <w:p>
            <w:pPr>
              <w:pStyle w:val="null3"/>
            </w:pPr>
            <w:r>
              <w:rPr>
                <w:rFonts w:ascii="仿宋_GB2312" w:hAnsi="仿宋_GB2312" w:cs="仿宋_GB2312" w:eastAsia="仿宋_GB2312"/>
              </w:rPr>
              <w:t>响应文件上法定代表人或其授权代表人的签字盖章齐全及其它需要签字盖章页签字盖章齐全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陕西省政府采购供应商拒绝政府采购领域商业贿赂承诺书.pdf 施工总平面布置.docx 现场组织机构情况.docx 确保工期的技术组织措施.docx 供应商应提交的相关资格证明材料.docx 确保环境保护组织措施.docx 施工组织和项目管理机构.docx 标的清单 劳动力安排计划及劳务分包情况表.docx 确保文明施工的技术组织措施.docx 供应商类似项目业绩一览表 主要人员简历表 拟派项目经理业绩.docx 监狱企业的证明文件 确保安全生产技术组织措施.docx 施工机械配备和材料投入计划.docx 已标价工程量清单 中小企业声明函 技术服务合同条款及其他商务要求应答表 合理化建议.docx 响应文件封面 确保工程质量的技术组织措施.docx 项目管理机构组成表 残疾人福利性单位声明函 施工方案.docx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应符合“竞争性磋商文件格式”要求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满足文件要求</w:t>
            </w:r>
          </w:p>
        </w:tc>
        <w:tc>
          <w:tcPr>
            <w:tcW w:type="dxa" w:w="1661"/>
          </w:tcPr>
          <w:p>
            <w:pPr>
              <w:pStyle w:val="null3"/>
            </w:pPr>
            <w:r>
              <w:rPr>
                <w:rFonts w:ascii="仿宋_GB2312" w:hAnsi="仿宋_GB2312" w:cs="仿宋_GB2312" w:eastAsia="仿宋_GB2312"/>
              </w:rPr>
              <w:t>响应文件封面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方案完整且切实可行，描述清晰，且能针对性满足本项目得4分；方案详细，方案涵盖角度基本全面，得3分；方案内容较完整，描述一般，可操作性一般，基本能够满足本项目得2分；方案内容较简单，描述简单，可操作性较差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充分了解本项目采购需求及安全文明施工相关政策要求，措施健全、合理、完善、详尽，完全满足项目的要求且可行性强的得4分；对本项目采购需求及安全文明施工相关政策要求基本全面，得3分；对本项目采购需求及安全文明施工相关政策要求了解较为充分，措施内容较为完整，描述简单得2分；对本项目采购需求及安全文明施工相关政策要求不够了解，技术组织措施内容较差，描述不清晰得1 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确保文明施工的技术组织措施.docx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技术组织措施合理、完善、详尽，完全满足项目的要求且可行性强的得4分；技术组织措施合理、完善、详尽基本全面，得3分；技术组织措施基本合理满足项目的要求且有一定可行性的得2分；技术组织措施基本合理满足项目的要求且但可行性较差的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确保安全生产技术组织措施.docx</w:t>
            </w:r>
          </w:p>
        </w:tc>
      </w:tr>
      <w:tr>
        <w:tc>
          <w:tcPr>
            <w:tcW w:type="dxa" w:w="831"/>
            <w:vMerge/>
          </w:tcPr>
          <w:p/>
        </w:tc>
        <w:tc>
          <w:tcPr>
            <w:tcW w:type="dxa" w:w="1661"/>
          </w:tcPr>
          <w:p>
            <w:pPr>
              <w:pStyle w:val="null3"/>
            </w:pPr>
            <w:r>
              <w:rPr>
                <w:rFonts w:ascii="仿宋_GB2312" w:hAnsi="仿宋_GB2312" w:cs="仿宋_GB2312" w:eastAsia="仿宋_GB2312"/>
              </w:rPr>
              <w:t>确保环境保护组织措施</w:t>
            </w:r>
          </w:p>
        </w:tc>
        <w:tc>
          <w:tcPr>
            <w:tcW w:type="dxa" w:w="2492"/>
          </w:tcPr>
          <w:p>
            <w:pPr>
              <w:pStyle w:val="null3"/>
            </w:pPr>
            <w:r>
              <w:rPr>
                <w:rFonts w:ascii="仿宋_GB2312" w:hAnsi="仿宋_GB2312" w:cs="仿宋_GB2312" w:eastAsia="仿宋_GB2312"/>
              </w:rPr>
              <w:t>根据措施内容完整，描述清晰，且能针对性满足项目得4分；措施内容基本全面，得3分；措施内容较完整，描述简单，可行性一般，基本满足项目得2分；措施内容笼统，描述简单，可行性不强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确保环境保护组织措施.docx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有健全可行且完整的技术组织措施，描述清晰，满足项目需求得4分；技术组织措施基本全面，得3分；技术组织措施较完整，描述简单,基本满足项目得2分；管理制度内容笼统，描述模糊得1分;未提供不得分。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确保工期的技术组织措施.docx</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施工组织和项目管理机构合理、完善、详尽，完全满足项目的要求且可行性强的得4分；施工组织和项目管理机构基本全面，得3分；施工组织和项目管理机构基本合理满足项目的要求且有一定可行性的得2分；施工组织和项目管理机构基本合理满足项目的要求但可行性较差的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施工组织和项目管理机构.docx</w:t>
            </w:r>
          </w:p>
        </w:tc>
      </w:tr>
      <w:tr>
        <w:tc>
          <w:tcPr>
            <w:tcW w:type="dxa" w:w="831"/>
            <w:vMerge/>
          </w:tcPr>
          <w:p/>
        </w:tc>
        <w:tc>
          <w:tcPr>
            <w:tcW w:type="dxa" w:w="1661"/>
          </w:tcPr>
          <w:p>
            <w:pPr>
              <w:pStyle w:val="null3"/>
            </w:pPr>
            <w:r>
              <w:rPr>
                <w:rFonts w:ascii="仿宋_GB2312" w:hAnsi="仿宋_GB2312" w:cs="仿宋_GB2312" w:eastAsia="仿宋_GB2312"/>
              </w:rPr>
              <w:t>施工总平面布置</w:t>
            </w:r>
          </w:p>
        </w:tc>
        <w:tc>
          <w:tcPr>
            <w:tcW w:type="dxa" w:w="2492"/>
          </w:tcPr>
          <w:p>
            <w:pPr>
              <w:pStyle w:val="null3"/>
            </w:pPr>
            <w:r>
              <w:rPr>
                <w:rFonts w:ascii="仿宋_GB2312" w:hAnsi="仿宋_GB2312" w:cs="仿宋_GB2312" w:eastAsia="仿宋_GB2312"/>
              </w:rPr>
              <w:t>根据施工总平面布置合理完整，清晰，且能针对性满足项目得4分；施工总平面布置基本全面，得3分；施工总平面布置较完整，简单，有一定可行性得2分；施工总平面布置笼统，模糊，可行性不强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施工总平面布置.docx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技术组织措施合理、完善、详尽，完全满足项目的要求且可行性强的得4分；技术组织措施基本全面，得3分；技术组织措施基本合理满足项目的要求且有一定可行性的得2分；技术组织措施基本合理满足项目的要求且但可行性较差的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确保工程质量的技术组织措施.docx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根据劳动力计划表合理完整，清晰，且能针对性满足项目得4分；劳动力计划表基本全面，得3分；劳动力计划表较完整，简单，有一定可行性得2分；劳动力计划表笼统，模糊，可行性不强得1分；未提供不得分。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劳动力安排计划及劳务分包情况表.docx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机械配备情况及材料完整能充分满足本项目需求得4分；机械配备情况及材料完整基本全面，得3分；机械配备情况及材料一般，基本能满足本项目需求得2分；配备情况不够充足，达不到本项目需求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施工机械配备和材料投入计划.docx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2023年1月之后作为项目经理完成的类似业绩有一项得1分，满分5分。未提供不得分。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拟派项目经理业绩.docx</w:t>
            </w:r>
          </w:p>
        </w:tc>
      </w:tr>
      <w:tr>
        <w:tc>
          <w:tcPr>
            <w:tcW w:type="dxa" w:w="831"/>
            <w:vMerge/>
          </w:tcPr>
          <w:p/>
        </w:tc>
        <w:tc>
          <w:tcPr>
            <w:tcW w:type="dxa" w:w="1661"/>
          </w:tcPr>
          <w:p>
            <w:pPr>
              <w:pStyle w:val="null3"/>
            </w:pPr>
            <w:r>
              <w:rPr>
                <w:rFonts w:ascii="仿宋_GB2312" w:hAnsi="仿宋_GB2312" w:cs="仿宋_GB2312" w:eastAsia="仿宋_GB2312"/>
              </w:rPr>
              <w:t>现场组织机构情况</w:t>
            </w:r>
          </w:p>
        </w:tc>
        <w:tc>
          <w:tcPr>
            <w:tcW w:type="dxa" w:w="2492"/>
          </w:tcPr>
          <w:p>
            <w:pPr>
              <w:pStyle w:val="null3"/>
            </w:pPr>
            <w:r>
              <w:rPr>
                <w:rFonts w:ascii="仿宋_GB2312" w:hAnsi="仿宋_GB2312" w:cs="仿宋_GB2312" w:eastAsia="仿宋_GB2312"/>
              </w:rPr>
              <w:t>依据项目部机构设置、人员配备、责任分工、专业配套、工作经验等情况：1.项目技术负责人：具有建筑工程类高级职称，得5分；具有中级职称，得3分；不具备者0分,满分5 分。注：附技术负责人技术职称证书等资料。2.项目部组建结构合理、专业配置齐全、主要人员数量充足、工作经验丰富等情况：1.建筑工程专业2人，并具有注册建造师执业资格证书得2分，没有不得分；2.造价人员1人，并具有全国建设工程造价员资格证书或注册造价工程师资格证书得1分，没有不得分；3 .资料员1人，并具有住房和城乡建设领域施工现场专业人员职业培训合格证书得1分，没有不得分；4、安全员1人，并具有安全生产考核合格证书得1分，没有不得分；现场组织机构所有人员均应为本企业职工（以社保缴纳证明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现场组织机构情况.docx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实施与管理提出合理化建议，有助于项目规划工作更加顺利进行。内容合理、完善、详尽，完全满足项目的要求且可行性强的得5分；内容基本合理满足项目的要求且有一定可行性的得3分；内容基本合理满足项目的要求且但可行性较差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合理化建议.docx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近三年类似项目的业绩（2023年1 月至今），以合同为准，时间以合同签订时间为准。每具备1项得2.5 分，最多得10分。评审依据：以申请人加盖公章的合同复印件或扫描件为准。供应商业绩与项目经理业绩可重复。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对各有效报价进行算术平均值计算，以算术平均值为评标基准价。最高得分点的投标报价=评标基准价。投标报价每高于评标基准价一个百分点扣0.5分，每低于评标基准价一个百分点扣0.25分，扣完为止，具体得分按插入法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详见附件：合理化建议.docx</w:t>
      </w:r>
    </w:p>
    <w:p>
      <w:pPr>
        <w:pStyle w:val="null3"/>
        <w:ind w:firstLine="960"/>
      </w:pPr>
      <w:r>
        <w:rPr>
          <w:rFonts w:ascii="仿宋_GB2312" w:hAnsi="仿宋_GB2312" w:cs="仿宋_GB2312" w:eastAsia="仿宋_GB2312"/>
        </w:rPr>
        <w:t>详见附件：劳动力安排计划及劳务分包情况表.docx</w:t>
      </w:r>
    </w:p>
    <w:p>
      <w:pPr>
        <w:pStyle w:val="null3"/>
        <w:ind w:firstLine="960"/>
      </w:pPr>
      <w:r>
        <w:rPr>
          <w:rFonts w:ascii="仿宋_GB2312" w:hAnsi="仿宋_GB2312" w:cs="仿宋_GB2312" w:eastAsia="仿宋_GB2312"/>
        </w:rPr>
        <w:t>详见附件：拟派项目经理业绩.docx</w:t>
      </w:r>
    </w:p>
    <w:p>
      <w:pPr>
        <w:pStyle w:val="null3"/>
        <w:ind w:firstLine="960"/>
      </w:pPr>
      <w:r>
        <w:rPr>
          <w:rFonts w:ascii="仿宋_GB2312" w:hAnsi="仿宋_GB2312" w:cs="仿宋_GB2312" w:eastAsia="仿宋_GB2312"/>
        </w:rPr>
        <w:t>详见附件：确保安全生产技术组织措施.docx</w:t>
      </w:r>
    </w:p>
    <w:p>
      <w:pPr>
        <w:pStyle w:val="null3"/>
        <w:ind w:firstLine="960"/>
      </w:pPr>
      <w:r>
        <w:rPr>
          <w:rFonts w:ascii="仿宋_GB2312" w:hAnsi="仿宋_GB2312" w:cs="仿宋_GB2312" w:eastAsia="仿宋_GB2312"/>
        </w:rPr>
        <w:t>详见附件：确保工程质量的技术组织措施.docx</w:t>
      </w:r>
    </w:p>
    <w:p>
      <w:pPr>
        <w:pStyle w:val="null3"/>
        <w:ind w:firstLine="960"/>
      </w:pPr>
      <w:r>
        <w:rPr>
          <w:rFonts w:ascii="仿宋_GB2312" w:hAnsi="仿宋_GB2312" w:cs="仿宋_GB2312" w:eastAsia="仿宋_GB2312"/>
        </w:rPr>
        <w:t>详见附件：确保工期的技术组织措施.docx</w:t>
      </w:r>
    </w:p>
    <w:p>
      <w:pPr>
        <w:pStyle w:val="null3"/>
        <w:ind w:firstLine="960"/>
      </w:pPr>
      <w:r>
        <w:rPr>
          <w:rFonts w:ascii="仿宋_GB2312" w:hAnsi="仿宋_GB2312" w:cs="仿宋_GB2312" w:eastAsia="仿宋_GB2312"/>
        </w:rPr>
        <w:t>详见附件：确保环境保护组织措施.docx</w:t>
      </w:r>
    </w:p>
    <w:p>
      <w:pPr>
        <w:pStyle w:val="null3"/>
        <w:ind w:firstLine="960"/>
      </w:pPr>
      <w:r>
        <w:rPr>
          <w:rFonts w:ascii="仿宋_GB2312" w:hAnsi="仿宋_GB2312" w:cs="仿宋_GB2312" w:eastAsia="仿宋_GB2312"/>
        </w:rPr>
        <w:t>详见附件：确保文明施工的技术组织措施.docx</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详见附件：施工机械配备和材料投入计划.docx</w:t>
      </w:r>
    </w:p>
    <w:p>
      <w:pPr>
        <w:pStyle w:val="null3"/>
        <w:ind w:firstLine="960"/>
      </w:pPr>
      <w:r>
        <w:rPr>
          <w:rFonts w:ascii="仿宋_GB2312" w:hAnsi="仿宋_GB2312" w:cs="仿宋_GB2312" w:eastAsia="仿宋_GB2312"/>
        </w:rPr>
        <w:t>详见附件：施工总平面布置.docx</w:t>
      </w:r>
    </w:p>
    <w:p>
      <w:pPr>
        <w:pStyle w:val="null3"/>
        <w:ind w:firstLine="960"/>
      </w:pPr>
      <w:r>
        <w:rPr>
          <w:rFonts w:ascii="仿宋_GB2312" w:hAnsi="仿宋_GB2312" w:cs="仿宋_GB2312" w:eastAsia="仿宋_GB2312"/>
        </w:rPr>
        <w:t>详见附件：施工组织和项目管理机构.docx</w:t>
      </w:r>
    </w:p>
    <w:p>
      <w:pPr>
        <w:pStyle w:val="null3"/>
        <w:ind w:firstLine="960"/>
      </w:pPr>
      <w:r>
        <w:rPr>
          <w:rFonts w:ascii="仿宋_GB2312" w:hAnsi="仿宋_GB2312" w:cs="仿宋_GB2312" w:eastAsia="仿宋_GB2312"/>
        </w:rPr>
        <w:t>详见附件：现场组织机构情况.docx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