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版本号：KY2026-1-56820260625001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图书馆图书采购项目--电子期刊资源采购项目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KY2026-1-568</w:t>
      </w:r>
      <w:r>
        <w:br/>
      </w:r>
      <w:r>
        <w:br/>
      </w:r>
      <w:r>
        <w:br/>
      </w:r>
      <w:r>
        <w:br/>
      </w:r>
      <w:r>
        <w:br/>
      </w:r>
    </w:p>
    <w:p>
      <w:pPr>
        <w:pStyle w:val="null3"/>
        <w:jc w:val="center"/>
        <w:outlineLvl w:val="5"/>
      </w:pPr>
      <w:r>
        <w:rPr>
          <w:rFonts w:ascii="仿宋_GB2312" w:hAnsi="仿宋_GB2312" w:cs="仿宋_GB2312" w:eastAsia="仿宋_GB2312"/>
          <w:sz w:val="15"/>
          <w:b/>
        </w:rPr>
        <w:t>西安戏剧学院</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图书馆图书采购项目--电子期刊资源采购项目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图书馆图书采购项目--电子期刊资源采购项目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西安戏剧学院图书馆图书采购项目——电子期刊资源采购项目，具体内容详见单一来源采购文件第三部分。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6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说明：1、履约保证金缴纳时间：供应商成交后凭成交通知书向学校缴纳成交金额的5%作为履约保证金。 2、履约保证金缴纳形式：成交供应商应当以支票、汇票、本票、保函等非现金形式缴纳。 3、履约保证金的退还：合同履约完毕后无息退还。</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双方约定，招标代理服务费参照国家计委颁布的《招标代理服务收费管理暂行办法》(计价格[2002]1980号)号文件执行，具体要求如下：中标金额在50万元以内的按照收费标准收取；中标金额50万元及以上的按照收费标准下浮20%收取。 2、本项目代理服务费按货物计取。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答复主体：{{未填写}}</w:t>
      </w:r>
    </w:p>
    <w:p>
      <w:pPr>
        <w:pStyle w:val="null3"/>
      </w:pPr>
      <w:r>
        <w:rPr>
          <w:rFonts w:ascii="仿宋_GB2312" w:hAnsi="仿宋_GB2312" w:cs="仿宋_GB2312" w:eastAsia="仿宋_GB2312"/>
        </w:rPr>
        <w:t>联系人：{{未填写}}</w:t>
      </w:r>
    </w:p>
    <w:p>
      <w:pPr>
        <w:pStyle w:val="null3"/>
      </w:pPr>
      <w:r>
        <w:rPr>
          <w:rFonts w:ascii="仿宋_GB2312" w:hAnsi="仿宋_GB2312" w:cs="仿宋_GB2312" w:eastAsia="仿宋_GB2312"/>
        </w:rPr>
        <w:t>联系电话：{{未填写}}</w:t>
      </w:r>
    </w:p>
    <w:p>
      <w:pPr>
        <w:pStyle w:val="null3"/>
      </w:pPr>
      <w:r>
        <w:rPr>
          <w:rFonts w:ascii="仿宋_GB2312" w:hAnsi="仿宋_GB2312" w:cs="仿宋_GB2312" w:eastAsia="仿宋_GB2312"/>
        </w:rPr>
        <w:t>地址：{{未填写}}</w:t>
      </w:r>
    </w:p>
    <w:p>
      <w:pPr>
        <w:pStyle w:val="null3"/>
      </w:pPr>
      <w:r>
        <w:rPr>
          <w:rFonts w:ascii="仿宋_GB2312" w:hAnsi="仿宋_GB2312" w:cs="仿宋_GB2312" w:eastAsia="仿宋_GB2312"/>
        </w:rPr>
        <w:t>邮编：{{未填写}}</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西安戏剧学院图书馆图书采购项目——电子期刊资源采购项目，具体内容详见单一来源采购文件第三部分。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电子期刊资源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标的名称：电子期刊资源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项目概述</w:t>
            </w:r>
          </w:p>
          <w:p>
            <w:pPr>
              <w:pStyle w:val="null3"/>
              <w:ind w:firstLine="480"/>
              <w:jc w:val="left"/>
            </w:pPr>
            <w:r>
              <w:rPr>
                <w:rFonts w:ascii="仿宋_GB2312" w:hAnsi="仿宋_GB2312" w:cs="仿宋_GB2312" w:eastAsia="仿宋_GB2312"/>
                <w:sz w:val="24"/>
                <w:color w:val="000000"/>
              </w:rPr>
              <w:t>为全面提升学校学术文献资源保障能力、数字化服务水平与学术管理质量，支撑学科建设、人才培养、科学研究与期刊高质量发展，意向采购期刊、硕博论文、会议论文、辑刊、报纸、文艺作品期刊数据库，期刊数字化发展及影响力提升服务，大学生毕业论文（设计）管理系统（含学术不端查重检测）三类产品与服务，聚力搭建资源完备、服务精准、管理高效、安全稳定、可迭代升级的一体化学术支撑体系，全面满足全校教学科研、学术创新、期刊智慧运营与校园学术规范建设各项工作整体需求。</w:t>
            </w:r>
          </w:p>
          <w:p>
            <w:pPr>
              <w:pStyle w:val="null3"/>
              <w:ind w:firstLine="482"/>
              <w:jc w:val="left"/>
            </w:pPr>
            <w:r>
              <w:rPr>
                <w:rFonts w:ascii="仿宋_GB2312" w:hAnsi="仿宋_GB2312" w:cs="仿宋_GB2312" w:eastAsia="仿宋_GB2312"/>
                <w:sz w:val="24"/>
                <w:b/>
                <w:color w:val="000000"/>
              </w:rPr>
              <w:t>1.1项目背景与必要性</w:t>
            </w:r>
          </w:p>
          <w:p>
            <w:pPr>
              <w:pStyle w:val="null3"/>
              <w:ind w:firstLine="482"/>
              <w:jc w:val="left"/>
            </w:pPr>
            <w:r>
              <w:rPr>
                <w:rFonts w:ascii="仿宋_GB2312" w:hAnsi="仿宋_GB2312" w:cs="仿宋_GB2312" w:eastAsia="仿宋_GB2312"/>
                <w:sz w:val="24"/>
                <w:b/>
                <w:color w:val="000000"/>
              </w:rPr>
              <w:t>1.1.1资源保障与科研支撑的需要</w:t>
            </w:r>
          </w:p>
          <w:p>
            <w:pPr>
              <w:pStyle w:val="null3"/>
              <w:ind w:firstLine="480"/>
              <w:jc w:val="left"/>
            </w:pPr>
            <w:r>
              <w:rPr>
                <w:rFonts w:ascii="仿宋_GB2312" w:hAnsi="仿宋_GB2312" w:cs="仿宋_GB2312" w:eastAsia="仿宋_GB2312"/>
                <w:sz w:val="24"/>
                <w:color w:val="000000"/>
              </w:rPr>
              <w:t>随着学校学科建设持续深化，广大师生在日常教学、学术研究、论文创作、课题申报、科研成果培育等工作中，对学术文献资源的储备体量、内容质量、更新时效与专业权威性提出更高标准。学校亟需搭建涵盖期刊论文、硕博学位论文、会议论文、辑刊、报刊文献、文艺文献等多品类的权威中文综合学术数据库，有效解决现有文献资源分散杂乱、检索取用不便、内容更新滞后、文献获取效率偏低等现实问题，为全校教学教研与科学研究工作提供系统全面、稳定可靠、精准高效的文献资源保障。</w:t>
            </w:r>
          </w:p>
          <w:p>
            <w:pPr>
              <w:pStyle w:val="null3"/>
              <w:ind w:firstLine="482"/>
              <w:jc w:val="left"/>
            </w:pPr>
            <w:r>
              <w:rPr>
                <w:rFonts w:ascii="仿宋_GB2312" w:hAnsi="仿宋_GB2312" w:cs="仿宋_GB2312" w:eastAsia="仿宋_GB2312"/>
                <w:sz w:val="24"/>
                <w:b/>
                <w:color w:val="000000"/>
              </w:rPr>
              <w:t>1.1.2推动期刊数字转型，提升办刊水平与学术影响力</w:t>
            </w:r>
          </w:p>
          <w:p>
            <w:pPr>
              <w:pStyle w:val="null3"/>
              <w:ind w:firstLine="480"/>
              <w:jc w:val="left"/>
            </w:pPr>
            <w:r>
              <w:rPr>
                <w:rFonts w:ascii="仿宋_GB2312" w:hAnsi="仿宋_GB2312" w:cs="仿宋_GB2312" w:eastAsia="仿宋_GB2312"/>
                <w:sz w:val="24"/>
                <w:color w:val="000000"/>
              </w:rPr>
              <w:t>传统期刊运营多采用线下人工模式，存在流程繁琐、效率偏低、监管不便、统计薄弱等问题，同时优质学术成果传播渠道单一、精准触达不足、影响力提升受限。引入期刊数字化发展及影响力提升服务，融合智能采编全流程管理与文献精准推送两大核心功能，一方面实现期刊投稿、审稿、编辑、发布全流程线上化，规范办刊流程、缩短出版周期、降低管理成本；一方面建设文献精准推送服务，依托主编推荐及邮件推送两种核心模式，实现最新文献、优质论文、专题成果、重点篇目定向触达目标读者，显著提升文献对读者的触达率、阅读率与引用率，推动优质文献与学术成果高效传播，有效提升期刊传播力、覆盖面与整体学术影响力，助力学校主办期刊实现标准化、数字化、高质量发展。</w:t>
            </w:r>
          </w:p>
          <w:p>
            <w:pPr>
              <w:pStyle w:val="null3"/>
              <w:ind w:firstLine="482"/>
              <w:jc w:val="left"/>
            </w:pPr>
            <w:r>
              <w:rPr>
                <w:rFonts w:ascii="仿宋_GB2312" w:hAnsi="仿宋_GB2312" w:cs="仿宋_GB2312" w:eastAsia="仿宋_GB2312"/>
                <w:sz w:val="24"/>
                <w:b/>
                <w:color w:val="000000"/>
              </w:rPr>
              <w:t>1.1.3强化学术规范管理，夯实校园学风建设</w:t>
            </w:r>
          </w:p>
          <w:p>
            <w:pPr>
              <w:pStyle w:val="null3"/>
              <w:ind w:firstLine="480"/>
              <w:jc w:val="left"/>
            </w:pPr>
            <w:r>
              <w:rPr>
                <w:rFonts w:ascii="仿宋_GB2312" w:hAnsi="仿宋_GB2312" w:cs="仿宋_GB2312" w:eastAsia="仿宋_GB2312"/>
                <w:sz w:val="24"/>
                <w:color w:val="000000"/>
              </w:rPr>
              <w:t>为加强毕业论文等学术文本质量管控，防范学术不端行为，落实学风建设要求，亟需配备比对库全面、检测准确、安全可控、可管可溯的学术不端检测系统，为教学管理、论文评审提供客观、权威、可信的技术支撑。</w:t>
            </w:r>
          </w:p>
          <w:p>
            <w:pPr>
              <w:pStyle w:val="null3"/>
              <w:ind w:firstLine="482"/>
              <w:jc w:val="left"/>
            </w:pPr>
            <w:r>
              <w:rPr>
                <w:rFonts w:ascii="仿宋_GB2312" w:hAnsi="仿宋_GB2312" w:cs="仿宋_GB2312" w:eastAsia="仿宋_GB2312"/>
                <w:sz w:val="24"/>
                <w:b/>
                <w:color w:val="000000"/>
              </w:rPr>
              <w:t>1.2项目依据</w:t>
            </w:r>
          </w:p>
          <w:p>
            <w:pPr>
              <w:pStyle w:val="null3"/>
              <w:ind w:firstLine="480"/>
              <w:jc w:val="left"/>
            </w:pPr>
            <w:r>
              <w:rPr>
                <w:rFonts w:ascii="仿宋_GB2312" w:hAnsi="仿宋_GB2312" w:cs="仿宋_GB2312" w:eastAsia="仿宋_GB2312"/>
                <w:sz w:val="24"/>
                <w:color w:val="000000"/>
              </w:rPr>
              <w:t>教育部《普通高等学校图书馆规程》；</w:t>
            </w:r>
          </w:p>
          <w:p>
            <w:pPr>
              <w:pStyle w:val="null3"/>
              <w:ind w:firstLine="480"/>
              <w:jc w:val="left"/>
            </w:pPr>
            <w:r>
              <w:rPr>
                <w:rFonts w:ascii="仿宋_GB2312" w:hAnsi="仿宋_GB2312" w:cs="仿宋_GB2312" w:eastAsia="仿宋_GB2312"/>
                <w:sz w:val="24"/>
                <w:color w:val="000000"/>
              </w:rPr>
              <w:t>国家新闻出版署关于学术期刊出版与数字化建设相关管理规定；</w:t>
            </w:r>
          </w:p>
          <w:p>
            <w:pPr>
              <w:pStyle w:val="null3"/>
              <w:ind w:firstLine="480"/>
              <w:jc w:val="left"/>
            </w:pPr>
            <w:r>
              <w:rPr>
                <w:rFonts w:ascii="仿宋_GB2312" w:hAnsi="仿宋_GB2312" w:cs="仿宋_GB2312" w:eastAsia="仿宋_GB2312"/>
                <w:sz w:val="24"/>
                <w:color w:val="000000"/>
              </w:rPr>
              <w:t>教育部关于加强学术规范、学风建设与论文质量管控相关文件；</w:t>
            </w:r>
          </w:p>
          <w:p>
            <w:pPr>
              <w:pStyle w:val="null3"/>
              <w:ind w:firstLine="480"/>
              <w:jc w:val="left"/>
            </w:pPr>
            <w:r>
              <w:rPr>
                <w:rFonts w:ascii="仿宋_GB2312" w:hAnsi="仿宋_GB2312" w:cs="仿宋_GB2312" w:eastAsia="仿宋_GB2312"/>
                <w:sz w:val="24"/>
                <w:color w:val="000000"/>
              </w:rPr>
              <w:t>学校信息化建设规划、文献资源建设规划、期刊发展规划；</w:t>
            </w:r>
          </w:p>
          <w:p>
            <w:pPr>
              <w:pStyle w:val="null3"/>
              <w:ind w:firstLine="480"/>
              <w:jc w:val="left"/>
            </w:pPr>
            <w:r>
              <w:rPr>
                <w:rFonts w:ascii="仿宋_GB2312" w:hAnsi="仿宋_GB2312" w:cs="仿宋_GB2312" w:eastAsia="仿宋_GB2312"/>
                <w:sz w:val="24"/>
                <w:color w:val="000000"/>
              </w:rPr>
              <w:t>政府采购、知识产权保护、网络安全等级保护、数据安全管理等相关法律法规。</w:t>
            </w:r>
          </w:p>
          <w:p>
            <w:pPr>
              <w:pStyle w:val="null3"/>
              <w:ind w:firstLine="482"/>
              <w:jc w:val="left"/>
            </w:pPr>
            <w:r>
              <w:rPr>
                <w:rFonts w:ascii="仿宋_GB2312" w:hAnsi="仿宋_GB2312" w:cs="仿宋_GB2312" w:eastAsia="仿宋_GB2312"/>
                <w:sz w:val="24"/>
                <w:b/>
                <w:color w:val="000000"/>
              </w:rPr>
              <w:t>1.3项目目标</w:t>
            </w:r>
          </w:p>
          <w:p>
            <w:pPr>
              <w:pStyle w:val="null3"/>
              <w:ind w:firstLine="482"/>
              <w:jc w:val="left"/>
            </w:pPr>
            <w:r>
              <w:rPr>
                <w:rFonts w:ascii="仿宋_GB2312" w:hAnsi="仿宋_GB2312" w:cs="仿宋_GB2312" w:eastAsia="仿宋_GB2312"/>
                <w:sz w:val="24"/>
                <w:b/>
                <w:color w:val="000000"/>
              </w:rPr>
              <w:t>1.3.1文献资源保障目标</w:t>
            </w:r>
          </w:p>
          <w:p>
            <w:pPr>
              <w:pStyle w:val="null3"/>
              <w:ind w:firstLine="480"/>
              <w:jc w:val="left"/>
            </w:pPr>
            <w:r>
              <w:rPr>
                <w:rFonts w:ascii="仿宋_GB2312" w:hAnsi="仿宋_GB2312" w:cs="仿宋_GB2312" w:eastAsia="仿宋_GB2312"/>
                <w:sz w:val="24"/>
                <w:color w:val="000000"/>
              </w:rPr>
              <w:t>建成覆盖全学科、类型齐全、权威可靠、更新及时、访问稳定的期刊、硕博、会议、辑刊、报纸、文艺作品期刊资源库，满足全校师生常态化、高并发、便捷化的文献获取需求。</w:t>
            </w:r>
          </w:p>
          <w:p>
            <w:pPr>
              <w:pStyle w:val="null3"/>
              <w:ind w:firstLine="482"/>
              <w:jc w:val="left"/>
            </w:pPr>
            <w:r>
              <w:rPr>
                <w:rFonts w:ascii="仿宋_GB2312" w:hAnsi="仿宋_GB2312" w:cs="仿宋_GB2312" w:eastAsia="仿宋_GB2312"/>
                <w:sz w:val="24"/>
                <w:b/>
                <w:color w:val="000000"/>
              </w:rPr>
              <w:t>1.3.2 期刊数字化提质增效目标</w:t>
            </w:r>
          </w:p>
          <w:p>
            <w:pPr>
              <w:pStyle w:val="null3"/>
              <w:ind w:firstLine="480"/>
              <w:jc w:val="left"/>
            </w:pPr>
            <w:r>
              <w:rPr>
                <w:rFonts w:ascii="仿宋_GB2312" w:hAnsi="仿宋_GB2312" w:cs="仿宋_GB2312" w:eastAsia="仿宋_GB2312"/>
                <w:sz w:val="24"/>
                <w:color w:val="000000"/>
              </w:rPr>
              <w:t>依托期刊数字化发展及影响力提升服务，建成线上一体化期刊采编运营体系与智能精准传播体系，实现办刊流程规范化、业务管理信息化、成果传播精准化，全面提升办刊效率与期刊综合学术影响力。</w:t>
            </w:r>
          </w:p>
          <w:p>
            <w:pPr>
              <w:pStyle w:val="null3"/>
              <w:ind w:firstLine="482"/>
              <w:jc w:val="left"/>
            </w:pPr>
            <w:r>
              <w:rPr>
                <w:rFonts w:ascii="仿宋_GB2312" w:hAnsi="仿宋_GB2312" w:cs="仿宋_GB2312" w:eastAsia="仿宋_GB2312"/>
                <w:sz w:val="24"/>
                <w:b/>
                <w:color w:val="000000"/>
              </w:rPr>
              <w:t>1.3.3学术规范目标</w:t>
            </w:r>
          </w:p>
          <w:p>
            <w:pPr>
              <w:pStyle w:val="null3"/>
              <w:ind w:firstLine="480"/>
              <w:jc w:val="left"/>
            </w:pPr>
            <w:r>
              <w:rPr>
                <w:rFonts w:ascii="仿宋_GB2312" w:hAnsi="仿宋_GB2312" w:cs="仿宋_GB2312" w:eastAsia="仿宋_GB2312"/>
                <w:sz w:val="24"/>
                <w:color w:val="000000"/>
              </w:rPr>
              <w:t>构建安全、准确、可控、可追溯的学术不端检测体系，为论文质量把关、学风建设提供技术保障。</w:t>
            </w:r>
          </w:p>
          <w:p>
            <w:pPr>
              <w:pStyle w:val="null3"/>
              <w:ind w:firstLine="482"/>
              <w:jc w:val="left"/>
            </w:pPr>
            <w:r>
              <w:rPr>
                <w:rFonts w:ascii="仿宋_GB2312" w:hAnsi="仿宋_GB2312" w:cs="仿宋_GB2312" w:eastAsia="仿宋_GB2312"/>
                <w:sz w:val="24"/>
                <w:b/>
                <w:color w:val="000000"/>
              </w:rPr>
              <w:t>1.3.4 系统运行目标</w:t>
            </w:r>
          </w:p>
          <w:p>
            <w:pPr>
              <w:pStyle w:val="null3"/>
              <w:ind w:firstLine="480"/>
              <w:jc w:val="left"/>
            </w:pPr>
            <w:r>
              <w:rPr>
                <w:rFonts w:ascii="仿宋_GB2312" w:hAnsi="仿宋_GB2312" w:cs="仿宋_GB2312" w:eastAsia="仿宋_GB2312"/>
                <w:sz w:val="24"/>
                <w:color w:val="000000"/>
              </w:rPr>
              <w:t>所有系统稳定可靠、权限清晰、数据安全、对接顺畅、售后完善，满足长期使用与持续服务需求。</w:t>
            </w:r>
          </w:p>
          <w:p>
            <w:pPr>
              <w:pStyle w:val="null3"/>
              <w:ind w:firstLine="482"/>
              <w:jc w:val="left"/>
            </w:pPr>
            <w:r>
              <w:rPr>
                <w:rFonts w:ascii="仿宋_GB2312" w:hAnsi="仿宋_GB2312" w:cs="仿宋_GB2312" w:eastAsia="仿宋_GB2312"/>
                <w:sz w:val="24"/>
                <w:b/>
                <w:color w:val="000000"/>
              </w:rPr>
              <w:t>1.4项目内容</w:t>
            </w:r>
          </w:p>
          <w:p>
            <w:pPr>
              <w:pStyle w:val="null3"/>
              <w:ind w:firstLine="482"/>
              <w:jc w:val="left"/>
            </w:pPr>
            <w:r>
              <w:rPr>
                <w:rFonts w:ascii="仿宋_GB2312" w:hAnsi="仿宋_GB2312" w:cs="仿宋_GB2312" w:eastAsia="仿宋_GB2312"/>
                <w:sz w:val="24"/>
                <w:b/>
                <w:color w:val="000000"/>
              </w:rPr>
              <w:t>1.4.1中文综合学术数据库</w:t>
            </w:r>
          </w:p>
          <w:p>
            <w:pPr>
              <w:pStyle w:val="null3"/>
              <w:ind w:firstLine="480"/>
              <w:jc w:val="left"/>
            </w:pPr>
            <w:r>
              <w:rPr>
                <w:rFonts w:ascii="仿宋_GB2312" w:hAnsi="仿宋_GB2312" w:cs="仿宋_GB2312" w:eastAsia="仿宋_GB2312"/>
                <w:sz w:val="24"/>
                <w:color w:val="000000"/>
              </w:rPr>
              <w:t>提供期刊、硕博论文、会议论文、辑刊、报纸、精品文艺作品期刊资源的检索、阅读、下载、导出、引文分析、使用统计、校内访问等服务。</w:t>
            </w:r>
          </w:p>
          <w:p>
            <w:pPr>
              <w:pStyle w:val="null3"/>
              <w:ind w:firstLine="482"/>
              <w:jc w:val="left"/>
            </w:pPr>
            <w:r>
              <w:rPr>
                <w:rFonts w:ascii="仿宋_GB2312" w:hAnsi="仿宋_GB2312" w:cs="仿宋_GB2312" w:eastAsia="仿宋_GB2312"/>
                <w:sz w:val="24"/>
                <w:b/>
                <w:color w:val="000000"/>
              </w:rPr>
              <w:t>1.4.2 期刊数字化发展及影响力提升服务</w:t>
            </w:r>
          </w:p>
          <w:p>
            <w:pPr>
              <w:pStyle w:val="null3"/>
              <w:ind w:firstLine="480"/>
              <w:jc w:val="left"/>
            </w:pPr>
            <w:r>
              <w:rPr>
                <w:rFonts w:ascii="仿宋_GB2312" w:hAnsi="仿宋_GB2312" w:cs="仿宋_GB2312" w:eastAsia="仿宋_GB2312"/>
                <w:sz w:val="24"/>
                <w:color w:val="000000"/>
              </w:rPr>
              <w:t>整合期刊智能采编与文献精准推送两大服务内容。包含在线投稿、审稿、编辑加工、稿件流转、进度管控、数据统计等全流程采编管理功能；同时支持基于学科分类开展文献筛选、主编推荐、定向邮件精准推送，实现优质学术成果主动触达，全面提升期刊运营管理效能与学术传播影响力。</w:t>
            </w:r>
          </w:p>
          <w:p>
            <w:pPr>
              <w:pStyle w:val="null3"/>
              <w:ind w:firstLine="482"/>
              <w:jc w:val="left"/>
            </w:pPr>
            <w:r>
              <w:rPr>
                <w:rFonts w:ascii="仿宋_GB2312" w:hAnsi="仿宋_GB2312" w:cs="仿宋_GB2312" w:eastAsia="仿宋_GB2312"/>
                <w:sz w:val="24"/>
                <w:b/>
                <w:color w:val="000000"/>
              </w:rPr>
              <w:t>1.4.3 大学生毕业论文（设计）管理系统</w:t>
            </w:r>
          </w:p>
          <w:p>
            <w:pPr>
              <w:pStyle w:val="null3"/>
              <w:ind w:firstLine="480"/>
              <w:jc w:val="left"/>
            </w:pPr>
            <w:r>
              <w:rPr>
                <w:rFonts w:ascii="仿宋_GB2312" w:hAnsi="仿宋_GB2312" w:cs="仿宋_GB2312" w:eastAsia="仿宋_GB2312"/>
                <w:sz w:val="24"/>
                <w:color w:val="000000"/>
              </w:rPr>
              <w:t>提供大学生毕业论文（设计）过程管理服务基础模块，包含：师生双选管理、过程文档管理、论文管理、学术不端检测（查重）、评阅答辩、教育部抽检导出等。</w:t>
            </w:r>
          </w:p>
          <w:p>
            <w:pPr>
              <w:pStyle w:val="null3"/>
              <w:ind w:firstLine="482"/>
              <w:jc w:val="left"/>
            </w:pPr>
            <w:r>
              <w:rPr>
                <w:rFonts w:ascii="仿宋_GB2312" w:hAnsi="仿宋_GB2312" w:cs="仿宋_GB2312" w:eastAsia="仿宋_GB2312"/>
                <w:sz w:val="24"/>
                <w:b/>
                <w:color w:val="000000"/>
              </w:rPr>
              <w:t>1.5功能要求</w:t>
            </w:r>
          </w:p>
          <w:p>
            <w:pPr>
              <w:pStyle w:val="null3"/>
              <w:ind w:firstLine="482"/>
              <w:jc w:val="left"/>
            </w:pPr>
            <w:r>
              <w:rPr>
                <w:rFonts w:ascii="仿宋_GB2312" w:hAnsi="仿宋_GB2312" w:cs="仿宋_GB2312" w:eastAsia="仿宋_GB2312"/>
                <w:sz w:val="24"/>
                <w:b/>
                <w:color w:val="000000"/>
              </w:rPr>
              <w:t>1.5.1学术资源库功能要求</w:t>
            </w:r>
          </w:p>
          <w:p>
            <w:pPr>
              <w:pStyle w:val="null3"/>
              <w:ind w:firstLine="480"/>
              <w:jc w:val="left"/>
            </w:pPr>
            <w:r>
              <w:rPr>
                <w:rFonts w:ascii="仿宋_GB2312" w:hAnsi="仿宋_GB2312" w:cs="仿宋_GB2312" w:eastAsia="仿宋_GB2312"/>
                <w:sz w:val="24"/>
                <w:color w:val="000000"/>
              </w:rPr>
              <w:t>资源收录齐全、学科覆盖完整、数据权威可靠；支持多类型检索、全文获取、引文关联、导出格式兼容；支持</w:t>
            </w:r>
            <w:r>
              <w:rPr>
                <w:rFonts w:ascii="仿宋_GB2312" w:hAnsi="仿宋_GB2312" w:cs="仿宋_GB2312" w:eastAsia="仿宋_GB2312"/>
                <w:sz w:val="24"/>
                <w:color w:val="000000"/>
              </w:rPr>
              <w:t>IP 认证、统一身份访问；系统并发充足、访问稳定、日更新及时。</w:t>
            </w:r>
          </w:p>
          <w:p>
            <w:pPr>
              <w:pStyle w:val="null3"/>
              <w:ind w:firstLine="482"/>
              <w:jc w:val="left"/>
            </w:pPr>
            <w:r>
              <w:rPr>
                <w:rFonts w:ascii="仿宋_GB2312" w:hAnsi="仿宋_GB2312" w:cs="仿宋_GB2312" w:eastAsia="仿宋_GB2312"/>
                <w:sz w:val="24"/>
                <w:b/>
                <w:color w:val="000000"/>
              </w:rPr>
              <w:t>1.5.2 期刊数字化发展及影响力提升服务功能要求</w:t>
            </w:r>
          </w:p>
          <w:p>
            <w:pPr>
              <w:pStyle w:val="null3"/>
              <w:ind w:firstLine="480"/>
              <w:jc w:val="left"/>
            </w:pPr>
            <w:r>
              <w:rPr>
                <w:rFonts w:ascii="仿宋_GB2312" w:hAnsi="仿宋_GB2312" w:cs="仿宋_GB2312" w:eastAsia="仿宋_GB2312"/>
                <w:sz w:val="24"/>
                <w:color w:val="000000"/>
              </w:rPr>
              <w:t>采编模块支持全流程线上办公，流程可配置、权限分级管控，具备专家库管理、稿件统筹、运营数据统计等功能；精准推送模块可依托数据库遴选文献，支持推荐语编辑、任务审核修改，按学科及用户群体定向邮件推送，可生成推送成效统计报表，实现精准化、常态化文献推送运营。</w:t>
            </w:r>
          </w:p>
          <w:p>
            <w:pPr>
              <w:pStyle w:val="null3"/>
              <w:ind w:firstLine="482"/>
              <w:jc w:val="left"/>
            </w:pPr>
            <w:r>
              <w:rPr>
                <w:rFonts w:ascii="仿宋_GB2312" w:hAnsi="仿宋_GB2312" w:cs="仿宋_GB2312" w:eastAsia="仿宋_GB2312"/>
                <w:sz w:val="24"/>
                <w:b/>
                <w:color w:val="000000"/>
              </w:rPr>
              <w:t>1.5.3大学生毕业论文（设计）管理系统功能要求</w:t>
            </w:r>
          </w:p>
          <w:p>
            <w:pPr>
              <w:pStyle w:val="null3"/>
              <w:ind w:firstLine="480"/>
              <w:jc w:val="left"/>
            </w:pPr>
            <w:r>
              <w:rPr>
                <w:rFonts w:ascii="仿宋_GB2312" w:hAnsi="仿宋_GB2312" w:cs="仿宋_GB2312" w:eastAsia="仿宋_GB2312"/>
                <w:sz w:val="24"/>
                <w:color w:val="000000"/>
              </w:rPr>
              <w:t>提供大学生毕业论文（设计）过程管理服务基础模块，包含：师生双选管理、过程文档管理、论文管理、学术不端检测（查重）、评阅答辩、教育部抽检导出等。</w:t>
            </w:r>
          </w:p>
          <w:p>
            <w:pPr>
              <w:pStyle w:val="null3"/>
              <w:ind w:firstLine="482"/>
              <w:jc w:val="left"/>
            </w:pPr>
            <w:r>
              <w:rPr>
                <w:rFonts w:ascii="仿宋_GB2312" w:hAnsi="仿宋_GB2312" w:cs="仿宋_GB2312" w:eastAsia="仿宋_GB2312"/>
                <w:sz w:val="24"/>
                <w:b/>
                <w:color w:val="000000"/>
              </w:rPr>
              <w:t>1.5.4通用要求</w:t>
            </w:r>
          </w:p>
          <w:p>
            <w:pPr>
              <w:pStyle w:val="null3"/>
              <w:ind w:firstLine="480"/>
              <w:jc w:val="left"/>
            </w:pPr>
            <w:r>
              <w:rPr>
                <w:rFonts w:ascii="仿宋_GB2312" w:hAnsi="仿宋_GB2312" w:cs="仿宋_GB2312" w:eastAsia="仿宋_GB2312"/>
                <w:sz w:val="24"/>
                <w:color w:val="000000"/>
              </w:rPr>
              <w:t>相关资质齐全、版权合法、服务稳定；提供完善培训、及时售后与技术支持；符合学校网络安全、数据安全及信息化接入规范。</w:t>
            </w:r>
          </w:p>
          <w:p>
            <w:pPr>
              <w:pStyle w:val="null3"/>
              <w:ind w:firstLine="482"/>
              <w:jc w:val="left"/>
            </w:pPr>
            <w:r>
              <w:rPr>
                <w:rFonts w:ascii="仿宋_GB2312" w:hAnsi="仿宋_GB2312" w:cs="仿宋_GB2312" w:eastAsia="仿宋_GB2312"/>
                <w:sz w:val="24"/>
                <w:b/>
                <w:color w:val="000000"/>
              </w:rPr>
              <w:t>二、功能要求</w:t>
            </w:r>
          </w:p>
          <w:p>
            <w:pPr>
              <w:pStyle w:val="null3"/>
              <w:ind w:firstLine="482"/>
              <w:jc w:val="left"/>
            </w:pPr>
            <w:r>
              <w:rPr>
                <w:rFonts w:ascii="仿宋_GB2312" w:hAnsi="仿宋_GB2312" w:cs="仿宋_GB2312" w:eastAsia="仿宋_GB2312"/>
                <w:sz w:val="24"/>
                <w:b/>
                <w:color w:val="000000"/>
              </w:rPr>
              <w:t>（一）中文学术数据库技术参数</w:t>
            </w:r>
          </w:p>
          <w:p>
            <w:pPr>
              <w:pStyle w:val="null3"/>
              <w:ind w:firstLine="420"/>
              <w:jc w:val="left"/>
            </w:pPr>
            <w:r>
              <w:rPr>
                <w:rFonts w:ascii="仿宋_GB2312" w:hAnsi="仿宋_GB2312" w:cs="仿宋_GB2312" w:eastAsia="仿宋_GB2312"/>
                <w:sz w:val="24"/>
                <w:b/>
                <w:color w:val="000000"/>
              </w:rPr>
              <w:t>1.学科类别分类要求</w:t>
            </w:r>
          </w:p>
          <w:p>
            <w:pPr>
              <w:pStyle w:val="null3"/>
              <w:ind w:firstLine="640"/>
              <w:jc w:val="left"/>
            </w:pPr>
            <w:r>
              <w:rPr>
                <w:rFonts w:ascii="仿宋_GB2312" w:hAnsi="仿宋_GB2312" w:cs="仿宋_GB2312" w:eastAsia="仿宋_GB2312"/>
                <w:sz w:val="24"/>
                <w:color w:val="000000"/>
              </w:rPr>
              <w:t>哲学与人文科学、社会科学</w:t>
            </w:r>
            <w:r>
              <w:rPr>
                <w:rFonts w:ascii="仿宋_GB2312" w:hAnsi="仿宋_GB2312" w:cs="仿宋_GB2312" w:eastAsia="仿宋_GB2312"/>
                <w:sz w:val="24"/>
                <w:color w:val="000000"/>
              </w:rPr>
              <w:t>I辑、社会科学Ⅱ辑、经济与管理科学、中国精品文艺作品。</w:t>
            </w:r>
          </w:p>
          <w:p>
            <w:pPr>
              <w:pStyle w:val="null3"/>
              <w:ind w:firstLine="42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.数据库内容要求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1）所提供的产品具有国内、国际正式连续出版物刊号，依法解决版权，定期合法出版，保证所供信息不会引起知识产权纠纷等法律责任。</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2）《中国学术期刊（网络版）》要求：</w:t>
            </w:r>
            <w:r>
              <w:rPr>
                <w:rFonts w:ascii="仿宋_GB2312" w:hAnsi="仿宋_GB2312" w:cs="仿宋_GB2312" w:eastAsia="仿宋_GB2312"/>
                <w:sz w:val="24"/>
                <w:color w:val="000000"/>
              </w:rPr>
              <w:t>全库</w:t>
            </w:r>
            <w:r>
              <w:rPr>
                <w:rFonts w:ascii="仿宋_GB2312" w:hAnsi="仿宋_GB2312" w:cs="仿宋_GB2312" w:eastAsia="仿宋_GB2312"/>
                <w:sz w:val="24"/>
                <w:color w:val="000000"/>
              </w:rPr>
              <w:t>收录期刊总量不少于</w:t>
            </w:r>
            <w:r>
              <w:rPr>
                <w:rFonts w:ascii="仿宋_GB2312" w:hAnsi="仿宋_GB2312" w:cs="仿宋_GB2312" w:eastAsia="仿宋_GB2312"/>
                <w:sz w:val="24"/>
                <w:color w:val="000000"/>
              </w:rPr>
              <w:t>8400种，中文全文文献量不少于6400万篇。</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3）《中国博士学位论文全文数据库》要求</w:t>
            </w:r>
            <w:r>
              <w:rPr>
                <w:rFonts w:ascii="仿宋_GB2312" w:hAnsi="仿宋_GB2312" w:cs="仿宋_GB2312" w:eastAsia="仿宋_GB2312"/>
                <w:sz w:val="24"/>
                <w:color w:val="000000"/>
              </w:rPr>
              <w:t>全库</w:t>
            </w:r>
            <w:r>
              <w:rPr>
                <w:rFonts w:ascii="仿宋_GB2312" w:hAnsi="仿宋_GB2312" w:cs="仿宋_GB2312" w:eastAsia="仿宋_GB2312"/>
                <w:sz w:val="24"/>
                <w:color w:val="000000"/>
              </w:rPr>
              <w:t>总量不少于</w:t>
            </w:r>
            <w:r>
              <w:rPr>
                <w:rFonts w:ascii="仿宋_GB2312" w:hAnsi="仿宋_GB2312" w:cs="仿宋_GB2312" w:eastAsia="仿宋_GB2312"/>
                <w:sz w:val="24"/>
                <w:color w:val="000000"/>
              </w:rPr>
              <w:t>60万篇，当年出版不少于3万篇，网络出版更新时间平均不迟于授予学位之后3个月。</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4）《中国优秀硕士论文全文数据库》要求</w:t>
            </w:r>
            <w:r>
              <w:rPr>
                <w:rFonts w:ascii="仿宋_GB2312" w:hAnsi="仿宋_GB2312" w:cs="仿宋_GB2312" w:eastAsia="仿宋_GB2312"/>
                <w:sz w:val="24"/>
                <w:color w:val="000000"/>
              </w:rPr>
              <w:t>全库</w:t>
            </w:r>
            <w:r>
              <w:rPr>
                <w:rFonts w:ascii="仿宋_GB2312" w:hAnsi="仿宋_GB2312" w:cs="仿宋_GB2312" w:eastAsia="仿宋_GB2312"/>
                <w:sz w:val="24"/>
                <w:color w:val="000000"/>
              </w:rPr>
              <w:t>总量不少于</w:t>
            </w:r>
            <w:r>
              <w:rPr>
                <w:rFonts w:ascii="仿宋_GB2312" w:hAnsi="仿宋_GB2312" w:cs="仿宋_GB2312" w:eastAsia="仿宋_GB2312"/>
                <w:sz w:val="24"/>
                <w:color w:val="000000"/>
              </w:rPr>
              <w:t>600万篇，当年出版总量不少于40万篇，网络出版更新时间平均不迟于论文答辩日期之后3个月。</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5）《中国重要会议论文全文数据库》要求：全国范围内二级以上学会、协会及高校和科研单位等召开的国内重要会议论文，国家一级学会、协会的会议论文收全率不低于90%，</w:t>
            </w:r>
            <w:r>
              <w:rPr>
                <w:rFonts w:ascii="仿宋_GB2312" w:hAnsi="仿宋_GB2312" w:cs="仿宋_GB2312" w:eastAsia="仿宋_GB2312"/>
                <w:sz w:val="24"/>
                <w:color w:val="000000"/>
              </w:rPr>
              <w:t>全库</w:t>
            </w:r>
            <w:r>
              <w:rPr>
                <w:rFonts w:ascii="仿宋_GB2312" w:hAnsi="仿宋_GB2312" w:cs="仿宋_GB2312" w:eastAsia="仿宋_GB2312"/>
                <w:sz w:val="24"/>
                <w:color w:val="000000"/>
              </w:rPr>
              <w:t>全文篇数不少于</w:t>
            </w:r>
            <w:r>
              <w:rPr>
                <w:rFonts w:ascii="仿宋_GB2312" w:hAnsi="仿宋_GB2312" w:cs="仿宋_GB2312" w:eastAsia="仿宋_GB2312"/>
                <w:sz w:val="24"/>
                <w:color w:val="000000"/>
              </w:rPr>
              <w:t>290万篇，当年出版量不少于8万篇。</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6）《中国重要报纸全文数据库》要求</w:t>
            </w:r>
            <w:r>
              <w:rPr>
                <w:rFonts w:ascii="仿宋_GB2312" w:hAnsi="仿宋_GB2312" w:cs="仿宋_GB2312" w:eastAsia="仿宋_GB2312"/>
                <w:sz w:val="24"/>
                <w:color w:val="000000"/>
              </w:rPr>
              <w:t>全库</w:t>
            </w:r>
            <w:r>
              <w:rPr>
                <w:rFonts w:ascii="仿宋_GB2312" w:hAnsi="仿宋_GB2312" w:cs="仿宋_GB2312" w:eastAsia="仿宋_GB2312"/>
                <w:sz w:val="24"/>
                <w:color w:val="000000"/>
              </w:rPr>
              <w:t>收录中央及地方重要报纸不少于</w:t>
            </w:r>
            <w:r>
              <w:rPr>
                <w:rFonts w:ascii="仿宋_GB2312" w:hAnsi="仿宋_GB2312" w:cs="仿宋_GB2312" w:eastAsia="仿宋_GB2312"/>
                <w:sz w:val="24"/>
                <w:color w:val="000000"/>
              </w:rPr>
              <w:t>500种，全文篇数不少于1650万篇，当年出版量不少于100万篇，工作日期间不少于100种报纸实现网络出版日期同步印刷版出版日期。</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7）《中国学术辑刊全文数据库》要求</w:t>
            </w:r>
            <w:r>
              <w:rPr>
                <w:rFonts w:ascii="仿宋_GB2312" w:hAnsi="仿宋_GB2312" w:cs="仿宋_GB2312" w:eastAsia="仿宋_GB2312"/>
                <w:sz w:val="24"/>
                <w:color w:val="000000"/>
              </w:rPr>
              <w:t>全库</w:t>
            </w:r>
            <w:r>
              <w:rPr>
                <w:rFonts w:ascii="仿宋_GB2312" w:hAnsi="仿宋_GB2312" w:cs="仿宋_GB2312" w:eastAsia="仿宋_GB2312"/>
                <w:sz w:val="24"/>
                <w:color w:val="000000"/>
              </w:rPr>
              <w:t>收录国内出版的重要学术辑刊不少于</w:t>
            </w:r>
            <w:r>
              <w:rPr>
                <w:rFonts w:ascii="仿宋_GB2312" w:hAnsi="仿宋_GB2312" w:cs="仿宋_GB2312" w:eastAsia="仿宋_GB2312"/>
                <w:sz w:val="24"/>
                <w:color w:val="000000"/>
              </w:rPr>
              <w:t>1200种，累积文献总量不少于30万篇。</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8）《中国精品文艺作品期刊文献库》要求收录文艺类期刊累积文献总量不少于</w:t>
            </w:r>
            <w:r>
              <w:rPr>
                <w:rFonts w:ascii="仿宋_GB2312" w:hAnsi="仿宋_GB2312" w:cs="仿宋_GB2312" w:eastAsia="仿宋_GB2312"/>
                <w:sz w:val="24"/>
                <w:color w:val="000000"/>
              </w:rPr>
              <w:t>18</w:t>
            </w:r>
            <w:r>
              <w:rPr>
                <w:rFonts w:ascii="仿宋_GB2312" w:hAnsi="仿宋_GB2312" w:cs="仿宋_GB2312" w:eastAsia="仿宋_GB2312"/>
                <w:sz w:val="24"/>
                <w:color w:val="000000"/>
              </w:rPr>
              <w:t>万篇</w:t>
            </w:r>
            <w:r>
              <w:rPr>
                <w:rFonts w:ascii="仿宋_GB2312" w:hAnsi="仿宋_GB2312" w:cs="仿宋_GB2312" w:eastAsia="仿宋_GB2312"/>
                <w:sz w:val="24"/>
                <w:color w:val="000000"/>
              </w:rPr>
              <w:t>，</w:t>
            </w:r>
            <w:r>
              <w:rPr>
                <w:rFonts w:ascii="仿宋_GB2312" w:hAnsi="仿宋_GB2312" w:cs="仿宋_GB2312" w:eastAsia="仿宋_GB2312"/>
                <w:sz w:val="24"/>
                <w:color w:val="000000"/>
              </w:rPr>
              <w:t>当年出版量不少于</w:t>
            </w:r>
            <w:r>
              <w:rPr>
                <w:rFonts w:ascii="仿宋_GB2312" w:hAnsi="仿宋_GB2312" w:cs="仿宋_GB2312" w:eastAsia="仿宋_GB2312"/>
                <w:sz w:val="24"/>
                <w:color w:val="000000"/>
              </w:rPr>
              <w:t>6</w:t>
            </w:r>
            <w:r>
              <w:rPr>
                <w:rFonts w:ascii="仿宋_GB2312" w:hAnsi="仿宋_GB2312" w:cs="仿宋_GB2312" w:eastAsia="仿宋_GB2312"/>
                <w:sz w:val="24"/>
                <w:color w:val="000000"/>
              </w:rPr>
              <w:t>万篇。</w:t>
            </w:r>
          </w:p>
          <w:p>
            <w:pPr>
              <w:pStyle w:val="null3"/>
              <w:ind w:firstLine="482"/>
              <w:jc w:val="left"/>
            </w:pPr>
            <w:r>
              <w:rPr>
                <w:rFonts w:ascii="仿宋_GB2312" w:hAnsi="仿宋_GB2312" w:cs="仿宋_GB2312" w:eastAsia="仿宋_GB2312"/>
                <w:sz w:val="24"/>
                <w:b/>
                <w:color w:val="000000"/>
              </w:rPr>
              <w:t>（二）期刊数字化发展及影响力提升服务技术参数</w:t>
            </w:r>
          </w:p>
          <w:p>
            <w:pPr>
              <w:pStyle w:val="null3"/>
              <w:ind w:firstLine="482"/>
              <w:jc w:val="left"/>
            </w:pPr>
            <w:r>
              <w:rPr>
                <w:rFonts w:ascii="仿宋_GB2312" w:hAnsi="仿宋_GB2312" w:cs="仿宋_GB2312" w:eastAsia="仿宋_GB2312"/>
                <w:sz w:val="24"/>
                <w:b/>
                <w:color w:val="000000"/>
              </w:rPr>
              <w:t>1.期刊智能采编平台系统技术参数</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1）投约稿管理系统</w:t>
            </w:r>
          </w:p>
          <w:p>
            <w:pPr>
              <w:pStyle w:val="null3"/>
              <w:ind w:firstLine="480"/>
              <w:jc w:val="left"/>
            </w:pPr>
            <w:r>
              <w:rPr>
                <w:rFonts w:ascii="仿宋_GB2312" w:hAnsi="仿宋_GB2312" w:cs="仿宋_GB2312" w:eastAsia="仿宋_GB2312"/>
                <w:sz w:val="24"/>
                <w:color w:val="000000"/>
              </w:rPr>
              <w:t>作者投稿查稿：支持作者自主在线投稿、实时查询稿件全流程审理进度，系统自动留存投稿草稿；支持修改稿、配套附件上传下载，开放线上撤稿申请通道；可自主推荐审稿专家、设置回避审稿专家。定向约稿管理：支持编辑端筛选行业专家发起单人定向约稿，同时支持多作者批量统一约稿。投稿流程自定义：可灵活配置投稿全流程步骤，自主设定填报字段，区分必填、选填信息，适配本校办刊管理要求。稿件元数据自动抽取：可自动抓取来稿标题、摘要、关键词、作者信息等核心元字段，简化编辑录入工作量。</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2）全流程编审管理系统</w:t>
            </w:r>
          </w:p>
          <w:p>
            <w:pPr>
              <w:pStyle w:val="null3"/>
              <w:ind w:firstLine="480"/>
              <w:jc w:val="left"/>
            </w:pPr>
            <w:r>
              <w:rPr>
                <w:rFonts w:ascii="仿宋_GB2312" w:hAnsi="仿宋_GB2312" w:cs="仿宋_GB2312" w:eastAsia="仿宋_GB2312"/>
                <w:sz w:val="24"/>
                <w:color w:val="000000"/>
              </w:rPr>
              <w:t>一体化采编流程：完整覆盖来稿登记、初审、专家外审、终审、刊期编排等全线上采编业务流程。在线文稿编辑：支持网页端直接在线浏览、编辑修改稿件内容，无需离线下载处理。便捷化专家审稿：专家可通过邮件直达审稿链接，免登录快速完成审稿；支持自定义多种审稿意见模板，自动留存全部审稿记录，支持审稿汇总报告导出；编辑可优化调整审稿结论，完善审核归档内容，报告包含专家分项意见、意见汇总、编辑终审处理意见。</w:t>
            </w:r>
          </w:p>
          <w:p>
            <w:pPr>
              <w:pStyle w:val="null3"/>
              <w:ind w:firstLine="480"/>
              <w:jc w:val="left"/>
            </w:pPr>
            <w:r>
              <w:rPr>
                <w:rFonts w:ascii="仿宋_GB2312" w:hAnsi="仿宋_GB2312" w:cs="仿宋_GB2312" w:eastAsia="仿宋_GB2312"/>
                <w:sz w:val="24"/>
                <w:color w:val="000000"/>
              </w:rPr>
              <w:t>智能消息提醒：稿件状态流转后自动向作者、审稿专家发送流程通知邮件；对超期未处理任务自动发送催办提醒邮件。</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3）多功能智能辅助工具</w:t>
            </w:r>
          </w:p>
          <w:p>
            <w:pPr>
              <w:pStyle w:val="null3"/>
              <w:ind w:firstLine="480"/>
              <w:jc w:val="left"/>
            </w:pPr>
            <w:r>
              <w:rPr>
                <w:rFonts w:ascii="仿宋_GB2312" w:hAnsi="仿宋_GB2312" w:cs="仿宋_GB2312" w:eastAsia="仿宋_GB2312"/>
                <w:sz w:val="24"/>
                <w:color w:val="000000"/>
              </w:rPr>
              <w:t>学术不端检测：自动对接权威文献比对库，检测稿件文字复制比、重复字数，快速判定稿件原创度。参考文献智能校对：自动校核参考文献题名、作者、刊期、格式等内容正误，校验完整性与规范性，输出标准化审校报告。</w:t>
            </w:r>
            <w:r>
              <w:rPr>
                <w:rFonts w:ascii="仿宋_GB2312" w:hAnsi="仿宋_GB2312" w:cs="仿宋_GB2312" w:eastAsia="仿宋_GB2312"/>
                <w:sz w:val="24"/>
                <w:color w:val="000000"/>
              </w:rPr>
              <w:t>AIGC 内容识别检测：精准甄别稿件内 AI 生成文本内容，严守学术创作规范。智能意识形态审校：自动排查涉政表述差错、敏感用词、标点符号、规范用语等编校问题，降低出版风险。</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4）整体运维服务支撑</w:t>
            </w:r>
          </w:p>
          <w:p>
            <w:pPr>
              <w:pStyle w:val="null3"/>
              <w:ind w:firstLine="480"/>
              <w:jc w:val="left"/>
            </w:pPr>
            <w:r>
              <w:rPr>
                <w:rFonts w:ascii="仿宋_GB2312" w:hAnsi="仿宋_GB2312" w:cs="仿宋_GB2312" w:eastAsia="仿宋_GB2312"/>
                <w:sz w:val="24"/>
                <w:color w:val="000000"/>
              </w:rPr>
              <w:t>平台提供</w:t>
            </w:r>
            <w:r>
              <w:rPr>
                <w:rFonts w:ascii="仿宋_GB2312" w:hAnsi="仿宋_GB2312" w:cs="仿宋_GB2312" w:eastAsia="仿宋_GB2312"/>
                <w:sz w:val="24"/>
                <w:color w:val="000000"/>
              </w:rPr>
              <w:t>7×24 小时全天候系统运维保障，同步配备5×8 小时常态化在线专属技术客服，及时处理系统故障、功能调试、使用答疑、日常运维等各类服务需求，保障期刊采编与精准推送业务长期平稳运行。</w:t>
            </w:r>
          </w:p>
          <w:p>
            <w:pPr>
              <w:pStyle w:val="null3"/>
              <w:ind w:firstLine="482"/>
              <w:jc w:val="left"/>
            </w:pPr>
            <w:r>
              <w:rPr>
                <w:rFonts w:ascii="仿宋_GB2312" w:hAnsi="仿宋_GB2312" w:cs="仿宋_GB2312" w:eastAsia="仿宋_GB2312"/>
                <w:sz w:val="24"/>
                <w:b/>
                <w:color w:val="000000"/>
              </w:rPr>
              <w:t>2.文献精准推送服务技术参数</w:t>
            </w:r>
          </w:p>
          <w:p>
            <w:pPr>
              <w:pStyle w:val="null3"/>
              <w:ind w:firstLine="482"/>
              <w:jc w:val="left"/>
            </w:pPr>
            <w:r>
              <w:rPr>
                <w:rFonts w:ascii="仿宋_GB2312" w:hAnsi="仿宋_GB2312" w:cs="仿宋_GB2312" w:eastAsia="仿宋_GB2312"/>
                <w:sz w:val="24"/>
                <w:b/>
                <w:color w:val="000000"/>
              </w:rPr>
              <w:t>2.1文献数据库平台精准推送服务</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1）推送系统编辑端基本功能</w:t>
            </w:r>
          </w:p>
          <w:p>
            <w:pPr>
              <w:pStyle w:val="null3"/>
              <w:ind w:firstLine="480"/>
              <w:jc w:val="left"/>
            </w:pPr>
            <w:r>
              <w:rPr>
                <w:rFonts w:ascii="仿宋_GB2312" w:hAnsi="仿宋_GB2312" w:cs="仿宋_GB2312" w:eastAsia="仿宋_GB2312"/>
                <w:sz w:val="24"/>
                <w:color w:val="000000"/>
              </w:rPr>
              <w:t>论文检索：编辑端可便捷精准检索筛选待推送论文，检索操作简洁高效。荐语管理：支持在线撰写、编辑修改推荐导语，可随时查阅荐语审核意见。推送任务管理：支持单独提交单篇推送任务，任务正式分发前可自由撤销。历史数据管理：可查询全部推送历史记录，支持导出统计报告，导出格式兼容</w:t>
            </w:r>
            <w:r>
              <w:rPr>
                <w:rFonts w:ascii="仿宋_GB2312" w:hAnsi="仿宋_GB2312" w:cs="仿宋_GB2312" w:eastAsia="仿宋_GB2312"/>
                <w:sz w:val="24"/>
                <w:color w:val="000000"/>
              </w:rPr>
              <w:t>CSV、Excel。状态与操作日志：任务运行状态可视化展示；系统自动留存完整操作日志，明确记录操作人、操作时间、操作类型，全程可溯源。</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2）提交与分发时限</w:t>
            </w:r>
          </w:p>
          <w:p>
            <w:pPr>
              <w:pStyle w:val="null3"/>
              <w:ind w:firstLine="480"/>
              <w:jc w:val="left"/>
            </w:pPr>
            <w:r>
              <w:rPr>
                <w:rFonts w:ascii="仿宋_GB2312" w:hAnsi="仿宋_GB2312" w:cs="仿宋_GB2312" w:eastAsia="仿宋_GB2312"/>
                <w:sz w:val="24"/>
                <w:color w:val="000000"/>
              </w:rPr>
              <w:t>分发时效：编辑端提交推送任务后，在工作日内完成渠道展示分发，最长时限</w:t>
            </w:r>
            <w:r>
              <w:rPr>
                <w:rFonts w:ascii="仿宋_GB2312" w:hAnsi="仿宋_GB2312" w:cs="仿宋_GB2312" w:eastAsia="仿宋_GB2312"/>
                <w:sz w:val="24"/>
                <w:color w:val="000000"/>
              </w:rPr>
              <w:t>≤72 小时。批量推送：支持批量录入推送需求，单条录入默认为单篇推送任务，单次批量提交上限不少于 10 条。</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3）推送效果统计报告成果报告</w:t>
            </w:r>
          </w:p>
          <w:p>
            <w:pPr>
              <w:pStyle w:val="null3"/>
              <w:ind w:firstLine="480"/>
              <w:jc w:val="left"/>
            </w:pPr>
            <w:r>
              <w:rPr>
                <w:rFonts w:ascii="仿宋_GB2312" w:hAnsi="仿宋_GB2312" w:cs="仿宋_GB2312" w:eastAsia="仿宋_GB2312"/>
                <w:sz w:val="24"/>
                <w:color w:val="000000"/>
              </w:rPr>
              <w:t>系统可自动生成标准化《推送效果反馈报告》，内容涵盖推送时间、文献点击量、新增下载量，明确标注新增下载量统计计算口径。出具时限：推送完成</w:t>
            </w:r>
            <w:r>
              <w:rPr>
                <w:rFonts w:ascii="仿宋_GB2312" w:hAnsi="仿宋_GB2312" w:cs="仿宋_GB2312" w:eastAsia="仿宋_GB2312"/>
                <w:sz w:val="24"/>
                <w:color w:val="000000"/>
              </w:rPr>
              <w:t>7 日内出具初步关联运营数据，30 日内出具完整正式推送效果反馈报告。</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4）系统运行可用性</w:t>
            </w:r>
          </w:p>
          <w:p>
            <w:pPr>
              <w:pStyle w:val="null3"/>
              <w:ind w:firstLine="480"/>
              <w:jc w:val="left"/>
            </w:pPr>
            <w:r>
              <w:rPr>
                <w:rFonts w:ascii="仿宋_GB2312" w:hAnsi="仿宋_GB2312" w:cs="仿宋_GB2312" w:eastAsia="仿宋_GB2312"/>
                <w:sz w:val="24"/>
                <w:color w:val="000000"/>
              </w:rPr>
              <w:t>平台月度系统可用率</w:t>
            </w:r>
            <w:r>
              <w:rPr>
                <w:rFonts w:ascii="仿宋_GB2312" w:hAnsi="仿宋_GB2312" w:cs="仿宋_GB2312" w:eastAsia="仿宋_GB2312"/>
                <w:sz w:val="24"/>
                <w:color w:val="000000"/>
              </w:rPr>
              <w:t>≥99%，开展计划性系统维护须提前向使用方完成通知报备。</w:t>
            </w:r>
          </w:p>
          <w:p>
            <w:pPr>
              <w:pStyle w:val="null3"/>
              <w:ind w:firstLine="482"/>
              <w:jc w:val="left"/>
            </w:pPr>
            <w:r>
              <w:rPr>
                <w:rFonts w:ascii="仿宋_GB2312" w:hAnsi="仿宋_GB2312" w:cs="仿宋_GB2312" w:eastAsia="仿宋_GB2312"/>
                <w:sz w:val="24"/>
                <w:b/>
                <w:color w:val="000000"/>
              </w:rPr>
              <w:t>2.2邮件精准推送服务</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1）底层数据库资源规模</w:t>
            </w:r>
          </w:p>
          <w:p>
            <w:pPr>
              <w:pStyle w:val="null3"/>
              <w:ind w:firstLine="480"/>
              <w:jc w:val="left"/>
            </w:pPr>
            <w:r>
              <w:rPr>
                <w:rFonts w:ascii="仿宋_GB2312" w:hAnsi="仿宋_GB2312" w:cs="仿宋_GB2312" w:eastAsia="仿宋_GB2312"/>
                <w:sz w:val="24"/>
                <w:color w:val="000000"/>
              </w:rPr>
              <w:t>依托权威学术资源池搭建推送数据源，收录学术期刊数量不少于</w:t>
            </w:r>
            <w:r>
              <w:rPr>
                <w:rFonts w:ascii="仿宋_GB2312" w:hAnsi="仿宋_GB2312" w:cs="仿宋_GB2312" w:eastAsia="仿宋_GB2312"/>
                <w:sz w:val="24"/>
                <w:color w:val="000000"/>
              </w:rPr>
              <w:t>8000 种，科研论文存量不少于 5500 万篇；配套权威作者资源库收录作者不少于 5000 万名，机构资源库收录科研及办学机构不少于 170 万个。</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2）精准推送对象智能匹配</w:t>
            </w:r>
          </w:p>
          <w:p>
            <w:pPr>
              <w:pStyle w:val="null3"/>
              <w:ind w:firstLine="480"/>
              <w:jc w:val="left"/>
            </w:pPr>
            <w:r>
              <w:rPr>
                <w:rFonts w:ascii="仿宋_GB2312" w:hAnsi="仿宋_GB2312" w:cs="仿宋_GB2312" w:eastAsia="仿宋_GB2312"/>
                <w:sz w:val="24"/>
                <w:color w:val="000000"/>
              </w:rPr>
              <w:t>可依据每期推送主题、核心论文研究方向等信息，智能匹配高度契合的相关学术文献，依托文献对应发文作者精准锁定推送受众群体，保障推送内容与接收对象专业领域高度匹配。</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3）邮件推送运行性能</w:t>
            </w:r>
          </w:p>
          <w:p>
            <w:pPr>
              <w:pStyle w:val="null3"/>
              <w:ind w:firstLine="480"/>
              <w:jc w:val="left"/>
            </w:pPr>
            <w:r>
              <w:rPr>
                <w:rFonts w:ascii="仿宋_GB2312" w:hAnsi="仿宋_GB2312" w:cs="仿宋_GB2312" w:eastAsia="仿宋_GB2312"/>
                <w:sz w:val="24"/>
                <w:color w:val="000000"/>
              </w:rPr>
              <w:t>推送服务运行稳定高效，可在</w:t>
            </w:r>
            <w:r>
              <w:rPr>
                <w:rFonts w:ascii="仿宋_GB2312" w:hAnsi="仿宋_GB2312" w:cs="仿宋_GB2312" w:eastAsia="仿宋_GB2312"/>
                <w:sz w:val="24"/>
                <w:color w:val="000000"/>
              </w:rPr>
              <w:t>3 个自然日内完成 5000 封量级定向学术邮件推送，全程无推送卡顿、漏发、错发、重复推送等异常问题。</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4）推送执行数据反馈</w:t>
            </w:r>
          </w:p>
          <w:p>
            <w:pPr>
              <w:pStyle w:val="null3"/>
              <w:ind w:firstLine="480"/>
              <w:jc w:val="left"/>
            </w:pPr>
            <w:r>
              <w:rPr>
                <w:rFonts w:ascii="仿宋_GB2312" w:hAnsi="仿宋_GB2312" w:cs="仿宋_GB2312" w:eastAsia="仿宋_GB2312"/>
                <w:sz w:val="24"/>
                <w:color w:val="000000"/>
              </w:rPr>
              <w:t>受众信息反馈：推送工作完成后，向采购方提供推送对象公开基础信息，包含作者姓名、所属工作学习机构两项核心内容。全流程跟踪报告：同步出具完整邮件推送执行跟踪报告，清晰列明推送进度、送达情况、执行明细等内容，便于甲方统筹管控推送成效。</w:t>
            </w:r>
          </w:p>
          <w:p>
            <w:pPr>
              <w:pStyle w:val="null3"/>
              <w:ind w:firstLine="482"/>
              <w:jc w:val="left"/>
            </w:pPr>
            <w:r>
              <w:rPr>
                <w:rFonts w:ascii="仿宋_GB2312" w:hAnsi="仿宋_GB2312" w:cs="仿宋_GB2312" w:eastAsia="仿宋_GB2312"/>
                <w:sz w:val="24"/>
                <w:b/>
                <w:color w:val="000000"/>
              </w:rPr>
              <w:t>2.3大学生毕业论文（设计）管理系统基础版含学术不端检测（500次）模块技术参数</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1）总体架构与基础环境参数</w:t>
            </w:r>
          </w:p>
          <w:p>
            <w:pPr>
              <w:pStyle w:val="null3"/>
              <w:ind w:firstLine="480"/>
              <w:jc w:val="left"/>
            </w:pPr>
            <w:r>
              <w:rPr>
                <w:rFonts w:ascii="仿宋_GB2312" w:hAnsi="仿宋_GB2312" w:cs="仿宋_GB2312" w:eastAsia="仿宋_GB2312"/>
                <w:sz w:val="24"/>
                <w:color w:val="000000"/>
              </w:rPr>
              <w:t>系统采用</w:t>
            </w:r>
            <w:r>
              <w:rPr>
                <w:rFonts w:ascii="仿宋_GB2312" w:hAnsi="仿宋_GB2312" w:cs="仿宋_GB2312" w:eastAsia="仿宋_GB2312"/>
                <w:sz w:val="24"/>
                <w:color w:val="000000"/>
              </w:rPr>
              <w:t>B/S浏览器/服务器架构，支持MySQL数据库，兼容Windows与Linux操作系统，可在Edge、Chrome等主流浏览器稳定运行。系统采用负载均衡技术，在大资源量场景下支持Kbase管理服务，确保响应速度与高可用；整体采用模块化设计，遵循通用技术规范与接口标准，具备良好扩展性，可适配后续业务功能升级。</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2）系统安全与权限管理参数</w:t>
            </w:r>
          </w:p>
          <w:p>
            <w:pPr>
              <w:pStyle w:val="null3"/>
              <w:ind w:firstLine="480"/>
              <w:jc w:val="left"/>
            </w:pPr>
            <w:r>
              <w:rPr>
                <w:rFonts w:ascii="仿宋_GB2312" w:hAnsi="仿宋_GB2312" w:cs="仿宋_GB2312" w:eastAsia="仿宋_GB2312"/>
                <w:sz w:val="24"/>
                <w:color w:val="000000"/>
              </w:rPr>
              <w:t>系统具备完善安全机制，支持严格权限划分、视图访问控制、服务器分离部署、数据加密存储与解密、数据定时备份等安全策略，全面保障运行与数据安全。系统支持统一用户与权限管理，可从人员、部门、角色、安全等级多维度实施分权管控；支持管理员自主创建师生账号、维护院系专业与教研室信息，可配置指导教师、教学秘书、院系管理员、督导专家等多角色权限，最小可控制到操作级按钮，并支持角色名称自定义。</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3）核心流程与功能管理参数</w:t>
            </w:r>
          </w:p>
          <w:p>
            <w:pPr>
              <w:pStyle w:val="null3"/>
              <w:ind w:firstLine="480"/>
              <w:jc w:val="left"/>
            </w:pPr>
            <w:r>
              <w:rPr>
                <w:rFonts w:ascii="仿宋_GB2312" w:hAnsi="仿宋_GB2312" w:cs="仿宋_GB2312" w:eastAsia="仿宋_GB2312"/>
                <w:sz w:val="24"/>
                <w:color w:val="000000"/>
              </w:rPr>
              <w:t>系统支持毕业设计全流程在线管理，可自定义业务流程、文档模板、审核节点、处理时限与操作权限，全程记录操作日志并支持监控管理。首页以任务地图图形化展示流程，提供待办提醒、进度展示、待办审核、通知公告与未读消息处理功能；驾驶舱实时展示学生数、双选进度、课题数、成绩分布、检测结果、答辩进度、过程文档状态及评优情况，数据实时更新。系统支持师生双选四种模式，兼容单独课题与团队课题，提供草稿、修改、审核与历史版本留存，支持预选与分页管理。</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4）选题与课题智能管理参数</w:t>
            </w:r>
          </w:p>
          <w:p>
            <w:pPr>
              <w:pStyle w:val="null3"/>
              <w:ind w:firstLine="480"/>
              <w:jc w:val="left"/>
            </w:pPr>
            <w:r>
              <w:rPr>
                <w:rFonts w:ascii="仿宋_GB2312" w:hAnsi="仿宋_GB2312" w:cs="仿宋_GB2312" w:eastAsia="仿宋_GB2312"/>
                <w:sz w:val="24"/>
                <w:color w:val="000000"/>
              </w:rPr>
              <w:t>系统具备选题分析功能，可提供题目推荐、相关文献、研究趋势、主题分析、机构与学者期刊关联，并支持文献收藏。系统提供文献伴读功能，支持教师向学生推送学术文献，具备</w:t>
            </w:r>
            <w:r>
              <w:rPr>
                <w:rFonts w:ascii="仿宋_GB2312" w:hAnsi="仿宋_GB2312" w:cs="仿宋_GB2312" w:eastAsia="仿宋_GB2312"/>
                <w:sz w:val="24"/>
                <w:color w:val="000000"/>
              </w:rPr>
              <w:t>AI生成概要、创新性评价、核心思想提炼能力。系统具备课题排重功能，支持本学年及跨年度课题比对排重，可自定义重复条件，支持中文、英文、小语种、民文多语言题目检测。</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5）过程文档与论文管理参数</w:t>
            </w:r>
          </w:p>
          <w:p>
            <w:pPr>
              <w:pStyle w:val="null3"/>
              <w:ind w:firstLine="480"/>
              <w:jc w:val="left"/>
            </w:pPr>
            <w:r>
              <w:rPr>
                <w:rFonts w:ascii="仿宋_GB2312" w:hAnsi="仿宋_GB2312" w:cs="仿宋_GB2312" w:eastAsia="仿宋_GB2312"/>
                <w:sz w:val="24"/>
                <w:color w:val="000000"/>
              </w:rPr>
              <w:t>系统包含任务书、指导记录、开题报告、外文译文、写作记录卡、文献综述、初期检查、中期检查，支持自定义模块、表单与审核流程配置，支持学生提交修改与历史记录留存，兼容团队课题管理。论文管理支持初稿、过程版、盲审版、最终版多版本管控，支持自定义扩展与流程配置；系统支持划词批注，可保留历史记录并支持批注内容导出。</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6）评阅、答辩与督导管理参数</w:t>
            </w:r>
          </w:p>
          <w:p>
            <w:pPr>
              <w:pStyle w:val="null3"/>
              <w:ind w:firstLine="480"/>
              <w:jc w:val="left"/>
            </w:pPr>
            <w:r>
              <w:rPr>
                <w:rFonts w:ascii="仿宋_GB2312" w:hAnsi="仿宋_GB2312" w:cs="仿宋_GB2312" w:eastAsia="仿宋_GB2312"/>
                <w:sz w:val="24"/>
                <w:color w:val="000000"/>
              </w:rPr>
              <w:t>评阅与成绩管理支持按院系、专业、课题类型设置评分权重，支持分项打分、等级评分、多人评阅、盲评、交叉评阅，支持成绩查看、修改与</w:t>
            </w:r>
            <w:r>
              <w:rPr>
                <w:rFonts w:ascii="仿宋_GB2312" w:hAnsi="仿宋_GB2312" w:cs="仿宋_GB2312" w:eastAsia="仿宋_GB2312"/>
                <w:sz w:val="24"/>
                <w:color w:val="000000"/>
              </w:rPr>
              <w:t>Excel 导出。答辩管理涵盖开题、中期、预答辩、毕业答辩四大模块，支持答辩组安排、在线评审与成绩录入。督导检查支持学生、院系、专业、各答辩环节多维度检查，支持检查内容自定义勾选；工作检查支持院系、专业、班级全流程进度查看与总结。</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7）导出、统计与智能报告参数</w:t>
            </w:r>
          </w:p>
          <w:p>
            <w:pPr>
              <w:pStyle w:val="null3"/>
              <w:ind w:firstLine="480"/>
              <w:jc w:val="left"/>
            </w:pPr>
            <w:r>
              <w:rPr>
                <w:rFonts w:ascii="仿宋_GB2312" w:hAnsi="仿宋_GB2312" w:cs="仿宋_GB2312" w:eastAsia="仿宋_GB2312"/>
                <w:sz w:val="24"/>
                <w:color w:val="000000"/>
              </w:rPr>
              <w:t>系统支持统一文档导出，可批量导出课题、任务书、开题报告、中期检查、成绩单等各类材料，支持管理员配置导出权限，提供大文件稳定导出工具。支持按教育部抽检要求导出标准数据结构表、论文原文与检测报告单，支持题目核查与</w:t>
            </w:r>
            <w:r>
              <w:rPr>
                <w:rFonts w:ascii="仿宋_GB2312" w:hAnsi="仿宋_GB2312" w:cs="仿宋_GB2312" w:eastAsia="仿宋_GB2312"/>
                <w:sz w:val="24"/>
                <w:color w:val="000000"/>
              </w:rPr>
              <w:t>PDF 上传。信息统计支持论文、检测结果、教师工作量、答辩情况、选题情况多维度分析，支持数据导出与自定义维度报表生成。</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8）学术不端检测技术参数</w:t>
            </w:r>
          </w:p>
          <w:p>
            <w:pPr>
              <w:pStyle w:val="null3"/>
              <w:ind w:firstLine="480"/>
              <w:jc w:val="left"/>
            </w:pPr>
            <w:r>
              <w:rPr>
                <w:rFonts w:ascii="仿宋_GB2312" w:hAnsi="仿宋_GB2312" w:cs="仿宋_GB2312" w:eastAsia="仿宋_GB2312"/>
                <w:sz w:val="24"/>
                <w:color w:val="000000"/>
              </w:rPr>
              <w:t>可识别文字抄袭、机器降重、引用标注、语义改写等行为；支持</w:t>
            </w:r>
            <w:r>
              <w:rPr>
                <w:rFonts w:ascii="仿宋_GB2312" w:hAnsi="仿宋_GB2312" w:cs="仿宋_GB2312" w:eastAsia="仿宋_GB2312"/>
                <w:sz w:val="24"/>
                <w:color w:val="000000"/>
              </w:rPr>
              <w:t>doc、docx、pdf、wps 多格式，支持中、英、小语种、民文及跨语言内容检测，支持 OCR 图片文字识别；支持表格公式抽取、单篇最大重复比对、引用/去除本人已发表文献/观点内容分别检测。系统自动生成学术不端标准检测指标，含剽窃观点、自我剽窃、过度引用、整体剽窃、文字表述剽窃等，支持文献溯源与校内互检。</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9）检测比对库与结果展示参数</w:t>
            </w:r>
          </w:p>
          <w:p>
            <w:pPr>
              <w:pStyle w:val="null3"/>
              <w:ind w:firstLine="480"/>
              <w:jc w:val="left"/>
            </w:pPr>
            <w:r>
              <w:rPr>
                <w:rFonts w:ascii="仿宋_GB2312" w:hAnsi="仿宋_GB2312" w:cs="仿宋_GB2312" w:eastAsia="仿宋_GB2312"/>
                <w:sz w:val="24"/>
                <w:color w:val="000000"/>
              </w:rPr>
              <w:t>比对库资源权威全面、来源合法，包含国内主流学术期刊、硕博论文、会议论文、报纸数据，包含大学生论文联合比对库，同时覆盖互联网、图书、小语种资源。检测结果支持重复内容自动定位与颜色标注，提供网页、报表、检测报告单多形式展示，支持多种报告单导出；检测结果统计支持按复制比区间、按年度对比分析。</w:t>
            </w:r>
          </w:p>
          <w:p>
            <w:pPr>
              <w:pStyle w:val="null3"/>
              <w:ind w:firstLine="482"/>
              <w:jc w:val="left"/>
            </w:pPr>
            <w:r>
              <w:rPr>
                <w:rFonts w:ascii="仿宋_GB2312" w:hAnsi="仿宋_GB2312" w:cs="仿宋_GB2312" w:eastAsia="仿宋_GB2312"/>
                <w:sz w:val="24"/>
                <w:b/>
                <w:color w:val="000000"/>
              </w:rPr>
              <w:t>三、其他要求</w:t>
            </w:r>
          </w:p>
          <w:p>
            <w:pPr>
              <w:pStyle w:val="null3"/>
              <w:ind w:firstLine="480"/>
              <w:jc w:val="left"/>
            </w:pPr>
            <w:r>
              <w:rPr>
                <w:rFonts w:ascii="仿宋_GB2312" w:hAnsi="仿宋_GB2312" w:cs="仿宋_GB2312" w:eastAsia="仿宋_GB2312"/>
                <w:sz w:val="24"/>
                <w:b/>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服务模式：云托管方式；</w:t>
            </w:r>
          </w:p>
          <w:p>
            <w:pPr>
              <w:pStyle w:val="null3"/>
              <w:ind w:firstLine="480"/>
              <w:jc w:val="left"/>
            </w:pPr>
            <w:r>
              <w:rPr>
                <w:rFonts w:ascii="仿宋_GB2312" w:hAnsi="仿宋_GB2312" w:cs="仿宋_GB2312" w:eastAsia="仿宋_GB2312"/>
                <w:sz w:val="24"/>
                <w:color w:val="000000"/>
              </w:rPr>
              <w:t>接入方式：基于互联网，通过用户单位公网出口</w:t>
            </w:r>
            <w:r>
              <w:rPr>
                <w:rFonts w:ascii="仿宋_GB2312" w:hAnsi="仿宋_GB2312" w:cs="仿宋_GB2312" w:eastAsia="仿宋_GB2312"/>
                <w:sz w:val="24"/>
                <w:color w:val="000000"/>
              </w:rPr>
              <w:t>IP认证访问；</w:t>
            </w:r>
          </w:p>
          <w:p>
            <w:pPr>
              <w:pStyle w:val="null3"/>
              <w:ind w:firstLine="480"/>
              <w:jc w:val="left"/>
            </w:pPr>
            <w:r>
              <w:rPr>
                <w:rFonts w:ascii="仿宋_GB2312" w:hAnsi="仿宋_GB2312" w:cs="仿宋_GB2312" w:eastAsia="仿宋_GB2312"/>
                <w:sz w:val="24"/>
                <w:color w:val="000000"/>
              </w:rPr>
              <w:t>服务及衡量标准：用户通过内网链接中国知网，采用</w:t>
            </w:r>
            <w:r>
              <w:rPr>
                <w:rFonts w:ascii="仿宋_GB2312" w:hAnsi="仿宋_GB2312" w:cs="仿宋_GB2312" w:eastAsia="仿宋_GB2312"/>
                <w:sz w:val="24"/>
                <w:color w:val="000000"/>
              </w:rPr>
              <w:t>IP 认证登录，可使用本单位订购专辑、专题库自创刊至当年数据；云租用服务数据与知网中心网站一致且实时更新，次年提供上一年度数据本地安装服务。</w:t>
            </w:r>
          </w:p>
          <w:p>
            <w:pPr>
              <w:pStyle w:val="null3"/>
              <w:ind w:firstLine="480"/>
              <w:jc w:val="left"/>
            </w:pPr>
            <w:r>
              <w:rPr>
                <w:rFonts w:ascii="仿宋_GB2312" w:hAnsi="仿宋_GB2312" w:cs="仿宋_GB2312" w:eastAsia="仿宋_GB2312"/>
                <w:sz w:val="24"/>
                <w:color w:val="000000"/>
              </w:rPr>
              <w:t>用户数量：无并发用户数限制，按照</w:t>
            </w:r>
            <w:r>
              <w:rPr>
                <w:rFonts w:ascii="仿宋_GB2312" w:hAnsi="仿宋_GB2312" w:cs="仿宋_GB2312" w:eastAsia="仿宋_GB2312"/>
                <w:sz w:val="24"/>
                <w:color w:val="000000"/>
              </w:rPr>
              <w:t>IP 范围认证。</w:t>
            </w:r>
          </w:p>
          <w:p>
            <w:pPr>
              <w:pStyle w:val="null3"/>
              <w:ind w:firstLine="480"/>
              <w:jc w:val="left"/>
            </w:pPr>
            <w:r>
              <w:rPr>
                <w:rFonts w:ascii="仿宋_GB2312" w:hAnsi="仿宋_GB2312" w:cs="仿宋_GB2312" w:eastAsia="仿宋_GB2312"/>
                <w:sz w:val="24"/>
                <w:color w:val="000000"/>
              </w:rPr>
              <w:t>VPN模式：不提供 VPN 服务。</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.数据库更新频率：本地安装资源不更新，远程访问资源定期更新。</w:t>
            </w:r>
          </w:p>
          <w:p>
            <w:pPr>
              <w:pStyle w:val="null3"/>
              <w:ind w:firstLine="476"/>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.质量保证：</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1）数据库内容符合招标要求。</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2）数据平台运行稳定，运行速度符合行业标准。</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3）数据库任何版权问题，由提供商解决，用户不承担任何版权责任。</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4）学校师生使用过程对数据库进行的完善补充，所有数据及版权归学校所有。</w:t>
            </w:r>
          </w:p>
          <w:p>
            <w:pPr>
              <w:pStyle w:val="null3"/>
              <w:ind w:firstLine="478"/>
              <w:jc w:val="left"/>
            </w:pPr>
            <w:r>
              <w:rPr>
                <w:rFonts w:ascii="仿宋_GB2312" w:hAnsi="仿宋_GB2312" w:cs="仿宋_GB2312" w:eastAsia="仿宋_GB2312"/>
                <w:sz w:val="24"/>
                <w:b/>
                <w:color w:val="000000"/>
              </w:rPr>
              <w:t>（三）售后服务</w:t>
            </w:r>
          </w:p>
          <w:p>
            <w:pPr>
              <w:pStyle w:val="null3"/>
              <w:ind w:firstLine="476"/>
              <w:jc w:val="left"/>
            </w:pPr>
            <w:r>
              <w:rPr>
                <w:rFonts w:ascii="仿宋_GB2312" w:hAnsi="仿宋_GB2312" w:cs="仿宋_GB2312" w:eastAsia="仿宋_GB2312"/>
                <w:sz w:val="24"/>
                <w:color w:val="000000"/>
              </w:rPr>
              <w:t>1.要求提供数据库讲座及学习培训保证每年至少一次；</w:t>
            </w:r>
          </w:p>
          <w:p>
            <w:pPr>
              <w:pStyle w:val="null3"/>
              <w:ind w:firstLine="476"/>
              <w:jc w:val="left"/>
            </w:pPr>
            <w:r>
              <w:rPr>
                <w:rFonts w:ascii="仿宋_GB2312" w:hAnsi="仿宋_GB2312" w:cs="仿宋_GB2312" w:eastAsia="仿宋_GB2312"/>
                <w:sz w:val="24"/>
                <w:color w:val="000000"/>
              </w:rPr>
              <w:t>2.要求为学校提供校内宣传及推广；</w:t>
            </w:r>
          </w:p>
          <w:p>
            <w:pPr>
              <w:pStyle w:val="null3"/>
              <w:ind w:firstLine="476"/>
              <w:jc w:val="left"/>
            </w:pPr>
            <w:r>
              <w:rPr>
                <w:rFonts w:ascii="仿宋_GB2312" w:hAnsi="仿宋_GB2312" w:cs="仿宋_GB2312" w:eastAsia="仿宋_GB2312"/>
                <w:sz w:val="24"/>
                <w:color w:val="000000"/>
              </w:rPr>
              <w:t>3.要求提供数据库介绍，使用指导，课程说明，易拉宝等宣传物品；</w:t>
            </w:r>
          </w:p>
          <w:p>
            <w:pPr>
              <w:pStyle w:val="null3"/>
              <w:ind w:firstLine="476"/>
              <w:jc w:val="left"/>
            </w:pPr>
            <w:r>
              <w:rPr>
                <w:rFonts w:ascii="仿宋_GB2312" w:hAnsi="仿宋_GB2312" w:cs="仿宋_GB2312" w:eastAsia="仿宋_GB2312"/>
                <w:sz w:val="24"/>
                <w:color w:val="000000"/>
              </w:rPr>
              <w:t>4.要求提供安装调试、人员培训、技术支持；</w:t>
            </w:r>
          </w:p>
          <w:p>
            <w:pPr>
              <w:pStyle w:val="null3"/>
              <w:ind w:firstLine="476"/>
              <w:jc w:val="left"/>
            </w:pPr>
            <w:r>
              <w:rPr>
                <w:rFonts w:ascii="仿宋_GB2312" w:hAnsi="仿宋_GB2312" w:cs="仿宋_GB2312" w:eastAsia="仿宋_GB2312"/>
                <w:sz w:val="24"/>
                <w:color w:val="000000"/>
              </w:rPr>
              <w:t>5.要求供应商在远程访问质保期5年内进行数据的更新，数据库使用中出现任何问题保证2小时内作出响应，48小时内解决问题；</w:t>
            </w:r>
          </w:p>
          <w:p>
            <w:pPr>
              <w:pStyle w:val="null3"/>
              <w:ind w:firstLine="476"/>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.提供数据安全保密协议，确保数据不外泄；若发生数据泄露等相关责任，由供应商全权承担。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交付期限：合同签订后20个日历日。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西安戏剧学院图书馆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其他，合同签订后，全部功能安装完毕并正常使用一个月内，达到付款条件起10个工作日内，支付合同总金额的90.0%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其他，项目验收合格后，达到付款条件起10个工作日内，支付合同总金额的10.0%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（1）由甲方组织或委托相关部门对服务的内容及成果进行验收。 （2）验收依据：合同文本、合同附件、招标文件及投标文件。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质保期：五年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1、采购文件要求签字或盖章之处，非法人单位均参照执行。 2、供应商需要在线提交所有通过电子化交易平台实施的政府采购项目的响应文件，同时，线下提交纸质响应文件正本壹份、副本贰份、电子版壹份（U盘一套标明投标人名称，单独密封），纸质响应文件双面打印。 3、线下纸质响应文件递交截止时间：同在线递交电子响应文件截止时间一致；线下纸质响应文件递交地点：西安市雁展路1111号莱安中心T6-15层。如需邮寄投标文件，仅接受顺丰速运（联系人：汪涛、联系电话：029-81206622-821）。 4、保证金的退还：自采购合同签订之日起5个工作日内退还成交供应商的投标保证金。 5、需要落实的政府采购政策：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保证金缴纳凭证.docx 供应商资格证明文件.docx 服务内容及服务要求应答表.docx 响应函 报价表.docx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保证金缴纳凭证.docx 供应商资格证明文件.docx 服务内容及服务要求应答表.docx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保证金缴纳凭证.docx 供应商资格证明文件.docx 服务内容及服务要求应答表.docx 响应函 报价表.docx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 响应函 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残疾人福利性单位声明函 标的清单 保证金缴纳凭证.docx 供应商资格证明文件.docx 服务内容及服务要求应答表.docx 响应函 报价表.docx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保证金缴纳符合单一来源采购文件要求</w:t>
            </w:r>
          </w:p>
        </w:tc>
        <w:tc>
          <w:tcPr>
            <w:tcW w:type="dxa" w:w="1661"/>
          </w:tcPr>
          <w:p>
            <w:pPr>
              <w:pStyle w:val="null3"/>
            </w:pPr>
            <w:r>
              <w:rPr>
                <w:rFonts w:ascii="仿宋_GB2312" w:hAnsi="仿宋_GB2312" w:cs="仿宋_GB2312" w:eastAsia="仿宋_GB2312"/>
              </w:rPr>
              <w:t>保证金缴纳凭证.docx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