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版本号：ZCPC-2026-02520260512001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2026-2027年度西安海外社交媒体账号运维项目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ZCPC-2026-025</w:t>
      </w:r>
      <w:r>
        <w:br/>
      </w:r>
      <w:r>
        <w:br/>
      </w:r>
      <w:r>
        <w:br/>
      </w:r>
    </w:p>
    <w:p>
      <w:pPr>
        <w:pStyle w:val="null3"/>
        <w:jc w:val="center"/>
        <w:outlineLvl w:val="2"/>
      </w:pPr>
      <w:r>
        <w:rPr>
          <w:rFonts w:ascii="仿宋_GB2312" w:hAnsi="仿宋_GB2312" w:cs="仿宋_GB2312" w:eastAsia="仿宋_GB2312"/>
          <w:sz w:val="28"/>
          <w:b/>
        </w:rPr>
        <w:t>中共西安市委宣传部（本级）</w:t>
      </w:r>
    </w:p>
    <w:p>
      <w:pPr>
        <w:pStyle w:val="null3"/>
        <w:jc w:val="center"/>
        <w:outlineLvl w:val="2"/>
      </w:pPr>
      <w:r>
        <w:rPr>
          <w:rFonts w:ascii="仿宋_GB2312" w:hAnsi="仿宋_GB2312" w:cs="仿宋_GB2312" w:eastAsia="仿宋_GB2312"/>
          <w:sz w:val="28"/>
          <w:b/>
        </w:rPr>
        <w:t>陕西众灿品诚项目管理有限公司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陕西众灿品诚项目管理有限公司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中共西安市委宣传部（本级）</w:t>
      </w:r>
      <w:r>
        <w:rPr>
          <w:rFonts w:ascii="仿宋_GB2312" w:hAnsi="仿宋_GB2312" w:cs="仿宋_GB2312" w:eastAsia="仿宋_GB2312"/>
        </w:rPr>
        <w:t>委托，拟对</w:t>
      </w:r>
      <w:r>
        <w:rPr>
          <w:rFonts w:ascii="仿宋_GB2312" w:hAnsi="仿宋_GB2312" w:cs="仿宋_GB2312" w:eastAsia="仿宋_GB2312"/>
        </w:rPr>
        <w:t>2026-2027年度西安海外社交媒体账号运维项目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ZCPC-2026-025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2026-2027年度西安海外社交媒体账号运维项目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2026-2027年度西安海外社交媒体账号运维项目，具体内容详见竞争性磋商文件。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采购包1（2026-2027年度西安海外社交媒体账号运维项目）：属于专门面向中小企业采购。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1、法人授权委托书：法定代表人参与投标时，提供法定代表人身份证明及本人身份证复印件加盖公章；授权代表参与磋商时，提供企业法人授权委托书和被授权人身份证复印件加盖公章；</w:t>
      </w:r>
    </w:p>
    <w:p>
      <w:pPr>
        <w:pStyle w:val="null3"/>
      </w:pPr>
      <w:r>
        <w:rPr>
          <w:rFonts w:ascii="仿宋_GB2312" w:hAnsi="仿宋_GB2312" w:cs="仿宋_GB2312" w:eastAsia="仿宋_GB2312"/>
        </w:rPr>
        <w:t>2、信用证明：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p>
      <w:pPr>
        <w:pStyle w:val="null3"/>
      </w:pPr>
      <w:r>
        <w:rPr>
          <w:rFonts w:ascii="仿宋_GB2312" w:hAnsi="仿宋_GB2312" w:cs="仿宋_GB2312" w:eastAsia="仿宋_GB2312"/>
        </w:rPr>
        <w:t>3、控股、管理关系：单位负责人为同一人或者存在控股、管理关系的不同供应商，不得同时参加本项目采购项目；</w:t>
      </w:r>
    </w:p>
    <w:p>
      <w:pPr>
        <w:pStyle w:val="null3"/>
      </w:pPr>
      <w:r>
        <w:rPr>
          <w:rFonts w:ascii="仿宋_GB2312" w:hAnsi="仿宋_GB2312" w:cs="仿宋_GB2312" w:eastAsia="仿宋_GB2312"/>
        </w:rPr>
        <w:t>4、联合体投标：本项目不接受联合体投标。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029-86780733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陕西众灿品诚项目管理有限公司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陕西省西安市雁塔区电子城街道万象国际中心2号楼1单元801室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王伟娜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18402992102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发的《招标代理服务收费管理暂行办法》（计价格[2002]1980号）和国家发展和改革委员会办公厅颁发的《关于招标代理服务收费有关问题的通知》（发改办价格[2003]857号）的有关规定按标准收取。由中标（成交）供应商支付，在《中标/成交通知书》发出前，由中标（成交）供应商一次性支付给受托人。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中共西安市委宣传部（本级）</w:t>
      </w:r>
      <w:r>
        <w:rPr>
          <w:rFonts w:ascii="仿宋_GB2312" w:hAnsi="仿宋_GB2312" w:cs="仿宋_GB2312" w:eastAsia="仿宋_GB2312"/>
        </w:rPr>
        <w:t>和</w:t>
      </w:r>
      <w:r>
        <w:rPr>
          <w:rFonts w:ascii="仿宋_GB2312" w:hAnsi="仿宋_GB2312" w:cs="仿宋_GB2312" w:eastAsia="仿宋_GB2312"/>
        </w:rPr>
        <w:t>陕西众灿品诚项目管理有限公司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中共西安市委宣传部（本级）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陕西众灿品诚项目管理有限公司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陕西众灿品诚项目管理有限公司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陕西众灿品诚项目管理有限公司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联系人：王伟娜</w:t>
      </w:r>
    </w:p>
    <w:p>
      <w:pPr>
        <w:pStyle w:val="null3"/>
      </w:pPr>
      <w:r>
        <w:rPr>
          <w:rFonts w:ascii="仿宋_GB2312" w:hAnsi="仿宋_GB2312" w:cs="仿宋_GB2312" w:eastAsia="仿宋_GB2312"/>
        </w:rPr>
        <w:t>联系电话：18402992102</w:t>
      </w:r>
    </w:p>
    <w:p>
      <w:pPr>
        <w:pStyle w:val="null3"/>
      </w:pPr>
      <w:r>
        <w:rPr>
          <w:rFonts w:ascii="仿宋_GB2312" w:hAnsi="仿宋_GB2312" w:cs="仿宋_GB2312" w:eastAsia="仿宋_GB2312"/>
        </w:rPr>
        <w:t>地址：陕西省西安市雁塔区电子城街道万象国际中心2号楼1单元801室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2026-2027年度西安海外社交媒体账号运维项目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2026-2027年度西安海外社交媒体账号运维项目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标的名称：2026-2027年度西安海外社交媒体账号运维项目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一、项目内容</w:t>
            </w:r>
          </w:p>
          <w:p>
            <w:pPr>
              <w:pStyle w:val="null3"/>
            </w:pPr>
            <w:r>
              <w:rPr>
                <w:rFonts w:ascii="仿宋_GB2312" w:hAnsi="仿宋_GB2312" w:cs="仿宋_GB2312" w:eastAsia="仿宋_GB2312"/>
                <w:sz w:val="21"/>
              </w:rPr>
              <w:t>（一）账号运维指标</w:t>
            </w:r>
          </w:p>
          <w:p>
            <w:pPr>
              <w:pStyle w:val="null3"/>
            </w:pPr>
            <w:r>
              <w:rPr>
                <w:rFonts w:ascii="仿宋_GB2312" w:hAnsi="仿宋_GB2312" w:cs="仿宋_GB2312" w:eastAsia="仿宋_GB2312"/>
                <w:sz w:val="21"/>
              </w:rPr>
              <w:t>结合中省对海外社媒账号运维要求及各智库海外社媒账号影响力评估报告指标，本年度账号运维主要将帖文海外传播量、互动量（转发、点赞、评论）指标作为主要考核依据，通过一年运维期，实现全平台粉丝量</w:t>
            </w:r>
            <w:r>
              <w:rPr>
                <w:rFonts w:ascii="仿宋_GB2312" w:hAnsi="仿宋_GB2312" w:cs="仿宋_GB2312" w:eastAsia="仿宋_GB2312"/>
                <w:sz w:val="21"/>
              </w:rPr>
              <w:t>360万（新增粉丝20万以上），发布帖文830篇以上，其中视频帖文50条以上，帖文海外总传播量超6000万次、互动量超过180万次。加强海外社媒平台西安城市形象网络监测。在海外主流媒体和社媒平台搜集整理与西安相关新闻报道、帖文内容，借助市属媒体新媒体平台打通“西安声音”回传路径，全年共提交海外社媒平台上的西安声音、月报、年报及监测报告不少于42期。策划线上线下创意活动4次，提高粉丝黏性和互动量。和市属媒体、企业开设的海外社交媒体账号互相联动，形成城市宣传账号矩阵。</w:t>
            </w:r>
          </w:p>
          <w:p>
            <w:pPr>
              <w:pStyle w:val="null3"/>
            </w:pPr>
            <w:r>
              <w:rPr>
                <w:rFonts w:ascii="仿宋_GB2312" w:hAnsi="仿宋_GB2312" w:cs="仿宋_GB2312" w:eastAsia="仿宋_GB2312"/>
                <w:sz w:val="21"/>
              </w:rPr>
              <w:t>（二）日常内容策划</w:t>
            </w:r>
          </w:p>
          <w:p>
            <w:pPr>
              <w:pStyle w:val="null3"/>
            </w:pPr>
            <w:r>
              <w:rPr>
                <w:rFonts w:ascii="仿宋_GB2312" w:hAnsi="仿宋_GB2312" w:cs="仿宋_GB2312" w:eastAsia="仿宋_GB2312"/>
                <w:sz w:val="21"/>
              </w:rPr>
              <w:t>做好</w:t>
            </w:r>
            <w:r>
              <w:rPr>
                <w:rFonts w:ascii="仿宋_GB2312" w:hAnsi="仿宋_GB2312" w:cs="仿宋_GB2312" w:eastAsia="仿宋_GB2312"/>
                <w:sz w:val="21"/>
              </w:rPr>
              <w:t>“IN XI'AN”海外社交媒体账号的日常内容策划、编辑、发布与更新。在持续做好“文物有话说”“非遗传承在长安”“唐诗里的长安印象”“节日推荐好去处”“西安美食推荐榜”等品牌栏目的基础上，围绕市委、市政府中心工作，积极开展经济外宣专项行动，结合西安产业优势、开放平台、经贸合作成果等素材内容，打造软性经济外宣内容，将经济外宣内容转化为海外受众易于理解、乐于接受的软性表达。每周以民俗历史、文旅美食、经贸交流等软性内容为主体素材更新5—6篇原创帖文，在保持内容连贯性的同时不断推陈出新，着力提升账号实用性与亲和力。</w:t>
            </w:r>
          </w:p>
          <w:p>
            <w:pPr>
              <w:pStyle w:val="null3"/>
            </w:pPr>
            <w:r>
              <w:rPr>
                <w:rFonts w:ascii="仿宋_GB2312" w:hAnsi="仿宋_GB2312" w:cs="仿宋_GB2312" w:eastAsia="仿宋_GB2312"/>
                <w:sz w:val="21"/>
              </w:rPr>
              <w:t>（三）创意活动策划</w:t>
            </w:r>
          </w:p>
          <w:p>
            <w:pPr>
              <w:pStyle w:val="null3"/>
            </w:pPr>
            <w:r>
              <w:rPr>
                <w:rFonts w:ascii="仿宋_GB2312" w:hAnsi="仿宋_GB2312" w:cs="仿宋_GB2312" w:eastAsia="仿宋_GB2312"/>
                <w:sz w:val="21"/>
              </w:rPr>
              <w:t>紧扣</w:t>
            </w:r>
            <w:r>
              <w:rPr>
                <w:rFonts w:ascii="仿宋_GB2312" w:hAnsi="仿宋_GB2312" w:cs="仿宋_GB2312" w:eastAsia="仿宋_GB2312"/>
                <w:sz w:val="21"/>
              </w:rPr>
              <w:t>2026年全市重点工作，策划4场线上线下创意活动。</w:t>
            </w:r>
          </w:p>
          <w:p>
            <w:pPr>
              <w:pStyle w:val="null3"/>
            </w:pPr>
            <w:r>
              <w:rPr>
                <w:rFonts w:ascii="仿宋_GB2312" w:hAnsi="仿宋_GB2312" w:cs="仿宋_GB2312" w:eastAsia="仿宋_GB2312"/>
                <w:sz w:val="21"/>
                <w:b/>
              </w:rPr>
              <w:t>二、付款方式</w:t>
            </w:r>
            <w:r>
              <w:rPr>
                <w:rFonts w:ascii="仿宋_GB2312" w:hAnsi="仿宋_GB2312" w:cs="仿宋_GB2312" w:eastAsia="仿宋_GB2312"/>
                <w:sz w:val="21"/>
              </w:rPr>
              <w:t>：服务费用分叁次支付。合同签订且供应商开具增值税正式发票后，达到付款条件起</w:t>
            </w:r>
            <w:r>
              <w:rPr>
                <w:rFonts w:ascii="仿宋_GB2312" w:hAnsi="仿宋_GB2312" w:cs="仿宋_GB2312" w:eastAsia="仿宋_GB2312"/>
                <w:sz w:val="21"/>
              </w:rPr>
              <w:t>30 日内，支付合同总金额的 40.00%。在项目运营期内需按月提交月报，项目运营中期 ，达到付款条件起 30 日内，支付合同总金额的 30.00%。供应商出具结案报告，待第三方验收完成后，达到付款条件起 30 日内，支付合同总金额的 30.00%。</w:t>
            </w:r>
          </w:p>
          <w:p>
            <w:pPr>
              <w:pStyle w:val="null3"/>
            </w:pPr>
            <w:r>
              <w:rPr>
                <w:rFonts w:ascii="仿宋_GB2312" w:hAnsi="仿宋_GB2312" w:cs="仿宋_GB2312" w:eastAsia="仿宋_GB2312"/>
                <w:sz w:val="21"/>
                <w:b/>
              </w:rPr>
              <w:t>三、服务及验收要求</w:t>
            </w:r>
          </w:p>
          <w:p>
            <w:pPr>
              <w:pStyle w:val="null3"/>
            </w:pPr>
            <w:r>
              <w:rPr>
                <w:rFonts w:ascii="仿宋_GB2312" w:hAnsi="仿宋_GB2312" w:cs="仿宋_GB2312" w:eastAsia="仿宋_GB2312"/>
                <w:sz w:val="21"/>
              </w:rPr>
              <w:t>供应商应结合我方账号运营需求和重点，提供全年度账号运营的策划方案，方案要求重点突出、内容细致、渠道多样；能够提供内容生产、原创稿件编发、海外社交媒体账号发布等服务；能够达到较好的传播效果；月度、季度、年终等重要节点需提交评估报告及传播报告，项目完成后，提交结案报告。</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合同签订后一年（若项目提前交付，则采购人按实际交付时间支付合同尾款）</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根据合同要求和内容，由甲、乙方共同验收，符合国家相关规定及行业验收的合格标准。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合同签订且供应商开具增值税正式发票后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在项目运营期内需按月提交月报，项目运营中期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项目结束后，供应商出具结案报告，待第三方验收完成后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代理服务费：参考国家计委颁发的《招标代理服务收费管理暂行办法》（计价格[2002]1980号）和国家发展和改革委员会办公厅颁发的《关于招标代理服务收费有关问题的通知》（发改办价格〔2003〕857号）的有关规定按标准收取。由中标（成交）供应商支付，在《中标/成交通知书》发出前，由中标（成交）供应商一次性支付给受托人。 注：磋商代理服务收费按差额定率累进法计算。 2、供应商将招标代理服务费计入投标报价但不单独列明，成交供应商在领取成交通知书前，须向采购代理机构一次性支付招标代理服务费；代理服务费以转账、电汇或现金等形式交纳。 请将采购代理服务费汇至下列指定账户： 户 名：陕西众灿品诚项目管理有限公司 开户银行：招商银行西安分行钟楼支行 账 号：129914150610901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服务内容及服务邀请应答表 中小企业声明函 商务应答表 报价表 资格证明文件.docx 响应文件封面 分项报价表.docx 详细评审.docx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财务会计报告</w:t>
            </w:r>
          </w:p>
        </w:tc>
        <w:tc>
          <w:tcPr>
            <w:tcW w:type="dxa" w:w="3322"/>
          </w:tcPr>
          <w:p>
            <w:pPr>
              <w:pStyle w:val="null3"/>
            </w:pPr>
            <w:r>
              <w:rPr>
                <w:rFonts w:ascii="仿宋_GB2312" w:hAnsi="仿宋_GB2312" w:cs="仿宋_GB2312" w:eastAsia="仿宋_GB2312"/>
              </w:rPr>
              <w:t>供应商提供2024年度或2025年度经审计的财务会计报告（包括审计报告、资产负债表、利润表、现金流量表、所有者权益变动表及其附注，成立时间至提交投标文件截止时间不足一年的可提供成立后任意时段的资产负债表），事业法人提供部门决算报告；或其磋商前三个月内基本存款账户开户银行出具的资信证明；或信用担保机构出具的投标担保函（以上三种形式的资料提供任何一种即可）。 注：财会〔(2023〕15号文《财政部国务院国资委金融监管总局关于加强审计报告查验工作的通知》会计师事务所应当主动向被审计单位提供附验证码的审计报告，即2023年及以后的审计报告需附验证码。</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提供2025年11月1日至今任意一个月的社会保障资金缴存单据或社保机构开具的社会保险参保缴费情况证明，依法不需要缴纳社会保障资金的提供相关文件证明；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提供2025年11月1日至今任意一个月的纳税证明或完税证明，纳税证明或完税证明上应有代收机构或税务机关的公章，依法免税的应提供相关文件证明；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参加政府采购项目前 3 年内经营项目中没有重大违法记录声明；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法定代表人参与投标时，提供法定代表人身份证明及本人身份证复印件加盖公章；授权代表参与磋商时，提供企业法人授权委托书和被授权人身份证复印件加盖公章；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http://zxgk.court.gov.cn/shixin/）、重大税收违法失信主体名单”的供应商；不得为中国政府采购网(http://www.ccgp.gov.cn)“政府采购严重违法失信行为记录名单”中的供应商。（此项以资格审查小组在投标截止日当天查询记录为准；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单位负责人为同一人或者存在控股、管理关系的不同供应商，不得同时参加本项目采购项目；</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响应函 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3.根据《财政部关于推动解决政府采购异常低价问题的通知》(财库(2026)2号)相关规定，政府采购评审中出现下列情形之一的，评审委员会应当启动异常低价投标(响应)审查程序：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响应文件签署、盖章均按竞争性磋商文件要求签字、盖章。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报价唯一，且没有高于采购预算或竞争性磋商文件规定的最高限价。</w:t>
            </w:r>
          </w:p>
        </w:tc>
        <w:tc>
          <w:tcPr>
            <w:tcW w:type="dxa" w:w="1661"/>
          </w:tcPr>
          <w:p>
            <w:pPr>
              <w:pStyle w:val="null3"/>
            </w:pPr>
            <w:r>
              <w:rPr>
                <w:rFonts w:ascii="仿宋_GB2312" w:hAnsi="仿宋_GB2312" w:cs="仿宋_GB2312" w:eastAsia="仿宋_GB2312"/>
              </w:rPr>
              <w:t>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针对本项目提供具体可行的实施方案，包括但不限于：①账号运维指标；②日常内容策划③创意活动策划。 二、评审标准 1、完善性：以上实施方案必须全面，对评审内容中的各项要求有详细阐述； 2、可实施性：切合本项目实际情况，提出步骤清晰、合理的培育及传播方案； 3、针对性：以上实施方案能够紧扣项目实际情况，内容科学合理。 上述3项评审内容全部满足评审标准得21分，每有一个评审内容缺项扣7分，每有一项评审内容存在缺陷，扣0.01-6.99分，扣完为止。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一、评审内容 针对本项目提供具体可行的时间进度安排方案，包括但不限于： ①进度安排方案；②进度控制保障措施。 评审标准 1、符合度：是否对整体需求进行充分响应，不得提供与本评审项无关内容； 2、完整性：需结合整体需求，进行全方面的描述，不得缺项； 3、合理性：需依据本项目阐述，具有可执行性。 上述2项评审内容全部满足评审标准得8分，每有一个评审内容缺项扣4分，每有一项评审内容存在缺陷，扣0.01-3.99分，扣完为止。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具体可行的质量保证措施，包括但不限于：①实现全平台粉丝量360万（新增粉丝20万以上）的质量保证措施；②发布帖文830篇以上，其中视频帖文50条以上，帖文海外总传播量超6000万次的质量保证措施；③互动量超过180万次的质量保证措施；④日常内容策划：根据项目要求每周以民俗历史、文旅美食、经贸交流等软性内容为主体素材更新5—6篇原创帖文；⑤创意活动策划的质量保证措施。 评审标准： 1、符合度：是否对整体需求进行充分响应，不得提供与本评审项无关内容； 2、完整性：需结合整体需求，进行全方面的描述，不得缺项； 3、合理性：需依据本项目阐述，具有可执行性。 上述5项评审内容全部满足评审标准得30分，每有一个评审内容缺项扣6分，每有一项评审内容存在缺陷，扣0.01-5.99分，扣完为止。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供应商提供针对本项目的应急预案，内容包括但不限于：①应急预案计划；②应急预案措施；③应急预案响应时间。 评审标准： 2、符合度：是否对整体需求进行充分响应，不得提供与本评审项无关内容； 2、完整性：需结合整体需求，进行全方面的描述，不得缺项； 3、合理性：需依据本项目阐述，具有可执行性。 上述3项评审内容全部满足评审标准得9分，每有一个评审内容缺项扣3分，每有一项评审内容存在缺陷，扣0.01-2.99分，扣完为止。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项目负责人具有类似项目工作经验的得2分。 【证明材料：须提供类似项目相关工作经验证明材料加盖公章，否则不得分。】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①人员配备齐全、经验丰富：包括且不限于主要人员具备英语能力（须提供证明），具备平面/视频设计等从业经验；②项目组织机构和管理机构能满足本项目工作需要、有能力按时完成项目，岗位分工与责任划分明确。 二、评审标准 1、符合度：是否对整体需求进行充分响应，不得提供与本评审项无关内容； 2、完整性：需结合整体需求，进行全方位的描述，不得缺项； 3、合理性：需依据本项目阐述，具有可执行性。 上述2项评审内容全部满足评审标准得8分，每有一个评审内容缺项扣4分，每有一项评审内容存在缺陷，扣0.01-3.99分，扣完为止。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供应商承诺</w:t>
            </w:r>
          </w:p>
        </w:tc>
        <w:tc>
          <w:tcPr>
            <w:tcW w:type="dxa" w:w="2492"/>
          </w:tcPr>
          <w:p>
            <w:pPr>
              <w:pStyle w:val="null3"/>
            </w:pPr>
            <w:r>
              <w:rPr>
                <w:rFonts w:ascii="仿宋_GB2312" w:hAnsi="仿宋_GB2312" w:cs="仿宋_GB2312" w:eastAsia="仿宋_GB2312"/>
              </w:rPr>
              <w:t>供应商承诺中标后至少安排1名专业工作人员负责与甲方沟通跟进项目工作，确保随时响应，得2分，无承诺书或者承诺书内容不满足要求的不得分。 【证明材料：提供承诺书并加盖公章。】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供应商须提供近三年（2023年5月至今）类似项目业绩，每提供1个得2分，最高得10分。 注：响应文件中提供合同复印件并加盖公章。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满足磋商文件要求且最终报价最低的供应商的价格为磋商基准价，其价格分为满分。其他供应商的价格分统一按照下列公式计算： 磋商报价得分=（磋商基准价/最后磋商报价）×价格权值×100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详见附件：详细评审.docx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