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EFA86">
      <w:pPr>
        <w:pStyle w:val="3"/>
        <w:jc w:val="center"/>
        <w:rPr>
          <w:rFonts w:hint="eastAsia" w:ascii="黑体" w:hAnsi="黑体" w:eastAsia="黑体"/>
          <w:bCs w:val="0"/>
          <w:highlight w:val="none"/>
          <w:lang w:val="zh-CN"/>
        </w:rPr>
      </w:pPr>
      <w:r>
        <w:rPr>
          <w:rFonts w:hint="eastAsia" w:ascii="黑体" w:hAnsi="黑体" w:eastAsia="黑体"/>
          <w:bCs w:val="0"/>
          <w:highlight w:val="none"/>
          <w:lang w:val="zh-CN"/>
        </w:rPr>
        <w:t>合同</w:t>
      </w:r>
      <w:r>
        <w:rPr>
          <w:rFonts w:hint="eastAsia" w:ascii="黑体" w:hAnsi="黑体" w:eastAsia="黑体"/>
          <w:bCs w:val="0"/>
          <w:highlight w:val="none"/>
          <w:lang w:val="en-US" w:eastAsia="zh-CN"/>
        </w:rPr>
        <w:t>主要</w:t>
      </w:r>
      <w:r>
        <w:rPr>
          <w:rFonts w:hint="eastAsia" w:ascii="黑体" w:hAnsi="黑体" w:eastAsia="黑体"/>
          <w:bCs w:val="0"/>
          <w:highlight w:val="none"/>
          <w:lang w:val="zh-CN"/>
        </w:rPr>
        <w:t>条款</w:t>
      </w:r>
    </w:p>
    <w:p w14:paraId="4D91C797">
      <w:pPr>
        <w:adjustRightInd w:val="0"/>
        <w:snapToGrid w:val="0"/>
        <w:spacing w:line="560" w:lineRule="exact"/>
        <w:ind w:firstLine="562" w:firstLineChars="200"/>
        <w:rPr>
          <w:rFonts w:hint="eastAsia" w:ascii="宋体" w:hAnsi="宋体" w:eastAsia="宋体" w:cs="宋体"/>
          <w:sz w:val="28"/>
          <w:szCs w:val="28"/>
          <w:highlight w:val="none"/>
        </w:rPr>
      </w:pPr>
      <w:r>
        <w:rPr>
          <w:rFonts w:hint="eastAsia" w:ascii="宋体" w:hAnsi="宋体" w:eastAsia="宋体" w:cs="宋体"/>
          <w:b/>
          <w:sz w:val="28"/>
          <w:szCs w:val="28"/>
          <w:highlight w:val="none"/>
        </w:rPr>
        <w:t>甲方：</w:t>
      </w:r>
      <w:r>
        <w:rPr>
          <w:rFonts w:hint="eastAsia" w:ascii="宋体" w:hAnsi="宋体" w:eastAsia="宋体" w:cs="宋体"/>
          <w:bCs/>
          <w:sz w:val="28"/>
          <w:szCs w:val="28"/>
          <w:highlight w:val="none"/>
        </w:rPr>
        <w:t>（</w:t>
      </w:r>
      <w:r>
        <w:rPr>
          <w:rFonts w:hint="eastAsia" w:ascii="宋体" w:hAnsi="宋体" w:eastAsia="宋体" w:cs="宋体"/>
          <w:sz w:val="28"/>
          <w:szCs w:val="28"/>
          <w:highlight w:val="none"/>
        </w:rPr>
        <w:t xml:space="preserve">采购人） </w:t>
      </w:r>
    </w:p>
    <w:p w14:paraId="0426C663">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联系人：</w:t>
      </w:r>
    </w:p>
    <w:p w14:paraId="5B1C5B82">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联系方式：</w:t>
      </w:r>
    </w:p>
    <w:p w14:paraId="6154CB96">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住址：       </w:t>
      </w:r>
    </w:p>
    <w:p w14:paraId="5E1E5653">
      <w:pPr>
        <w:adjustRightInd w:val="0"/>
        <w:snapToGrid w:val="0"/>
        <w:spacing w:line="560" w:lineRule="exact"/>
        <w:ind w:firstLine="562" w:firstLineChars="200"/>
        <w:rPr>
          <w:rFonts w:hint="eastAsia" w:ascii="宋体" w:hAnsi="宋体" w:eastAsia="宋体" w:cs="宋体"/>
          <w:sz w:val="28"/>
          <w:szCs w:val="28"/>
          <w:highlight w:val="none"/>
        </w:rPr>
      </w:pPr>
      <w:r>
        <w:rPr>
          <w:rFonts w:hint="eastAsia" w:ascii="宋体" w:hAnsi="宋体" w:eastAsia="宋体" w:cs="宋体"/>
          <w:b/>
          <w:sz w:val="28"/>
          <w:szCs w:val="28"/>
          <w:highlight w:val="none"/>
        </w:rPr>
        <w:t>乙方：</w:t>
      </w:r>
      <w:r>
        <w:rPr>
          <w:rFonts w:hint="eastAsia" w:ascii="宋体" w:hAnsi="宋体" w:eastAsia="宋体" w:cs="宋体"/>
          <w:sz w:val="28"/>
          <w:szCs w:val="28"/>
          <w:highlight w:val="none"/>
        </w:rPr>
        <w:t>（</w:t>
      </w:r>
      <w:r>
        <w:rPr>
          <w:rFonts w:hint="eastAsia" w:ascii="宋体" w:hAnsi="宋体" w:eastAsia="宋体" w:cs="宋体"/>
          <w:sz w:val="28"/>
          <w:szCs w:val="28"/>
          <w:highlight w:val="none"/>
          <w:lang w:eastAsia="zh-CN"/>
        </w:rPr>
        <w:t>乙方</w:t>
      </w:r>
      <w:r>
        <w:rPr>
          <w:rFonts w:hint="eastAsia" w:ascii="宋体" w:hAnsi="宋体" w:eastAsia="宋体" w:cs="宋体"/>
          <w:sz w:val="28"/>
          <w:szCs w:val="28"/>
          <w:highlight w:val="none"/>
        </w:rPr>
        <w:t>）</w:t>
      </w:r>
    </w:p>
    <w:p w14:paraId="3BF5F2CF">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联系人：</w:t>
      </w:r>
    </w:p>
    <w:p w14:paraId="48685962">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联系方式：</w:t>
      </w:r>
    </w:p>
    <w:p w14:paraId="4CAD9A3E">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住址：</w:t>
      </w:r>
    </w:p>
    <w:p w14:paraId="418DF730">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一、合同内容</w:t>
      </w:r>
    </w:p>
    <w:p w14:paraId="76E65475">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（标的、数量、质量等）</w:t>
      </w:r>
    </w:p>
    <w:p w14:paraId="679F26E7">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二、合同价款</w:t>
      </w:r>
    </w:p>
    <w:p w14:paraId="55173535">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1、合同总价：</w:t>
      </w:r>
    </w:p>
    <w:p w14:paraId="2B4ECDEB">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2、合同总价包括：履行本合同所需支付的宣传推广费、人工费、税费以及乙方完成服务要求所需的其他费用。</w:t>
      </w:r>
    </w:p>
    <w:p w14:paraId="6DBC9AB6">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3、合同总价一次包死，不受市场价变化的影响。乙方不得再要求甲方另行支付其他费用。</w:t>
      </w:r>
    </w:p>
    <w:p w14:paraId="1B725570">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三、合同结算</w:t>
      </w:r>
    </w:p>
    <w:p w14:paraId="60B07CB7">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1、资金支付条件及时间：</w:t>
      </w:r>
    </w:p>
    <w:p w14:paraId="406DBFA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1-</w:t>
      </w:r>
      <w:r>
        <w:rPr>
          <w:rFonts w:hint="eastAsia" w:ascii="宋体" w:hAnsi="宋体" w:cs="宋体"/>
          <w:sz w:val="28"/>
          <w:szCs w:val="28"/>
          <w:highlight w:val="none"/>
          <w:lang w:val="en-US" w:eastAsia="zh-CN"/>
        </w:rPr>
        <w:t>1</w:t>
      </w:r>
      <w:r>
        <w:rPr>
          <w:rFonts w:hint="eastAsia" w:ascii="宋体" w:hAnsi="宋体" w:eastAsia="宋体" w:cs="宋体"/>
          <w:sz w:val="28"/>
          <w:szCs w:val="28"/>
          <w:highlight w:val="none"/>
          <w:lang w:val="en-US" w:eastAsia="zh-CN"/>
        </w:rPr>
        <w:t>合同签订且供应商开具增值税正式发票后</w:t>
      </w:r>
      <w:r>
        <w:rPr>
          <w:rFonts w:hint="eastAsia" w:ascii="宋体" w:hAnsi="宋体" w:eastAsia="宋体" w:cs="宋体"/>
          <w:sz w:val="28"/>
          <w:szCs w:val="28"/>
          <w:highlight w:val="none"/>
        </w:rPr>
        <w:t>，达到付款条件起30日内，支付合同总金额的</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0.00%。</w:t>
      </w:r>
    </w:p>
    <w:p w14:paraId="12F0911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1-</w:t>
      </w: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val="en-US" w:eastAsia="zh-CN"/>
        </w:rPr>
        <w:t>在项目运营期内需按月提交月报，项目运营中期</w:t>
      </w:r>
      <w:r>
        <w:rPr>
          <w:rFonts w:hint="eastAsia" w:ascii="宋体" w:hAnsi="宋体" w:eastAsia="宋体" w:cs="宋体"/>
          <w:sz w:val="28"/>
          <w:szCs w:val="28"/>
          <w:highlight w:val="none"/>
        </w:rPr>
        <w:t>，达到付款条件起30日内，支付合同总金额的</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0.00%。</w:t>
      </w:r>
    </w:p>
    <w:p w14:paraId="154AB1FB">
      <w:pPr>
        <w:adjustRightInd w:val="0"/>
        <w:snapToGrid w:val="0"/>
        <w:spacing w:line="560" w:lineRule="exact"/>
        <w:ind w:firstLine="560" w:firstLineChars="200"/>
        <w:rPr>
          <w:rFonts w:hint="eastAsia" w:ascii="宋体" w:hAnsi="宋体" w:eastAsia="宋体" w:cs="宋体"/>
          <w:sz w:val="28"/>
          <w:szCs w:val="28"/>
          <w:highlight w:val="yellow"/>
        </w:rPr>
      </w:pPr>
      <w:r>
        <w:rPr>
          <w:rFonts w:hint="eastAsia" w:ascii="宋体" w:hAnsi="宋体" w:eastAsia="宋体" w:cs="宋体"/>
          <w:sz w:val="28"/>
          <w:szCs w:val="28"/>
          <w:highlight w:val="none"/>
          <w:lang w:eastAsia="zh-CN"/>
        </w:rPr>
        <w:t>1-</w:t>
      </w: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val="en-US" w:eastAsia="zh-CN"/>
        </w:rPr>
        <w:t>项目结束后，供应商出具结案报告，待第三方验收完成后</w:t>
      </w:r>
      <w:r>
        <w:rPr>
          <w:rFonts w:hint="eastAsia" w:ascii="宋体" w:hAnsi="宋体" w:eastAsia="宋体" w:cs="宋体"/>
          <w:sz w:val="28"/>
          <w:szCs w:val="28"/>
          <w:highlight w:val="none"/>
        </w:rPr>
        <w:t>，达到付款条件起30日内，支付合同总金额的</w:t>
      </w:r>
      <w:r>
        <w:rPr>
          <w:rFonts w:hint="eastAsia" w:ascii="宋体" w:hAnsi="宋体" w:eastAsia="宋体" w:cs="宋体"/>
          <w:sz w:val="28"/>
          <w:szCs w:val="28"/>
          <w:highlight w:val="none"/>
          <w:lang w:val="en-US" w:eastAsia="zh-CN"/>
        </w:rPr>
        <w:t>30</w:t>
      </w:r>
      <w:r>
        <w:rPr>
          <w:rFonts w:hint="eastAsia" w:ascii="宋体" w:hAnsi="宋体" w:eastAsia="宋体" w:cs="宋体"/>
          <w:sz w:val="28"/>
          <w:szCs w:val="28"/>
          <w:highlight w:val="none"/>
        </w:rPr>
        <w:t>.00%。</w:t>
      </w:r>
    </w:p>
    <w:p w14:paraId="224EFC4E">
      <w:pPr>
        <w:adjustRightInd w:val="0"/>
        <w:snapToGrid w:val="0"/>
        <w:spacing w:line="560" w:lineRule="exact"/>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lang w:eastAsia="zh-CN"/>
        </w:rPr>
        <w:t>项目验收时，若乙方未达到对应要求，按比例扣除</w:t>
      </w:r>
      <w:r>
        <w:rPr>
          <w:rFonts w:hint="eastAsia" w:ascii="宋体" w:hAnsi="宋体" w:eastAsia="宋体" w:cs="宋体"/>
          <w:sz w:val="28"/>
          <w:szCs w:val="28"/>
          <w:highlight w:val="none"/>
          <w:lang w:val="en-US" w:eastAsia="zh-CN"/>
        </w:rPr>
        <w:t>合同尾款</w:t>
      </w:r>
      <w:r>
        <w:rPr>
          <w:rFonts w:hint="eastAsia" w:ascii="宋体" w:hAnsi="宋体" w:eastAsia="宋体" w:cs="宋体"/>
          <w:sz w:val="28"/>
          <w:szCs w:val="28"/>
          <w:highlight w:val="none"/>
          <w:lang w:eastAsia="zh-CN"/>
        </w:rPr>
        <w:t>（详见附表）。</w:t>
      </w:r>
    </w:p>
    <w:tbl>
      <w:tblPr>
        <w:tblStyle w:val="5"/>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4"/>
        <w:gridCol w:w="5355"/>
      </w:tblGrid>
      <w:tr w14:paraId="1AC5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29FEA">
            <w:pPr>
              <w:adjustRightInd w:val="0"/>
              <w:snapToGrid w:val="0"/>
              <w:spacing w:line="560" w:lineRule="exact"/>
              <w:ind w:left="0" w:leftChars="0" w:firstLine="0" w:firstLineChars="0"/>
              <w:jc w:val="center"/>
              <w:rPr>
                <w:rFonts w:hint="eastAsia" w:ascii="宋体" w:hAnsi="宋体" w:eastAsia="宋体" w:cs="宋体"/>
                <w:color w:val="000000"/>
                <w:sz w:val="28"/>
                <w:szCs w:val="28"/>
                <w:highlight w:val="none"/>
                <w:vertAlign w:val="baseline"/>
                <w:lang w:eastAsia="zh-CN"/>
              </w:rPr>
            </w:pPr>
            <w:r>
              <w:rPr>
                <w:rFonts w:hint="eastAsia" w:ascii="宋体" w:hAnsi="宋体" w:eastAsia="宋体" w:cs="宋体"/>
                <w:color w:val="000000"/>
                <w:sz w:val="28"/>
                <w:szCs w:val="28"/>
                <w:highlight w:val="none"/>
                <w:vertAlign w:val="baseline"/>
                <w:lang w:eastAsia="zh-CN"/>
              </w:rPr>
              <w:t>项目目标要求</w:t>
            </w:r>
          </w:p>
        </w:tc>
        <w:tc>
          <w:tcPr>
            <w:tcW w:w="5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673D7">
            <w:pPr>
              <w:adjustRightInd w:val="0"/>
              <w:snapToGrid w:val="0"/>
              <w:spacing w:line="560" w:lineRule="exact"/>
              <w:ind w:left="0" w:leftChars="0" w:firstLine="0" w:firstLineChars="0"/>
              <w:jc w:val="center"/>
              <w:rPr>
                <w:rFonts w:hint="eastAsia" w:ascii="宋体" w:hAnsi="宋体" w:eastAsia="宋体" w:cs="宋体"/>
                <w:color w:val="000000"/>
                <w:sz w:val="28"/>
                <w:szCs w:val="28"/>
                <w:highlight w:val="none"/>
                <w:vertAlign w:val="baseline"/>
                <w:lang w:eastAsia="zh-CN"/>
              </w:rPr>
            </w:pPr>
            <w:r>
              <w:rPr>
                <w:rFonts w:hint="eastAsia" w:ascii="宋体" w:hAnsi="宋体" w:eastAsia="宋体" w:cs="宋体"/>
                <w:color w:val="000000"/>
                <w:sz w:val="28"/>
                <w:szCs w:val="28"/>
                <w:highlight w:val="none"/>
                <w:vertAlign w:val="baseline"/>
                <w:lang w:eastAsia="zh-CN"/>
              </w:rPr>
              <w:t>指标</w:t>
            </w:r>
          </w:p>
        </w:tc>
      </w:tr>
      <w:tr w14:paraId="7D6F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37F4AE">
            <w:pPr>
              <w:adjustRightInd w:val="0"/>
              <w:snapToGrid w:val="0"/>
              <w:spacing w:line="560" w:lineRule="exact"/>
              <w:ind w:left="0" w:leftChars="0" w:firstLine="0" w:firstLineChars="0"/>
              <w:jc w:val="center"/>
              <w:rPr>
                <w:rFonts w:hint="default" w:ascii="仿宋_GB2312" w:hAnsi="仿宋_GB2312" w:eastAsia="仿宋_GB2312" w:cs="仿宋_GB2312"/>
                <w:color w:val="000000"/>
                <w:sz w:val="24"/>
                <w:szCs w:val="24"/>
                <w:highlight w:val="none"/>
                <w:vertAlign w:val="baseline"/>
                <w:lang w:val="en-US" w:eastAsia="zh-CN"/>
              </w:rPr>
            </w:pPr>
            <w:r>
              <w:rPr>
                <w:rFonts w:hint="eastAsia" w:ascii="仿宋_GB2312" w:hAnsi="仿宋_GB2312" w:eastAsia="仿宋_GB2312" w:cs="仿宋_GB2312"/>
                <w:color w:val="000000"/>
                <w:sz w:val="24"/>
                <w:szCs w:val="24"/>
                <w:highlight w:val="none"/>
                <w:vertAlign w:val="baseline"/>
                <w:lang w:eastAsia="zh-CN"/>
              </w:rPr>
              <w:t>①实现全平台粉丝量360万（新增粉丝20万以上），</w:t>
            </w:r>
            <w:r>
              <w:rPr>
                <w:rFonts w:hint="eastAsia" w:ascii="仿宋_GB2312" w:hAnsi="仿宋_GB2312" w:eastAsia="仿宋_GB2312" w:cs="仿宋_GB2312"/>
                <w:color w:val="000000"/>
                <w:sz w:val="24"/>
                <w:szCs w:val="24"/>
                <w:highlight w:val="none"/>
                <w:vertAlign w:val="baseline"/>
                <w:lang w:val="en-US" w:eastAsia="zh-CN"/>
              </w:rPr>
              <w:t>②</w:t>
            </w:r>
            <w:r>
              <w:rPr>
                <w:rFonts w:hint="eastAsia" w:ascii="仿宋_GB2312" w:hAnsi="仿宋_GB2312" w:eastAsia="仿宋_GB2312" w:cs="仿宋_GB2312"/>
                <w:color w:val="000000"/>
                <w:sz w:val="24"/>
                <w:szCs w:val="24"/>
                <w:highlight w:val="none"/>
                <w:vertAlign w:val="baseline"/>
                <w:lang w:eastAsia="zh-CN"/>
              </w:rPr>
              <w:t>发布帖文830篇以上，其中视频帖文50条以上，帖文海外总传播量超6000万次、互动量超过180万次。</w:t>
            </w:r>
          </w:p>
        </w:tc>
        <w:tc>
          <w:tcPr>
            <w:tcW w:w="5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7AFF2">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每少于目标①要求的10%，则对应扣除尾款的</w:t>
            </w:r>
            <w:r>
              <w:rPr>
                <w:rFonts w:hint="eastAsia" w:ascii="仿宋_GB2312" w:hAnsi="仿宋_GB2312" w:eastAsia="仿宋_GB2312" w:cs="仿宋_GB2312"/>
                <w:color w:val="000000"/>
                <w:sz w:val="24"/>
                <w:szCs w:val="24"/>
                <w:highlight w:val="none"/>
                <w:vertAlign w:val="baseline"/>
                <w:lang w:val="en-US" w:eastAsia="zh-CN"/>
              </w:rPr>
              <w:t>5</w:t>
            </w:r>
            <w:r>
              <w:rPr>
                <w:rFonts w:hint="eastAsia" w:ascii="仿宋_GB2312" w:hAnsi="仿宋_GB2312" w:eastAsia="仿宋_GB2312" w:cs="仿宋_GB2312"/>
                <w:color w:val="000000"/>
                <w:sz w:val="24"/>
                <w:szCs w:val="24"/>
                <w:highlight w:val="none"/>
                <w:vertAlign w:val="baseline"/>
                <w:lang w:eastAsia="zh-CN"/>
              </w:rPr>
              <w:t>%。</w:t>
            </w:r>
          </w:p>
          <w:p w14:paraId="510EC8AB">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每少于目标②要求的10%，则对应扣除尾款的</w:t>
            </w:r>
            <w:r>
              <w:rPr>
                <w:rFonts w:hint="eastAsia" w:ascii="仿宋_GB2312" w:hAnsi="仿宋_GB2312" w:eastAsia="仿宋_GB2312" w:cs="仿宋_GB2312"/>
                <w:color w:val="000000"/>
                <w:sz w:val="24"/>
                <w:szCs w:val="24"/>
                <w:highlight w:val="none"/>
                <w:vertAlign w:val="baseline"/>
                <w:lang w:val="en-US" w:eastAsia="zh-CN"/>
              </w:rPr>
              <w:t>5</w:t>
            </w:r>
            <w:r>
              <w:rPr>
                <w:rFonts w:hint="eastAsia" w:ascii="仿宋_GB2312" w:hAnsi="仿宋_GB2312" w:eastAsia="仿宋_GB2312" w:cs="仿宋_GB2312"/>
                <w:color w:val="000000"/>
                <w:sz w:val="24"/>
                <w:szCs w:val="24"/>
                <w:highlight w:val="none"/>
                <w:vertAlign w:val="baseline"/>
                <w:lang w:eastAsia="zh-CN"/>
              </w:rPr>
              <w:t>%。</w:t>
            </w:r>
          </w:p>
        </w:tc>
      </w:tr>
      <w:tr w14:paraId="1616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B78B64">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全年共提交海外社媒平台上的西安声音、月报、年报及监测报告不少于42期</w:t>
            </w:r>
          </w:p>
        </w:tc>
        <w:tc>
          <w:tcPr>
            <w:tcW w:w="5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F2F6E">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每少1</w:t>
            </w:r>
            <w:r>
              <w:rPr>
                <w:rFonts w:hint="eastAsia" w:ascii="仿宋_GB2312" w:hAnsi="仿宋_GB2312" w:eastAsia="仿宋_GB2312" w:cs="仿宋_GB2312"/>
                <w:color w:val="000000"/>
                <w:sz w:val="24"/>
                <w:szCs w:val="24"/>
                <w:highlight w:val="none"/>
                <w:vertAlign w:val="baseline"/>
                <w:lang w:val="en-US" w:eastAsia="zh-CN"/>
              </w:rPr>
              <w:t>期</w:t>
            </w:r>
            <w:r>
              <w:rPr>
                <w:rFonts w:hint="eastAsia" w:ascii="仿宋_GB2312" w:hAnsi="仿宋_GB2312" w:eastAsia="仿宋_GB2312" w:cs="仿宋_GB2312"/>
                <w:color w:val="000000"/>
                <w:sz w:val="24"/>
                <w:szCs w:val="24"/>
                <w:highlight w:val="none"/>
                <w:vertAlign w:val="baseline"/>
                <w:lang w:eastAsia="zh-CN"/>
              </w:rPr>
              <w:t>，则扣除尾款的</w:t>
            </w:r>
            <w:r>
              <w:rPr>
                <w:rFonts w:hint="eastAsia" w:ascii="仿宋_GB2312" w:hAnsi="仿宋_GB2312" w:eastAsia="仿宋_GB2312" w:cs="仿宋_GB2312"/>
                <w:color w:val="000000"/>
                <w:sz w:val="24"/>
                <w:szCs w:val="24"/>
                <w:highlight w:val="none"/>
                <w:vertAlign w:val="baseline"/>
                <w:lang w:val="en-US" w:eastAsia="zh-CN"/>
              </w:rPr>
              <w:t>1</w:t>
            </w:r>
            <w:r>
              <w:rPr>
                <w:rFonts w:hint="eastAsia" w:ascii="仿宋_GB2312" w:hAnsi="仿宋_GB2312" w:eastAsia="仿宋_GB2312" w:cs="仿宋_GB2312"/>
                <w:color w:val="000000"/>
                <w:sz w:val="24"/>
                <w:szCs w:val="24"/>
                <w:highlight w:val="none"/>
                <w:vertAlign w:val="baseline"/>
                <w:lang w:eastAsia="zh-CN"/>
              </w:rPr>
              <w:t>%。</w:t>
            </w:r>
          </w:p>
        </w:tc>
      </w:tr>
      <w:tr w14:paraId="5507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3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336AC">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策划线上线下创意活动4次</w:t>
            </w:r>
          </w:p>
        </w:tc>
        <w:tc>
          <w:tcPr>
            <w:tcW w:w="5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BBBA65">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每少1</w:t>
            </w:r>
            <w:r>
              <w:rPr>
                <w:rFonts w:hint="eastAsia" w:ascii="仿宋_GB2312" w:hAnsi="仿宋_GB2312" w:eastAsia="仿宋_GB2312" w:cs="仿宋_GB2312"/>
                <w:color w:val="000000"/>
                <w:sz w:val="24"/>
                <w:szCs w:val="24"/>
                <w:highlight w:val="none"/>
                <w:vertAlign w:val="baseline"/>
                <w:lang w:val="en-US" w:eastAsia="zh-CN"/>
              </w:rPr>
              <w:t>次</w:t>
            </w:r>
            <w:r>
              <w:rPr>
                <w:rFonts w:hint="eastAsia" w:ascii="仿宋_GB2312" w:hAnsi="仿宋_GB2312" w:eastAsia="仿宋_GB2312" w:cs="仿宋_GB2312"/>
                <w:color w:val="000000"/>
                <w:sz w:val="24"/>
                <w:szCs w:val="24"/>
                <w:highlight w:val="none"/>
                <w:vertAlign w:val="baseline"/>
                <w:lang w:eastAsia="zh-CN"/>
              </w:rPr>
              <w:t>，则扣除尾款的</w:t>
            </w:r>
            <w:r>
              <w:rPr>
                <w:rFonts w:hint="eastAsia" w:ascii="仿宋_GB2312" w:hAnsi="仿宋_GB2312" w:eastAsia="仿宋_GB2312" w:cs="仿宋_GB2312"/>
                <w:color w:val="000000"/>
                <w:sz w:val="24"/>
                <w:szCs w:val="24"/>
                <w:highlight w:val="none"/>
                <w:vertAlign w:val="baseline"/>
                <w:lang w:val="en-US" w:eastAsia="zh-CN"/>
              </w:rPr>
              <w:t>1</w:t>
            </w:r>
            <w:r>
              <w:rPr>
                <w:rFonts w:hint="eastAsia" w:ascii="仿宋_GB2312" w:hAnsi="仿宋_GB2312" w:eastAsia="仿宋_GB2312" w:cs="仿宋_GB2312"/>
                <w:color w:val="000000"/>
                <w:sz w:val="24"/>
                <w:szCs w:val="24"/>
                <w:highlight w:val="none"/>
                <w:vertAlign w:val="baseline"/>
                <w:lang w:eastAsia="zh-CN"/>
              </w:rPr>
              <w:t>%。</w:t>
            </w:r>
          </w:p>
        </w:tc>
      </w:tr>
      <w:tr w14:paraId="27D4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3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BD7E9F">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每周以民俗历史、文旅美食、经贸交流等软性内容为主体素材更新5—6篇原创帖文</w:t>
            </w:r>
          </w:p>
        </w:tc>
        <w:tc>
          <w:tcPr>
            <w:tcW w:w="5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D1FCF1">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每少</w:t>
            </w:r>
            <w:r>
              <w:rPr>
                <w:rFonts w:hint="eastAsia" w:ascii="仿宋_GB2312" w:hAnsi="仿宋_GB2312" w:eastAsia="仿宋_GB2312" w:cs="仿宋_GB2312"/>
                <w:color w:val="000000"/>
                <w:sz w:val="24"/>
                <w:szCs w:val="24"/>
                <w:highlight w:val="none"/>
                <w:vertAlign w:val="baseline"/>
                <w:lang w:val="en-US" w:eastAsia="zh-CN"/>
              </w:rPr>
              <w:t>1篇</w:t>
            </w:r>
            <w:r>
              <w:rPr>
                <w:rFonts w:hint="eastAsia" w:ascii="仿宋_GB2312" w:hAnsi="仿宋_GB2312" w:eastAsia="仿宋_GB2312" w:cs="仿宋_GB2312"/>
                <w:color w:val="000000"/>
                <w:sz w:val="24"/>
                <w:szCs w:val="24"/>
                <w:highlight w:val="none"/>
                <w:vertAlign w:val="baseline"/>
                <w:lang w:eastAsia="zh-CN"/>
              </w:rPr>
              <w:t>，则扣除尾款的</w:t>
            </w:r>
            <w:r>
              <w:rPr>
                <w:rFonts w:hint="eastAsia" w:ascii="仿宋_GB2312" w:hAnsi="仿宋_GB2312" w:eastAsia="仿宋_GB2312" w:cs="仿宋_GB2312"/>
                <w:color w:val="000000"/>
                <w:sz w:val="24"/>
                <w:szCs w:val="24"/>
                <w:highlight w:val="none"/>
                <w:vertAlign w:val="baseline"/>
                <w:lang w:val="en-US" w:eastAsia="zh-CN"/>
              </w:rPr>
              <w:t>1</w:t>
            </w:r>
            <w:r>
              <w:rPr>
                <w:rFonts w:hint="eastAsia" w:ascii="仿宋_GB2312" w:hAnsi="仿宋_GB2312" w:eastAsia="仿宋_GB2312" w:cs="仿宋_GB2312"/>
                <w:color w:val="000000"/>
                <w:sz w:val="24"/>
                <w:szCs w:val="24"/>
                <w:highlight w:val="none"/>
                <w:vertAlign w:val="baseline"/>
                <w:lang w:eastAsia="zh-CN"/>
              </w:rPr>
              <w:t>%。</w:t>
            </w:r>
          </w:p>
        </w:tc>
      </w:tr>
      <w:tr w14:paraId="7D73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304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010EA7">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策划4场线上线下创意活动</w:t>
            </w:r>
          </w:p>
        </w:tc>
        <w:tc>
          <w:tcPr>
            <w:tcW w:w="53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A92F21">
            <w:pPr>
              <w:adjustRightInd w:val="0"/>
              <w:snapToGrid w:val="0"/>
              <w:spacing w:line="560" w:lineRule="exact"/>
              <w:ind w:left="0" w:leftChars="0" w:firstLine="0" w:firstLineChars="0"/>
              <w:jc w:val="center"/>
              <w:rPr>
                <w:rFonts w:hint="eastAsia" w:ascii="仿宋_GB2312" w:hAnsi="仿宋_GB2312" w:eastAsia="仿宋_GB2312" w:cs="仿宋_GB2312"/>
                <w:color w:val="000000"/>
                <w:sz w:val="24"/>
                <w:szCs w:val="24"/>
                <w:highlight w:val="none"/>
                <w:vertAlign w:val="baseline"/>
                <w:lang w:eastAsia="zh-CN"/>
              </w:rPr>
            </w:pPr>
            <w:r>
              <w:rPr>
                <w:rFonts w:hint="eastAsia" w:ascii="仿宋_GB2312" w:hAnsi="仿宋_GB2312" w:eastAsia="仿宋_GB2312" w:cs="仿宋_GB2312"/>
                <w:color w:val="000000"/>
                <w:sz w:val="24"/>
                <w:szCs w:val="24"/>
                <w:highlight w:val="none"/>
                <w:vertAlign w:val="baseline"/>
                <w:lang w:eastAsia="zh-CN"/>
              </w:rPr>
              <w:t>每少1</w:t>
            </w:r>
            <w:r>
              <w:rPr>
                <w:rFonts w:hint="eastAsia" w:ascii="仿宋_GB2312" w:hAnsi="仿宋_GB2312" w:eastAsia="仿宋_GB2312" w:cs="仿宋_GB2312"/>
                <w:color w:val="000000"/>
                <w:sz w:val="24"/>
                <w:szCs w:val="24"/>
                <w:highlight w:val="none"/>
                <w:vertAlign w:val="baseline"/>
                <w:lang w:val="en-US" w:eastAsia="zh-CN"/>
              </w:rPr>
              <w:t>场</w:t>
            </w:r>
            <w:r>
              <w:rPr>
                <w:rFonts w:hint="eastAsia" w:ascii="仿宋_GB2312" w:hAnsi="仿宋_GB2312" w:eastAsia="仿宋_GB2312" w:cs="仿宋_GB2312"/>
                <w:color w:val="000000"/>
                <w:sz w:val="24"/>
                <w:szCs w:val="24"/>
                <w:highlight w:val="none"/>
                <w:vertAlign w:val="baseline"/>
                <w:lang w:eastAsia="zh-CN"/>
              </w:rPr>
              <w:t>，则扣除尾款的</w:t>
            </w:r>
            <w:r>
              <w:rPr>
                <w:rFonts w:hint="eastAsia" w:ascii="仿宋_GB2312" w:hAnsi="仿宋_GB2312" w:eastAsia="仿宋_GB2312" w:cs="仿宋_GB2312"/>
                <w:color w:val="000000"/>
                <w:sz w:val="24"/>
                <w:szCs w:val="24"/>
                <w:highlight w:val="none"/>
                <w:vertAlign w:val="baseline"/>
                <w:lang w:val="en-US" w:eastAsia="zh-CN"/>
              </w:rPr>
              <w:t>5</w:t>
            </w:r>
            <w:r>
              <w:rPr>
                <w:rFonts w:hint="eastAsia" w:ascii="仿宋_GB2312" w:hAnsi="仿宋_GB2312" w:eastAsia="仿宋_GB2312" w:cs="仿宋_GB2312"/>
                <w:color w:val="000000"/>
                <w:sz w:val="24"/>
                <w:szCs w:val="24"/>
                <w:highlight w:val="none"/>
                <w:vertAlign w:val="baseline"/>
                <w:lang w:eastAsia="zh-CN"/>
              </w:rPr>
              <w:t>%。</w:t>
            </w:r>
          </w:p>
        </w:tc>
      </w:tr>
    </w:tbl>
    <w:p w14:paraId="4438D6F1">
      <w:pPr>
        <w:adjustRightInd w:val="0"/>
        <w:snapToGrid w:val="0"/>
        <w:spacing w:line="560" w:lineRule="exact"/>
        <w:ind w:firstLine="560" w:firstLineChars="200"/>
        <w:rPr>
          <w:rFonts w:hint="eastAsia" w:ascii="宋体" w:hAnsi="宋体" w:eastAsia="宋体" w:cs="宋体"/>
          <w:sz w:val="28"/>
          <w:szCs w:val="28"/>
          <w:highlight w:val="none"/>
          <w:lang w:eastAsia="zh-CN"/>
        </w:rPr>
      </w:pPr>
    </w:p>
    <w:p w14:paraId="0B2D5903">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2、结算方式：银行转账。</w:t>
      </w:r>
    </w:p>
    <w:p w14:paraId="7142331E">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3、结算单位：由</w:t>
      </w:r>
      <w:r>
        <w:rPr>
          <w:rFonts w:hint="eastAsia" w:ascii="宋体" w:hAnsi="宋体" w:eastAsia="宋体" w:cs="宋体"/>
          <w:sz w:val="28"/>
          <w:szCs w:val="28"/>
          <w:highlight w:val="none"/>
          <w:u w:val="single"/>
        </w:rPr>
        <w:t>甲方</w:t>
      </w:r>
      <w:r>
        <w:rPr>
          <w:rFonts w:hint="eastAsia" w:ascii="宋体" w:hAnsi="宋体" w:eastAsia="宋体" w:cs="宋体"/>
          <w:sz w:val="28"/>
          <w:szCs w:val="28"/>
          <w:highlight w:val="none"/>
        </w:rPr>
        <w:t>负责结算，乙方开具合同总价数的全额发票交甲方。</w:t>
      </w:r>
    </w:p>
    <w:p w14:paraId="1FDFEB2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4、乙方未开具足额合法发票的交甲方的，甲方有权顺延付款并不承担任何违约责任。</w:t>
      </w:r>
    </w:p>
    <w:p w14:paraId="03AA3A36">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5、如因财政拨款导致甲方无法按时支付的，乙方对此表示理解并同意待甲方收到财政拨款履行完内部审批流程后再向乙方支付合作价款，乙方不因此追究甲方任何责任。</w:t>
      </w:r>
    </w:p>
    <w:p w14:paraId="427C16D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6、甲方开票信息及账户信息</w:t>
      </w:r>
    </w:p>
    <w:p w14:paraId="343EA5AF">
      <w:pPr>
        <w:adjustRightInd w:val="0"/>
        <w:snapToGrid w:val="0"/>
        <w:spacing w:line="560" w:lineRule="exact"/>
        <w:ind w:firstLine="560" w:firstLineChars="200"/>
        <w:rPr>
          <w:rFonts w:hint="eastAsia" w:ascii="宋体" w:hAnsi="宋体" w:eastAsia="宋体" w:cs="宋体"/>
          <w:sz w:val="28"/>
          <w:szCs w:val="28"/>
          <w:highlight w:val="none"/>
          <w:lang w:eastAsia="zh-Hans"/>
        </w:rPr>
      </w:pPr>
      <w:r>
        <w:rPr>
          <w:rFonts w:hint="eastAsia" w:ascii="宋体" w:hAnsi="宋体" w:eastAsia="宋体" w:cs="宋体"/>
          <w:sz w:val="28"/>
          <w:szCs w:val="28"/>
          <w:highlight w:val="none"/>
          <w:lang w:eastAsia="zh-Hans"/>
        </w:rPr>
        <w:t>名称：</w:t>
      </w:r>
    </w:p>
    <w:p w14:paraId="677841F0">
      <w:pPr>
        <w:adjustRightInd w:val="0"/>
        <w:snapToGrid w:val="0"/>
        <w:spacing w:line="560" w:lineRule="exact"/>
        <w:ind w:firstLine="560" w:firstLineChars="200"/>
        <w:rPr>
          <w:rFonts w:hint="eastAsia" w:ascii="宋体" w:hAnsi="宋体" w:eastAsia="宋体" w:cs="宋体"/>
          <w:sz w:val="28"/>
          <w:szCs w:val="28"/>
          <w:highlight w:val="none"/>
          <w:lang w:eastAsia="zh-Hans"/>
        </w:rPr>
      </w:pPr>
      <w:r>
        <w:rPr>
          <w:rFonts w:hint="eastAsia" w:ascii="宋体" w:hAnsi="宋体" w:eastAsia="宋体" w:cs="宋体"/>
          <w:sz w:val="28"/>
          <w:szCs w:val="28"/>
          <w:highlight w:val="none"/>
          <w:lang w:eastAsia="zh-Hans"/>
        </w:rPr>
        <w:t>税号：</w:t>
      </w:r>
    </w:p>
    <w:p w14:paraId="66B549C9">
      <w:pPr>
        <w:adjustRightInd w:val="0"/>
        <w:snapToGrid w:val="0"/>
        <w:spacing w:line="560" w:lineRule="exact"/>
        <w:ind w:firstLine="560" w:firstLineChars="200"/>
        <w:rPr>
          <w:rFonts w:hint="eastAsia" w:ascii="宋体" w:hAnsi="宋体" w:eastAsia="宋体" w:cs="宋体"/>
          <w:sz w:val="28"/>
          <w:szCs w:val="28"/>
          <w:highlight w:val="none"/>
          <w:lang w:eastAsia="zh-Hans"/>
        </w:rPr>
      </w:pPr>
      <w:r>
        <w:rPr>
          <w:rFonts w:hint="eastAsia" w:ascii="宋体" w:hAnsi="宋体" w:eastAsia="宋体" w:cs="宋体"/>
          <w:sz w:val="28"/>
          <w:szCs w:val="28"/>
          <w:highlight w:val="none"/>
          <w:lang w:eastAsia="zh-Hans"/>
        </w:rPr>
        <w:t xml:space="preserve">地址： </w:t>
      </w:r>
    </w:p>
    <w:p w14:paraId="47BA2671">
      <w:pPr>
        <w:adjustRightInd w:val="0"/>
        <w:snapToGrid w:val="0"/>
        <w:spacing w:line="560" w:lineRule="exact"/>
        <w:ind w:firstLine="560" w:firstLineChars="200"/>
        <w:rPr>
          <w:rFonts w:hint="eastAsia" w:ascii="宋体" w:hAnsi="宋体" w:eastAsia="宋体" w:cs="宋体"/>
          <w:sz w:val="28"/>
          <w:szCs w:val="28"/>
          <w:highlight w:val="none"/>
          <w:lang w:eastAsia="zh-Hans"/>
        </w:rPr>
      </w:pPr>
      <w:r>
        <w:rPr>
          <w:rFonts w:hint="eastAsia" w:ascii="宋体" w:hAnsi="宋体" w:eastAsia="宋体" w:cs="宋体"/>
          <w:sz w:val="28"/>
          <w:szCs w:val="28"/>
          <w:highlight w:val="none"/>
          <w:lang w:eastAsia="zh-Hans"/>
        </w:rPr>
        <w:t>电话</w:t>
      </w:r>
      <w:r>
        <w:rPr>
          <w:rFonts w:hint="eastAsia" w:ascii="宋体" w:hAnsi="宋体" w:eastAsia="宋体" w:cs="宋体"/>
          <w:sz w:val="28"/>
          <w:szCs w:val="28"/>
          <w:highlight w:val="none"/>
        </w:rPr>
        <w:t>：</w:t>
      </w:r>
    </w:p>
    <w:p w14:paraId="1A4D03A1">
      <w:pPr>
        <w:adjustRightInd w:val="0"/>
        <w:snapToGrid w:val="0"/>
        <w:spacing w:line="560" w:lineRule="exact"/>
        <w:ind w:firstLine="560" w:firstLineChars="200"/>
        <w:rPr>
          <w:rFonts w:hint="eastAsia" w:ascii="宋体" w:hAnsi="宋体" w:eastAsia="宋体" w:cs="宋体"/>
          <w:sz w:val="28"/>
          <w:szCs w:val="28"/>
          <w:highlight w:val="none"/>
          <w:lang w:eastAsia="zh-Hans"/>
        </w:rPr>
      </w:pPr>
      <w:r>
        <w:rPr>
          <w:rFonts w:hint="eastAsia" w:ascii="宋体" w:hAnsi="宋体" w:eastAsia="宋体" w:cs="宋体"/>
          <w:sz w:val="28"/>
          <w:szCs w:val="28"/>
          <w:highlight w:val="none"/>
          <w:lang w:eastAsia="zh-Hans"/>
        </w:rPr>
        <w:t>开户行：</w:t>
      </w:r>
    </w:p>
    <w:p w14:paraId="7F35FEC8">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eastAsia="zh-Hans"/>
        </w:rPr>
        <w:t>账号</w:t>
      </w:r>
      <w:r>
        <w:rPr>
          <w:rFonts w:hint="eastAsia" w:ascii="宋体" w:hAnsi="宋体" w:eastAsia="宋体" w:cs="宋体"/>
          <w:sz w:val="28"/>
          <w:szCs w:val="28"/>
          <w:highlight w:val="none"/>
        </w:rPr>
        <w:t>：</w:t>
      </w:r>
    </w:p>
    <w:p w14:paraId="41ADC23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7、乙方账户信息</w:t>
      </w:r>
    </w:p>
    <w:p w14:paraId="106138F0">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名称：</w:t>
      </w:r>
    </w:p>
    <w:p w14:paraId="4B827735">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账户：</w:t>
      </w:r>
    </w:p>
    <w:p w14:paraId="03269178">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开户行：</w:t>
      </w:r>
    </w:p>
    <w:p w14:paraId="5AD25AD4">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四、履行期限、地点及方式：</w:t>
      </w:r>
    </w:p>
    <w:p w14:paraId="3D9F355D">
      <w:pPr>
        <w:adjustRightInd w:val="0"/>
        <w:snapToGrid w:val="0"/>
        <w:spacing w:line="560" w:lineRule="exact"/>
        <w:ind w:firstLine="560" w:firstLineChars="200"/>
        <w:rPr>
          <w:rFonts w:hint="eastAsia" w:ascii="宋体" w:hAnsi="宋体" w:eastAsia="宋体" w:cs="宋体"/>
          <w:color w:val="000000"/>
          <w:sz w:val="28"/>
          <w:szCs w:val="28"/>
          <w:highlight w:val="none"/>
          <w:lang w:eastAsia="zh-CN"/>
        </w:rPr>
      </w:pPr>
      <w:r>
        <w:rPr>
          <w:rFonts w:hint="eastAsia" w:ascii="宋体" w:hAnsi="宋体" w:eastAsia="宋体" w:cs="宋体"/>
          <w:sz w:val="28"/>
          <w:szCs w:val="28"/>
          <w:highlight w:val="none"/>
        </w:rPr>
        <w:t>1、</w:t>
      </w:r>
      <w:r>
        <w:rPr>
          <w:rFonts w:hint="eastAsia" w:ascii="宋体" w:hAnsi="宋体" w:eastAsia="宋体" w:cs="宋体"/>
          <w:color w:val="000000"/>
          <w:sz w:val="28"/>
          <w:szCs w:val="28"/>
          <w:highlight w:val="none"/>
        </w:rPr>
        <w:t>履行期限：合同签订后一年（若项目提前交付，则采购人按实际交付时间支付合同尾款）</w:t>
      </w:r>
    </w:p>
    <w:p w14:paraId="335438D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2、地点：按照甲方要求</w:t>
      </w:r>
    </w:p>
    <w:p w14:paraId="34D554C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3、方式：按照甲方要求</w:t>
      </w:r>
    </w:p>
    <w:p w14:paraId="0B2B44C2">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五、服务工作要求和质量保证</w:t>
      </w:r>
    </w:p>
    <w:p w14:paraId="7159FF2A">
      <w:pPr>
        <w:adjustRightInd w:val="0"/>
        <w:snapToGrid w:val="0"/>
        <w:spacing w:line="56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乙方应结合甲方传播需求和重点，提供全年度账号运营的策划方案，方案要求重点突出、内容细致、渠道多样；能够提供内容生产、原创稿件编发、海外社交媒体账号发布等服务；能够达到较好的传播效果；月度、季度、年终等重要节点需提交评估报告及传播报告，项目完成后，提交结案报告</w:t>
      </w:r>
      <w:r>
        <w:rPr>
          <w:rFonts w:hint="eastAsia" w:ascii="宋体" w:hAnsi="宋体" w:eastAsia="宋体" w:cs="宋体"/>
          <w:sz w:val="28"/>
          <w:szCs w:val="28"/>
          <w:highlight w:val="none"/>
          <w:lang w:eastAsia="zh-CN"/>
        </w:rPr>
        <w:t>。</w:t>
      </w:r>
    </w:p>
    <w:p w14:paraId="3EC1B9E8">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各项具体工作的质量标准和作业规范，按国家相关标准、规范、甲方要求执行。</w:t>
      </w:r>
    </w:p>
    <w:p w14:paraId="2690197D">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六、验收</w:t>
      </w:r>
    </w:p>
    <w:p w14:paraId="348A03E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1、项目完成后，由甲方</w:t>
      </w:r>
      <w:r>
        <w:rPr>
          <w:rFonts w:hint="eastAsia" w:ascii="宋体" w:hAnsi="宋体" w:cs="宋体"/>
          <w:sz w:val="28"/>
          <w:szCs w:val="28"/>
          <w:highlight w:val="none"/>
          <w:lang w:val="en-US" w:eastAsia="zh-CN"/>
        </w:rPr>
        <w:t>委托第三方专业机构进行</w:t>
      </w:r>
      <w:r>
        <w:rPr>
          <w:rFonts w:hint="eastAsia" w:ascii="宋体" w:hAnsi="宋体" w:eastAsia="宋体" w:cs="宋体"/>
          <w:sz w:val="28"/>
          <w:szCs w:val="28"/>
          <w:highlight w:val="none"/>
        </w:rPr>
        <w:t>负</w:t>
      </w:r>
      <w:bookmarkStart w:id="0" w:name="_GoBack"/>
      <w:bookmarkEnd w:id="0"/>
      <w:r>
        <w:rPr>
          <w:rFonts w:hint="eastAsia" w:ascii="宋体" w:hAnsi="宋体" w:eastAsia="宋体" w:cs="宋体"/>
          <w:sz w:val="28"/>
          <w:szCs w:val="28"/>
          <w:highlight w:val="none"/>
        </w:rPr>
        <w:t>责验收。</w:t>
      </w:r>
    </w:p>
    <w:p w14:paraId="434B2473">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2、验收依据：</w:t>
      </w:r>
    </w:p>
    <w:p w14:paraId="2988F07F">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1-1、合同文本、合同附件、磋商文件、响应文件。</w:t>
      </w:r>
    </w:p>
    <w:p w14:paraId="5829ABEB">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1-2、国内相应的标准、规范。</w:t>
      </w:r>
    </w:p>
    <w:p w14:paraId="3F8207AF">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七、知识产权</w:t>
      </w:r>
    </w:p>
    <w:p w14:paraId="30468A4E">
      <w:pPr>
        <w:adjustRightInd w:val="0"/>
        <w:snapToGrid w:val="0"/>
        <w:spacing w:line="56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乙方在研究过程中出现剽窃、抄袭等侵犯他人知识产权的行为，由乙方承担相应责任。由此给甲方造成损失的，应承担由此产生的全部责任。</w:t>
      </w:r>
    </w:p>
    <w:p w14:paraId="6CFE4F7B">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八、甲方的权利和义务</w:t>
      </w:r>
    </w:p>
    <w:p w14:paraId="38E5705D">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1、甲方有权督促乙方完成合同约定的所有工作内容及其工作进度；</w:t>
      </w:r>
    </w:p>
    <w:p w14:paraId="2DAA63E6">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2、甲方应主动提供有利于项目顺利执行实施的相关资源及便利；</w:t>
      </w:r>
    </w:p>
    <w:p w14:paraId="410F9A99">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3、甲方有权向乙方提出整改建议和意见。</w:t>
      </w:r>
    </w:p>
    <w:p w14:paraId="090A4007">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4、甲方负责监督、检查乙方提供服务的工作进度、质量情况。</w:t>
      </w:r>
    </w:p>
    <w:p w14:paraId="35D4F95F">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九、乙方的权利和义务</w:t>
      </w:r>
    </w:p>
    <w:p w14:paraId="13BDC32A">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1、对本合同规定的委托范围内的项目享有管理权及服务义务。</w:t>
      </w:r>
    </w:p>
    <w:p w14:paraId="5B15C59F">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2、根据本合同的规定向甲方收取相关服务费用，并有权在本项目管理范围内管理及使用。</w:t>
      </w:r>
    </w:p>
    <w:p w14:paraId="47E68E8E">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3、及时向甲方通告本项目执行范围内有关的重大事项，及时配合处理投诉。</w:t>
      </w:r>
    </w:p>
    <w:p w14:paraId="14EB8991">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4、接受项目行业管理部门及政府有关部门的指导，接受甲方的监督。</w:t>
      </w:r>
    </w:p>
    <w:p w14:paraId="54501B86">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5、国家法律、法规所规定由乙方承担的其它责任。</w:t>
      </w:r>
    </w:p>
    <w:p w14:paraId="39B5A2CA">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十、保密条款</w:t>
      </w:r>
    </w:p>
    <w:p w14:paraId="6D309C52">
      <w:pPr>
        <w:adjustRightInd w:val="0"/>
        <w:snapToGrid w:val="0"/>
        <w:spacing w:line="56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项目服务期截止后，或在其他任何情况下，乙方未经甲方书面允许不得擅自注销、更改账号信息，不得发布损害国家利益、甲方利益的信息。</w:t>
      </w:r>
    </w:p>
    <w:p w14:paraId="6843DDA7">
      <w:pPr>
        <w:adjustRightInd w:val="0"/>
        <w:snapToGrid w:val="0"/>
        <w:spacing w:line="560" w:lineRule="exact"/>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乙方</w:t>
      </w:r>
      <w:r>
        <w:rPr>
          <w:rFonts w:hint="eastAsia" w:ascii="宋体" w:hAnsi="宋体" w:eastAsia="宋体" w:cs="宋体"/>
          <w:sz w:val="28"/>
          <w:szCs w:val="28"/>
          <w:highlight w:val="none"/>
        </w:rPr>
        <w:t>有义务保护账号信息安全，不得泄露</w:t>
      </w:r>
      <w:r>
        <w:rPr>
          <w:rFonts w:hint="eastAsia" w:ascii="宋体" w:hAnsi="宋体" w:eastAsia="宋体" w:cs="宋体"/>
          <w:sz w:val="28"/>
          <w:szCs w:val="28"/>
          <w:highlight w:val="none"/>
          <w:lang w:val="en-US" w:eastAsia="zh-CN"/>
        </w:rPr>
        <w:t>项目</w:t>
      </w:r>
      <w:r>
        <w:rPr>
          <w:rFonts w:hint="eastAsia" w:ascii="宋体" w:hAnsi="宋体" w:eastAsia="宋体" w:cs="宋体"/>
          <w:sz w:val="28"/>
          <w:szCs w:val="28"/>
          <w:highlight w:val="none"/>
        </w:rPr>
        <w:t>信息，损害</w:t>
      </w:r>
      <w:r>
        <w:rPr>
          <w:rFonts w:hint="eastAsia" w:ascii="宋体" w:hAnsi="宋体" w:eastAsia="宋体" w:cs="宋体"/>
          <w:sz w:val="28"/>
          <w:szCs w:val="28"/>
          <w:highlight w:val="none"/>
          <w:lang w:val="en-US" w:eastAsia="zh-CN"/>
        </w:rPr>
        <w:t>甲方</w:t>
      </w:r>
      <w:r>
        <w:rPr>
          <w:rFonts w:hint="eastAsia" w:ascii="宋体" w:hAnsi="宋体" w:eastAsia="宋体" w:cs="宋体"/>
          <w:sz w:val="28"/>
          <w:szCs w:val="28"/>
          <w:highlight w:val="none"/>
        </w:rPr>
        <w:t>利益</w:t>
      </w:r>
      <w:r>
        <w:rPr>
          <w:rFonts w:hint="eastAsia" w:ascii="宋体" w:hAnsi="宋体" w:eastAsia="宋体" w:cs="宋体"/>
          <w:sz w:val="28"/>
          <w:szCs w:val="28"/>
          <w:highlight w:val="none"/>
          <w:lang w:eastAsia="zh-CN"/>
        </w:rPr>
        <w:t>。</w:t>
      </w:r>
    </w:p>
    <w:p w14:paraId="5F39BF42">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3、违约方应承担给守约方造成的一切损失,包括但不限于向第三方支付赔付款、罚款、法律诉讼费、保全费、公证费、律师费等合理开支。</w:t>
      </w:r>
    </w:p>
    <w:p w14:paraId="7CF93E92">
      <w:pPr>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、乙方应妥善保管甲方所提供的有关资料，未经甲方书面同意不得泄露、发布或转让第三方，本合同的变更、解除或终止不影响乙方承担保密义务。</w:t>
      </w:r>
    </w:p>
    <w:p w14:paraId="34E06612">
      <w:pPr>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无论合同是否成立，任何一方对在本合同订立、履行过程中以任何方式获知的另一方商业秘密或其他技术及经营信息均负有保密义务，不得向任何其他第三方透露或泄露或不正当使用，但中国现行法律、法规另有规定或经另一方书面同意的除外，不论本合同是否变更、解除或终止，上述约定的效力不受影响。</w:t>
      </w:r>
    </w:p>
    <w:p w14:paraId="736772D5">
      <w:pPr>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、泄密或不正当使用对方商业秘密给对方造成损失的，应该承担赔偿责任。</w:t>
      </w:r>
    </w:p>
    <w:p w14:paraId="7BBFC232">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十</w:t>
      </w:r>
      <w:r>
        <w:rPr>
          <w:rFonts w:hint="eastAsia" w:ascii="宋体" w:hAnsi="宋体" w:eastAsia="宋体" w:cs="宋体"/>
          <w:b/>
          <w:sz w:val="28"/>
          <w:szCs w:val="28"/>
          <w:highlight w:val="none"/>
          <w:lang w:val="en-US" w:eastAsia="zh-CN"/>
        </w:rPr>
        <w:t>一</w:t>
      </w:r>
      <w:r>
        <w:rPr>
          <w:rFonts w:hint="eastAsia" w:ascii="宋体" w:hAnsi="宋体" w:eastAsia="宋体" w:cs="宋体"/>
          <w:b/>
          <w:sz w:val="28"/>
          <w:szCs w:val="28"/>
          <w:highlight w:val="none"/>
        </w:rPr>
        <w:t>、违约责任</w:t>
      </w:r>
    </w:p>
    <w:p w14:paraId="38933A7B">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乙方应按合同约定时间完成各阶段合同义务或通过甲方验收的，若发生延迟，每逾期一日，乙方应向甲方承担合同总价0.5‰的违约金，逾期15日，甲方有权单方解除本合同，乙方应退还甲方已支付的全部价款，并向甲方支付合同总价30%的违约金，违约金不足以弥补甲方损失的，乙方应当继续赔偿。</w:t>
      </w:r>
    </w:p>
    <w:p w14:paraId="47255C7A">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除财政拨款导致的逾期支付外，如甲方未能在本合同约定时间内支付款项，每延迟一天，甲方须向乙方承担迟延支付费用的0.5‰作为违约金，并将服务周期予以相应顺延，但甲方承担的违约金最高不超过迟延支付费用的10%。</w:t>
      </w:r>
    </w:p>
    <w:p w14:paraId="4040F438">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4、本次活动因非因甲方原因导致侵害甲方或第三方合法权益的，应由乙方承担相应赔偿责任，并向甲方支付合同总价款10%的违约金并赔偿给甲方造成的全部损失。</w:t>
      </w:r>
    </w:p>
    <w:p w14:paraId="4813081A">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5、若乙方未经甲方同意泄露本合同约定的任何秘密信息的，乙方应按照不少于合同总价款的10%向甲方支付违约金，并赔偿因此给甲方造成的损失。</w:t>
      </w:r>
    </w:p>
    <w:p w14:paraId="25EA3291">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5DDE3DD4">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7、本合同项下的损失赔偿责任包括但不限于直接经济损失、间接利益损失以及诉讼费、律师费、保全费、保全保险费等全部费用。</w:t>
      </w:r>
    </w:p>
    <w:p w14:paraId="2D75B1EC">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十</w:t>
      </w:r>
      <w:r>
        <w:rPr>
          <w:rFonts w:hint="eastAsia" w:ascii="宋体" w:hAnsi="宋体" w:eastAsia="宋体" w:cs="宋体"/>
          <w:b/>
          <w:sz w:val="28"/>
          <w:szCs w:val="28"/>
          <w:highlight w:val="none"/>
          <w:lang w:val="en-US" w:eastAsia="zh-CN"/>
        </w:rPr>
        <w:t>二</w:t>
      </w:r>
      <w:r>
        <w:rPr>
          <w:rFonts w:hint="eastAsia" w:ascii="宋体" w:hAnsi="宋体" w:eastAsia="宋体" w:cs="宋体"/>
          <w:b/>
          <w:sz w:val="28"/>
          <w:szCs w:val="28"/>
          <w:highlight w:val="none"/>
        </w:rPr>
        <w:t>、不可抗力事件处理</w:t>
      </w:r>
    </w:p>
    <w:p w14:paraId="425456FF">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因不可抗力造成违约的，遭受不可抗力一方应及时向对方通报不能履行或不能完全履行的理由，并在发生不可抗力事由后15日内向另一方提供不可抗力发生以及持续期间的有关权威机构出具的证明等充分证据。基本于以上行为，允许遭受不可抗力一方延期履行、部分履行或者不履行合同，并根据情况可部分或全部免于承担违约责任。遭受不可抗力的一方应采取有效措施避免损失的扩大，否则应就扩大损失部分承担责任。</w:t>
      </w:r>
    </w:p>
    <w:p w14:paraId="30245098">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777DC2BF">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十</w:t>
      </w:r>
      <w:r>
        <w:rPr>
          <w:rFonts w:hint="eastAsia" w:ascii="宋体" w:hAnsi="宋体" w:eastAsia="宋体" w:cs="宋体"/>
          <w:b/>
          <w:sz w:val="28"/>
          <w:szCs w:val="28"/>
          <w:highlight w:val="none"/>
          <w:lang w:val="en-US" w:eastAsia="zh-CN"/>
        </w:rPr>
        <w:t>三</w:t>
      </w:r>
      <w:r>
        <w:rPr>
          <w:rFonts w:hint="eastAsia" w:ascii="宋体" w:hAnsi="宋体" w:eastAsia="宋体" w:cs="宋体"/>
          <w:b/>
          <w:sz w:val="28"/>
          <w:szCs w:val="28"/>
          <w:highlight w:val="none"/>
        </w:rPr>
        <w:t>、合同组成</w:t>
      </w:r>
    </w:p>
    <w:p w14:paraId="72B937B3">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1、成交通知书</w:t>
      </w:r>
    </w:p>
    <w:p w14:paraId="15CFC05B">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2、合同文件</w:t>
      </w:r>
    </w:p>
    <w:p w14:paraId="40CC15A9">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3、国家相关规范及标准</w:t>
      </w:r>
    </w:p>
    <w:p w14:paraId="31ECC474">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4、竞争性磋商文件</w:t>
      </w:r>
    </w:p>
    <w:p w14:paraId="60D6F038">
      <w:pPr>
        <w:adjustRightInd w:val="0"/>
        <w:snapToGrid w:val="0"/>
        <w:spacing w:line="56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5、磋商响应文件</w:t>
      </w:r>
    </w:p>
    <w:p w14:paraId="4DB80BA8">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十</w:t>
      </w:r>
      <w:r>
        <w:rPr>
          <w:rFonts w:hint="eastAsia" w:ascii="宋体" w:hAnsi="宋体" w:eastAsia="宋体" w:cs="宋体"/>
          <w:b/>
          <w:sz w:val="28"/>
          <w:szCs w:val="28"/>
          <w:highlight w:val="none"/>
          <w:lang w:val="en-US" w:eastAsia="zh-CN"/>
        </w:rPr>
        <w:t>四</w:t>
      </w:r>
      <w:r>
        <w:rPr>
          <w:rFonts w:hint="eastAsia" w:ascii="宋体" w:hAnsi="宋体" w:eastAsia="宋体" w:cs="宋体"/>
          <w:b/>
          <w:sz w:val="28"/>
          <w:szCs w:val="28"/>
          <w:highlight w:val="none"/>
        </w:rPr>
        <w:t>、解决争议的方法</w:t>
      </w:r>
    </w:p>
    <w:p w14:paraId="1E87603E">
      <w:pPr>
        <w:widowControl/>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凡因本合同引起的或与本合同有关的争议，双方应友好协商解决。协商不成时，双方均同意采用以下第（ 1 ）种争议解决方式：</w:t>
      </w:r>
    </w:p>
    <w:p w14:paraId="490F65D4">
      <w:pPr>
        <w:widowControl/>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（1）甲、乙双方均同意向（甲方所在地人民法院）提起诉讼。</w:t>
      </w:r>
    </w:p>
    <w:p w14:paraId="1D30DA35">
      <w:pPr>
        <w:widowControl/>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（2）甲、乙双方均同意向（</w:t>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"http://www.baidu.com/s?wd=%E4%BB%B2%E8%A3%81%E5%A7%94%E5%91%98%E4%BC%9A&amp;tn=SE_PcZhidaonwhc_ngpagmjz&amp;rsv_dl=gh_pc_zhidao" \t "_blank" </w:instrText>
      </w:r>
      <w:r>
        <w:rPr>
          <w:rFonts w:hint="eastAsia" w:ascii="宋体" w:hAnsi="宋体" w:eastAsia="宋体" w:cs="宋体"/>
          <w:sz w:val="28"/>
          <w:szCs w:val="28"/>
          <w:highlight w:val="none"/>
        </w:rPr>
        <w:fldChar w:fldCharType="separate"/>
      </w:r>
      <w:r>
        <w:rPr>
          <w:rFonts w:hint="eastAsia" w:ascii="宋体" w:hAnsi="宋体" w:eastAsia="宋体" w:cs="宋体"/>
          <w:kern w:val="0"/>
          <w:sz w:val="28"/>
          <w:szCs w:val="28"/>
          <w:highlight w:val="none"/>
        </w:rPr>
        <w:t>仲裁委员会</w:t>
      </w:r>
      <w:r>
        <w:rPr>
          <w:rFonts w:hint="eastAsia" w:ascii="宋体" w:hAnsi="宋体" w:eastAsia="宋体" w:cs="宋体"/>
          <w:kern w:val="0"/>
          <w:sz w:val="28"/>
          <w:szCs w:val="28"/>
          <w:highlight w:val="none"/>
        </w:rPr>
        <w:fldChar w:fldCharType="end"/>
      </w:r>
      <w:r>
        <w:rPr>
          <w:rFonts w:hint="eastAsia" w:ascii="宋体" w:hAnsi="宋体" w:eastAsia="宋体" w:cs="宋体"/>
          <w:kern w:val="0"/>
          <w:sz w:val="28"/>
          <w:szCs w:val="28"/>
          <w:highlight w:val="none"/>
        </w:rPr>
        <w:t>）提起仲裁。</w:t>
      </w:r>
    </w:p>
    <w:p w14:paraId="530B27C1">
      <w:pPr>
        <w:adjustRightInd w:val="0"/>
        <w:snapToGrid w:val="0"/>
        <w:spacing w:line="56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十</w:t>
      </w:r>
      <w:r>
        <w:rPr>
          <w:rFonts w:hint="eastAsia" w:ascii="宋体" w:hAnsi="宋体" w:eastAsia="宋体" w:cs="宋体"/>
          <w:b/>
          <w:sz w:val="28"/>
          <w:szCs w:val="28"/>
          <w:highlight w:val="none"/>
          <w:lang w:val="en-US" w:eastAsia="zh-CN"/>
        </w:rPr>
        <w:t>五</w:t>
      </w:r>
      <w:r>
        <w:rPr>
          <w:rFonts w:hint="eastAsia" w:ascii="宋体" w:hAnsi="宋体" w:eastAsia="宋体" w:cs="宋体"/>
          <w:b/>
          <w:sz w:val="28"/>
          <w:szCs w:val="28"/>
          <w:highlight w:val="none"/>
        </w:rPr>
        <w:t>、合同生效及其它</w:t>
      </w:r>
    </w:p>
    <w:p w14:paraId="47792C0B">
      <w:pPr>
        <w:widowControl/>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双方同意合同约定的联系方式作为有效司法送达地址。一方当事人变更名称、地址、联系人或通信终端的，应当在变更前3日内及时书面通知对方当事人，对方当事人实际收到变更通知前的送达仍为有效送达，电子送达与书面送达具有同等法律效力。</w:t>
      </w:r>
    </w:p>
    <w:p w14:paraId="25EA030D">
      <w:pPr>
        <w:widowControl/>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2、合同未尽事宜、由甲、乙双方协商，并签订补充协议，经双方确认的补充协议与原合同具有同等法律效力。</w:t>
      </w:r>
    </w:p>
    <w:p w14:paraId="02957493">
      <w:pPr>
        <w:widowControl/>
        <w:tabs>
          <w:tab w:val="left" w:pos="8391"/>
        </w:tabs>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3、 本合同一式</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份，甲方、乙方双方分别执</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份，向【      】备案</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份。</w:t>
      </w:r>
    </w:p>
    <w:p w14:paraId="2569E01E">
      <w:pPr>
        <w:widowControl/>
        <w:tabs>
          <w:tab w:val="left" w:pos="8391"/>
        </w:tabs>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4、合同经甲乙双方盖章或签字后生效，合同签订地点为</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w:t>
      </w:r>
    </w:p>
    <w:p w14:paraId="6B0D1D93">
      <w:pPr>
        <w:widowControl/>
        <w:tabs>
          <w:tab w:val="left" w:pos="8391"/>
        </w:tabs>
        <w:autoSpaceDE w:val="0"/>
        <w:autoSpaceDN w:val="0"/>
        <w:snapToGrid w:val="0"/>
        <w:spacing w:line="560" w:lineRule="exact"/>
        <w:ind w:firstLine="560" w:firstLineChars="200"/>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5、生效时间：</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年</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月</w:t>
      </w:r>
      <w:r>
        <w:rPr>
          <w:rFonts w:hint="eastAsia" w:ascii="宋体" w:hAnsi="宋体" w:eastAsia="宋体" w:cs="宋体"/>
          <w:kern w:val="0"/>
          <w:sz w:val="28"/>
          <w:szCs w:val="28"/>
          <w:highlight w:val="none"/>
          <w:u w:val="single"/>
        </w:rPr>
        <w:t xml:space="preserve">  </w:t>
      </w:r>
      <w:r>
        <w:rPr>
          <w:rFonts w:hint="eastAsia" w:ascii="宋体" w:hAnsi="宋体" w:eastAsia="宋体" w:cs="宋体"/>
          <w:kern w:val="0"/>
          <w:sz w:val="28"/>
          <w:szCs w:val="28"/>
          <w:highlight w:val="none"/>
        </w:rPr>
        <w:t>日</w:t>
      </w:r>
    </w:p>
    <w:p w14:paraId="71BEB4BE">
      <w:pPr>
        <w:rPr>
          <w:rFonts w:hint="eastAsia" w:ascii="宋体" w:hAnsi="宋体" w:eastAsia="宋体" w:cs="宋体"/>
          <w:sz w:val="28"/>
          <w:szCs w:val="28"/>
          <w:highlight w:val="none"/>
        </w:rPr>
      </w:pPr>
    </w:p>
    <w:tbl>
      <w:tblPr>
        <w:tblStyle w:val="4"/>
        <w:tblW w:w="0" w:type="auto"/>
        <w:jc w:val="center"/>
        <w:tblLayout w:type="fixed"/>
        <w:tblCellMar>
          <w:top w:w="0" w:type="dxa"/>
          <w:left w:w="108" w:type="dxa"/>
          <w:bottom w:w="0" w:type="dxa"/>
          <w:right w:w="108" w:type="dxa"/>
        </w:tblCellMar>
      </w:tblPr>
      <w:tblGrid>
        <w:gridCol w:w="4643"/>
        <w:gridCol w:w="4643"/>
      </w:tblGrid>
      <w:tr w14:paraId="2F2E6632">
        <w:tblPrEx>
          <w:tblCellMar>
            <w:top w:w="0" w:type="dxa"/>
            <w:left w:w="108" w:type="dxa"/>
            <w:bottom w:w="0" w:type="dxa"/>
            <w:right w:w="108" w:type="dxa"/>
          </w:tblCellMar>
        </w:tblPrEx>
        <w:trPr>
          <w:jc w:val="center"/>
        </w:trPr>
        <w:tc>
          <w:tcPr>
            <w:tcW w:w="4643" w:type="dxa"/>
          </w:tcPr>
          <w:p w14:paraId="7FD6DF89">
            <w:pPr>
              <w:widowControl/>
              <w:autoSpaceDE w:val="0"/>
              <w:autoSpaceDN w:val="0"/>
              <w:snapToGrid w:val="0"/>
              <w:spacing w:line="360" w:lineRule="auto"/>
              <w:ind w:right="-154"/>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甲方名称</w:t>
            </w:r>
            <w:r>
              <w:rPr>
                <w:rFonts w:hint="eastAsia" w:ascii="宋体" w:hAnsi="宋体" w:eastAsia="宋体" w:cs="宋体"/>
                <w:spacing w:val="-20"/>
                <w:kern w:val="0"/>
                <w:sz w:val="28"/>
                <w:szCs w:val="28"/>
                <w:highlight w:val="none"/>
              </w:rPr>
              <w:t>（盖章）</w:t>
            </w:r>
            <w:r>
              <w:rPr>
                <w:rFonts w:hint="eastAsia" w:ascii="宋体" w:hAnsi="宋体" w:eastAsia="宋体" w:cs="宋体"/>
                <w:kern w:val="0"/>
                <w:sz w:val="28"/>
                <w:szCs w:val="28"/>
                <w:highlight w:val="none"/>
              </w:rPr>
              <w:t>:</w:t>
            </w:r>
          </w:p>
          <w:p w14:paraId="4E80739B">
            <w:pPr>
              <w:widowControl/>
              <w:autoSpaceDE w:val="0"/>
              <w:autoSpaceDN w:val="0"/>
              <w:snapToGrid w:val="0"/>
              <w:spacing w:line="360" w:lineRule="auto"/>
              <w:ind w:right="-154"/>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代表人（签字）：</w:t>
            </w:r>
          </w:p>
          <w:p w14:paraId="36DE4A5E">
            <w:pPr>
              <w:widowControl/>
              <w:autoSpaceDE w:val="0"/>
              <w:autoSpaceDN w:val="0"/>
              <w:snapToGrid w:val="0"/>
              <w:spacing w:line="360" w:lineRule="auto"/>
              <w:ind w:right="-154"/>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签订时间：</w:t>
            </w:r>
          </w:p>
        </w:tc>
        <w:tc>
          <w:tcPr>
            <w:tcW w:w="4643" w:type="dxa"/>
          </w:tcPr>
          <w:p w14:paraId="4271C813">
            <w:pPr>
              <w:widowControl/>
              <w:autoSpaceDE w:val="0"/>
              <w:autoSpaceDN w:val="0"/>
              <w:snapToGrid w:val="0"/>
              <w:spacing w:line="360" w:lineRule="auto"/>
              <w:ind w:right="-154"/>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乙方名称</w:t>
            </w:r>
            <w:r>
              <w:rPr>
                <w:rFonts w:hint="eastAsia" w:ascii="宋体" w:hAnsi="宋体" w:eastAsia="宋体" w:cs="宋体"/>
                <w:spacing w:val="-20"/>
                <w:kern w:val="0"/>
                <w:sz w:val="28"/>
                <w:szCs w:val="28"/>
                <w:highlight w:val="none"/>
              </w:rPr>
              <w:t>（盖章）</w:t>
            </w:r>
            <w:r>
              <w:rPr>
                <w:rFonts w:hint="eastAsia" w:ascii="宋体" w:hAnsi="宋体" w:eastAsia="宋体" w:cs="宋体"/>
                <w:kern w:val="0"/>
                <w:sz w:val="28"/>
                <w:szCs w:val="28"/>
                <w:highlight w:val="none"/>
              </w:rPr>
              <w:t>:</w:t>
            </w:r>
          </w:p>
          <w:p w14:paraId="484C3B4D">
            <w:pPr>
              <w:widowControl/>
              <w:autoSpaceDE w:val="0"/>
              <w:autoSpaceDN w:val="0"/>
              <w:snapToGrid w:val="0"/>
              <w:spacing w:line="360" w:lineRule="auto"/>
              <w:ind w:right="-154"/>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代表人（签字）：</w:t>
            </w:r>
          </w:p>
          <w:p w14:paraId="46F1E89A">
            <w:pPr>
              <w:widowControl/>
              <w:autoSpaceDE w:val="0"/>
              <w:autoSpaceDN w:val="0"/>
              <w:snapToGrid w:val="0"/>
              <w:spacing w:line="360" w:lineRule="auto"/>
              <w:ind w:right="-154"/>
              <w:textAlignment w:val="bottom"/>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签订时间：</w:t>
            </w:r>
          </w:p>
        </w:tc>
      </w:tr>
    </w:tbl>
    <w:p w14:paraId="62133100">
      <w:pPr>
        <w:adjustRightInd w:val="0"/>
        <w:snapToGrid w:val="0"/>
        <w:spacing w:line="560" w:lineRule="exact"/>
        <w:ind w:firstLine="562" w:firstLineChars="200"/>
        <w:rPr>
          <w:rFonts w:hint="eastAsia" w:ascii="宋体" w:hAnsi="宋体" w:eastAsia="宋体" w:cs="宋体"/>
          <w:b/>
          <w:sz w:val="28"/>
          <w:szCs w:val="28"/>
          <w:highlight w:val="none"/>
        </w:rPr>
      </w:pPr>
    </w:p>
    <w:p w14:paraId="40D3089A">
      <w:pPr>
        <w:pStyle w:val="7"/>
        <w:rPr>
          <w:rFonts w:hint="eastAsia" w:ascii="宋体" w:hAnsi="宋体" w:eastAsia="宋体" w:cs="宋体"/>
          <w:sz w:val="28"/>
          <w:szCs w:val="28"/>
          <w:lang w:val="en-US" w:eastAsia="zh-Hans"/>
        </w:rPr>
      </w:pPr>
    </w:p>
    <w:p w14:paraId="2D03F42D">
      <w:pPr>
        <w:pStyle w:val="7"/>
        <w:rPr>
          <w:rFonts w:hint="eastAsia" w:ascii="宋体" w:hAnsi="宋体" w:eastAsia="宋体" w:cs="宋体"/>
          <w:sz w:val="28"/>
          <w:szCs w:val="28"/>
          <w:lang w:val="en-US" w:eastAsia="zh-Hans"/>
        </w:rPr>
      </w:pPr>
    </w:p>
    <w:p w14:paraId="78B7E6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7798F"/>
    <w:rsid w:val="56986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3161</Words>
  <Characters>3229</Characters>
  <Lines>0</Lines>
  <Paragraphs>0</Paragraphs>
  <TotalTime>0</TotalTime>
  <ScaleCrop>false</ScaleCrop>
  <LinksUpToDate>false</LinksUpToDate>
  <CharactersWithSpaces>3263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2026-05-13T02:12:00Z</dcterms:created>
  <dc:creator>Administrator</dc:creator>
  <cp:lastModifiedBy>Administrator</cp:lastModifiedBy>
  <dcterms:modified xsi:type="dcterms:W3CDTF">2026-05-13T02:27:43Z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eyJoZGlkIjoiMmE4OWVmYjBmM2NkNjA3Mzk2YjI0NGQzY2JjNGEwNDgiLCJ1c2VySWQiOiIyNzA4NDYzNjIifQ==</vt:lpwstr>
  </property>
  <property fmtid="{D5CDD505-2E9C-101B-9397-08002B2CF9AE}" pid="4" name="ICV">
    <vt:lpwstr>E7C7FA60EFE7496A8F147DFB77AD6F5E_12</vt:lpwstr>
  </property>
</Properties>
</file>