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22785">
      <w:pPr>
        <w:pStyle w:val="10"/>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w:t>
      </w:r>
      <w:bookmarkStart w:id="0" w:name="_GoBack"/>
      <w:r>
        <w:rPr>
          <w:rFonts w:ascii="仿宋_GB2312" w:hAnsi="仿宋_GB2312" w:eastAsia="仿宋_GB2312" w:cs="仿宋_GB2312"/>
          <w:b/>
          <w:sz w:val="36"/>
        </w:rPr>
        <w:t>合同文本</w:t>
      </w:r>
      <w:bookmarkEnd w:id="0"/>
    </w:p>
    <w:p w14:paraId="79494D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eastAsia="zh-CN"/>
        </w:rPr>
        <w:t>（</w:t>
      </w:r>
      <w:r>
        <w:rPr>
          <w:rFonts w:hint="eastAsia" w:ascii="仿宋_GB2312" w:hAnsi="仿宋" w:eastAsia="仿宋_GB2312"/>
          <w:bCs/>
          <w:kern w:val="2"/>
          <w:lang w:val="zh-CN"/>
        </w:rPr>
        <w:t>采购人</w:t>
      </w:r>
      <w:r>
        <w:rPr>
          <w:rFonts w:hint="eastAsia" w:ascii="仿宋" w:hAnsi="仿宋" w:eastAsia="仿宋" w:cs="仿宋"/>
          <w:sz w:val="24"/>
          <w:szCs w:val="24"/>
          <w:lang w:eastAsia="zh-CN"/>
        </w:rPr>
        <w:t>）</w:t>
      </w:r>
      <w:r>
        <w:rPr>
          <w:rFonts w:hint="eastAsia" w:ascii="仿宋" w:hAnsi="仿宋" w:eastAsia="仿宋" w:cs="仿宋"/>
          <w:sz w:val="24"/>
          <w:szCs w:val="24"/>
        </w:rPr>
        <w:t>：</w:t>
      </w:r>
    </w:p>
    <w:p w14:paraId="040375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eastAsia="zh-CN"/>
        </w:rPr>
        <w:t>（</w:t>
      </w:r>
      <w:r>
        <w:rPr>
          <w:rFonts w:hint="eastAsia" w:ascii="仿宋_GB2312" w:hAnsi="仿宋" w:eastAsia="仿宋_GB2312"/>
          <w:bCs/>
          <w:kern w:val="2"/>
          <w:lang w:val="zh-CN"/>
        </w:rPr>
        <w:t>中标人</w:t>
      </w:r>
      <w:r>
        <w:rPr>
          <w:rFonts w:hint="eastAsia" w:ascii="仿宋" w:hAnsi="仿宋" w:eastAsia="仿宋" w:cs="仿宋"/>
          <w:sz w:val="24"/>
          <w:szCs w:val="24"/>
          <w:lang w:eastAsia="zh-CN"/>
        </w:rPr>
        <w:t>）</w:t>
      </w:r>
      <w:r>
        <w:rPr>
          <w:rFonts w:hint="eastAsia" w:ascii="仿宋" w:hAnsi="仿宋" w:eastAsia="仿宋" w:cs="仿宋"/>
          <w:sz w:val="24"/>
          <w:szCs w:val="24"/>
        </w:rPr>
        <w:t>：</w:t>
      </w:r>
    </w:p>
    <w:p w14:paraId="7B4D9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根据《中华人民共和国政府采购法》及实施条例、《中华人民共和国民法典》和</w:t>
      </w:r>
      <w:r>
        <w:rPr>
          <w:rFonts w:hint="eastAsia" w:ascii="仿宋" w:hAnsi="仿宋" w:eastAsia="仿宋" w:cs="仿宋"/>
          <w:sz w:val="24"/>
          <w:szCs w:val="24"/>
          <w:u w:val="single"/>
          <w:lang w:val="en-US" w:eastAsia="zh-CN"/>
        </w:rPr>
        <w:t xml:space="preserve"> （项目名称）  </w:t>
      </w:r>
      <w:r>
        <w:rPr>
          <w:rFonts w:hint="eastAsia" w:ascii="仿宋" w:hAnsi="仿宋" w:eastAsia="仿宋" w:cs="仿宋"/>
          <w:sz w:val="24"/>
          <w:szCs w:val="24"/>
        </w:rPr>
        <w:t>的招标文件、投标文件等有关规定，为确保甲方采购项目的顺利实施，甲、乙双方在平等自愿原则下签订本合同，并共同遵守如下条款：</w:t>
      </w:r>
    </w:p>
    <w:p w14:paraId="695C75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一、项目基本情况</w:t>
      </w:r>
    </w:p>
    <w:p w14:paraId="0335020F">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鲜肉类（猪肉、牛肉、羊肉等）；水产品类（草鱼、黑鱼、桂鱼、鲈鱼等鱼类）；冻货类（冻鸡、冻鸡腿、冻鸭、冻鸭腿、冻虾、扇贝、生蚝、鱿鱼、鱼丸、鱼豆腐等）；水果类</w:t>
      </w:r>
      <w:r>
        <w:rPr>
          <w:rFonts w:hint="eastAsia" w:ascii="仿宋_GB2312" w:hAnsi="仿宋_GB2312" w:eastAsia="仿宋_GB2312" w:cs="仿宋_GB2312"/>
          <w:sz w:val="24"/>
          <w:szCs w:val="24"/>
          <w:lang w:eastAsia="zh-CN"/>
        </w:rPr>
        <w:t>等食材采购。</w:t>
      </w:r>
    </w:p>
    <w:p w14:paraId="67BE9D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二、合同概况</w:t>
      </w:r>
    </w:p>
    <w:p w14:paraId="265D6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合同内容为乙方负责按照合同确定的食材名称、规格、数量、产地等内容及技术标准组织供货，主要内容为乙方按照甲方每天实际就餐人数供应</w:t>
      </w:r>
      <w:r>
        <w:rPr>
          <w:rFonts w:hint="eastAsia" w:ascii="仿宋_GB2312" w:hAnsi="仿宋_GB2312" w:eastAsia="仿宋_GB2312" w:cs="仿宋_GB2312"/>
          <w:sz w:val="24"/>
          <w:szCs w:val="24"/>
          <w:lang w:val="en-US" w:eastAsia="zh-CN"/>
        </w:rPr>
        <w:t>鲜肉类、水产品类、冻货类</w:t>
      </w:r>
      <w:r>
        <w:rPr>
          <w:rFonts w:hint="eastAsia" w:ascii="仿宋" w:hAnsi="仿宋" w:eastAsia="仿宋" w:cs="仿宋"/>
          <w:sz w:val="24"/>
          <w:szCs w:val="24"/>
        </w:rPr>
        <w:t>等（具体以甲方采购计划清单为准）。</w:t>
      </w:r>
    </w:p>
    <w:p w14:paraId="352062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配送地点：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w:t>
      </w:r>
    </w:p>
    <w:p w14:paraId="74862BAE">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送货时间:接采购人通知，需在当日做出响应并及时配送。</w:t>
      </w:r>
    </w:p>
    <w:p w14:paraId="36A0EA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并配合甲方验收人员，对所送食材进行初步验收；确保所配送食材各项指标达到要求，同时乙方根据食材的特性做好售后服务。</w:t>
      </w:r>
    </w:p>
    <w:p w14:paraId="1D36AC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三、合同期限</w:t>
      </w:r>
    </w:p>
    <w:p w14:paraId="1FF3CE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自合同签订之日起1年。</w:t>
      </w:r>
    </w:p>
    <w:p w14:paraId="628106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四、合同价格</w:t>
      </w:r>
    </w:p>
    <w:p w14:paraId="48590F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1、折扣率为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（按甲方实际发生金额据实结算）。</w:t>
      </w:r>
      <w:r>
        <w:rPr>
          <w:rFonts w:hint="eastAsia" w:ascii="仿宋" w:hAnsi="仿宋" w:eastAsia="仿宋" w:cs="仿宋"/>
          <w:sz w:val="24"/>
          <w:szCs w:val="24"/>
          <w:lang w:val="en-US" w:eastAsia="zh-CN"/>
        </w:rPr>
        <w:t>合同履行期间总支付不超过预算金额。</w:t>
      </w:r>
    </w:p>
    <w:p w14:paraId="5E5870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折扣报价不受市场价变化或实际工作量变化的影响，综合货款、运费、装卸费、税费、检测费等与配送服务相关的所有费用总和的折扣率。</w:t>
      </w:r>
    </w:p>
    <w:p w14:paraId="3A49C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2、结算价=基准价×</w:t>
      </w:r>
      <w:r>
        <w:rPr>
          <w:rFonts w:hint="eastAsia" w:ascii="仿宋" w:hAnsi="仿宋" w:eastAsia="仿宋" w:cs="仿宋"/>
          <w:sz w:val="24"/>
          <w:szCs w:val="24"/>
          <w:lang w:val="en-US" w:eastAsia="zh-CN"/>
        </w:rPr>
        <w:t>中标</w:t>
      </w:r>
      <w:r>
        <w:rPr>
          <w:rFonts w:hint="eastAsia" w:ascii="仿宋" w:hAnsi="仿宋" w:eastAsia="仿宋" w:cs="仿宋"/>
          <w:sz w:val="24"/>
          <w:szCs w:val="24"/>
        </w:rPr>
        <w:t>折扣率×实际供应量进行据实结算。</w:t>
      </w:r>
    </w:p>
    <w:p w14:paraId="77F818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基准价从以下方式确定：</w:t>
      </w:r>
    </w:p>
    <w:p w14:paraId="16E23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（1）根据西安市发展和改革委员会网站（http://xadrc.xa.gov.cn/）发布的《西安市“菜篮子”主要商品价格信息公开表》中查询当时当地的价格作为基准价；</w:t>
      </w:r>
    </w:p>
    <w:p w14:paraId="664E99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（2）前种方式查询不到的价格，根据西安市农业农村局官网(http://nyncj.xa.gov.cn)发布的北城批发市场、摩尔农产品交易中心、朱雀市场和欣桥批发市场的四个市场产品的价格均值作为基准价；</w:t>
      </w:r>
    </w:p>
    <w:p w14:paraId="339A26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（3）以上两种方式均查询不到的价格，以就近原则，在供货地点附近的二级批发市场询价的价格（以附带时间地点的水印照片为准）作为基准价；</w:t>
      </w:r>
    </w:p>
    <w:p w14:paraId="6B3C3B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FF"/>
          <w:kern w:val="0"/>
          <w:sz w:val="24"/>
          <w:szCs w:val="24"/>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4）每周定价一次。</w:t>
      </w:r>
    </w:p>
    <w:p w14:paraId="330D73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五、合同款项支付</w:t>
      </w:r>
    </w:p>
    <w:p w14:paraId="49B9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u w:val="single"/>
          <w:lang w:val="en-US" w:eastAsia="zh-CN"/>
        </w:rPr>
      </w:pPr>
      <w:r>
        <w:rPr>
          <w:rFonts w:hint="eastAsia" w:ascii="仿宋" w:hAnsi="仿宋" w:eastAsia="仿宋" w:cs="仿宋"/>
          <w:sz w:val="24"/>
          <w:szCs w:val="24"/>
          <w:lang w:val="en-US" w:eastAsia="zh-CN"/>
        </w:rPr>
        <w:t>付款方式：</w:t>
      </w:r>
      <w:r>
        <w:rPr>
          <w:rFonts w:hint="eastAsia" w:ascii="仿宋" w:hAnsi="仿宋" w:eastAsia="仿宋" w:cs="仿宋"/>
          <w:sz w:val="24"/>
          <w:szCs w:val="24"/>
          <w:u w:val="single"/>
          <w:lang w:val="en-US" w:eastAsia="zh-CN"/>
        </w:rPr>
        <w:t xml:space="preserve">                               </w:t>
      </w:r>
    </w:p>
    <w:p w14:paraId="577E9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支付方式：通过银行转账方式将款项转入乙方银行账户。</w:t>
      </w:r>
    </w:p>
    <w:p w14:paraId="7C3002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六、食品质量要求</w:t>
      </w:r>
    </w:p>
    <w:p w14:paraId="3B6256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所有食材均须符合《中华人民共和国食品安全法》，须具备所配送产品的检测报告或食品检验合格证。所有商品必须满足国家制定新的食品安全标准和地方相关规定执行。</w:t>
      </w:r>
    </w:p>
    <w:p w14:paraId="3590C1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鲜肉类：肉身必须盖有卫生检疫章，须出具加盖国家或地方政府监督所检疫章的动物检疫证明。肉品须表皮洁净、膘厚适中、色泽鲜亮、纹理清晰、肉质细腻、无异味、去骨、无毛、按压无水迹。乙方应设有固定的经营场所，含</w:t>
      </w:r>
    </w:p>
    <w:p w14:paraId="02BD3E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水(冰)率符合标准。</w:t>
      </w:r>
    </w:p>
    <w:p w14:paraId="08CC6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、水产</w:t>
      </w:r>
      <w:r>
        <w:rPr>
          <w:rFonts w:hint="eastAsia" w:ascii="仿宋_GB2312" w:hAnsi="仿宋_GB2312" w:eastAsia="仿宋_GB2312" w:cs="仿宋_GB2312"/>
          <w:sz w:val="24"/>
          <w:szCs w:val="24"/>
          <w:lang w:val="en-US" w:eastAsia="zh-CN"/>
        </w:rPr>
        <w:t>品</w:t>
      </w:r>
      <w:r>
        <w:rPr>
          <w:rFonts w:hint="eastAsia" w:ascii="仿宋" w:hAnsi="仿宋" w:eastAsia="仿宋" w:cs="仿宋"/>
          <w:sz w:val="24"/>
          <w:szCs w:val="24"/>
          <w:lang w:val="en-US" w:eastAsia="zh-CN"/>
        </w:rPr>
        <w:t>类</w:t>
      </w:r>
      <w:r>
        <w:rPr>
          <w:rFonts w:hint="eastAsia" w:ascii="仿宋" w:hAnsi="仿宋" w:eastAsia="仿宋" w:cs="仿宋"/>
          <w:sz w:val="24"/>
          <w:szCs w:val="24"/>
        </w:rPr>
        <w:t>：草鱼、黑鱼、桂鱼、鲈鱼等鱼类要求体表光滑无病灶、无有害添加剂，有鲜鱼鳞</w:t>
      </w:r>
      <w:r>
        <w:rPr>
          <w:rFonts w:hint="eastAsia" w:ascii="仿宋" w:hAnsi="仿宋" w:eastAsia="仿宋" w:cs="仿宋"/>
          <w:sz w:val="24"/>
          <w:szCs w:val="24"/>
          <w:lang w:val="en-US" w:eastAsia="zh-CN"/>
        </w:rPr>
        <w:t>片</w:t>
      </w:r>
      <w:r>
        <w:rPr>
          <w:rFonts w:hint="eastAsia" w:ascii="仿宋" w:hAnsi="仿宋" w:eastAsia="仿宋" w:cs="仿宋"/>
          <w:sz w:val="24"/>
          <w:szCs w:val="24"/>
        </w:rPr>
        <w:t>完整，无鳞鱼无浑浊粘液，肉质干燥</w:t>
      </w:r>
      <w:r>
        <w:rPr>
          <w:rFonts w:hint="eastAsia" w:ascii="仿宋" w:hAnsi="仿宋" w:eastAsia="仿宋" w:cs="仿宋"/>
          <w:sz w:val="24"/>
          <w:szCs w:val="24"/>
          <w:lang w:eastAsia="zh-CN"/>
        </w:rPr>
        <w:t>，</w:t>
      </w:r>
      <w:r>
        <w:rPr>
          <w:rFonts w:hint="eastAsia" w:ascii="仿宋" w:hAnsi="仿宋" w:eastAsia="仿宋" w:cs="仿宋"/>
          <w:sz w:val="24"/>
          <w:szCs w:val="24"/>
        </w:rPr>
        <w:t>紧密，呈白色或淡黄色眼球外突饱满透明，鳃丝清晰鲜红或暗红，保持活体状态固有本色，无异味，鱼类肌肉紧密有弹性，内脏清晰可辨无腐烂。乙方应设有固定的经营场所，含水(冰)率符合标准。</w:t>
      </w:r>
    </w:p>
    <w:p w14:paraId="771B57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冻货类</w:t>
      </w:r>
      <w:r>
        <w:rPr>
          <w:rFonts w:hint="eastAsia" w:ascii="仿宋" w:hAnsi="仿宋" w:eastAsia="仿宋" w:cs="仿宋"/>
          <w:sz w:val="24"/>
          <w:szCs w:val="24"/>
        </w:rPr>
        <w:t>：冻品外包装需完整，无破损，无不封口现象，有生产日期。冻品在解冻后无质量问题，发现质量问题需退货。符合国家绿色批发市场标准，应具备满足交易需要的冷冻储存设施。乙方应设有固定的经营场所，含水(冰)率符合</w:t>
      </w:r>
      <w:r>
        <w:rPr>
          <w:rFonts w:hint="eastAsia" w:ascii="仿宋" w:hAnsi="仿宋" w:eastAsia="仿宋" w:cs="仿宋"/>
          <w:sz w:val="24"/>
          <w:szCs w:val="24"/>
          <w:lang w:val="en-US" w:eastAsia="zh-CN"/>
        </w:rPr>
        <w:t>标准。</w:t>
      </w:r>
    </w:p>
    <w:p w14:paraId="39A517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4、水果类：当季各类水果，无虫、无杂质，须保证水果新鲜，原水果须保证果面干净、无明显泥土、码放整齐、无破损、大小基本统一、不得过熟或欠熟。</w:t>
      </w:r>
    </w:p>
    <w:p w14:paraId="7A8F03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七、配送要求</w:t>
      </w:r>
    </w:p>
    <w:p w14:paraId="7B4DFFCD">
      <w:pPr>
        <w:pStyle w:val="10"/>
        <w:spacing w:line="360" w:lineRule="auto"/>
        <w:ind w:firstLine="48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1、根据甲方需求用量及库存条件，按要求配送。</w:t>
      </w:r>
    </w:p>
    <w:p w14:paraId="2A6361E3">
      <w:pPr>
        <w:pStyle w:val="10"/>
        <w:spacing w:line="360" w:lineRule="auto"/>
        <w:ind w:firstLine="48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2、由甲方根据菜谱需求，提前书面(传真或邮件)告知乙方需求计划，乙方须在当日做出响应，如有某些食品出现市场断档，当日及时告知甲方，以便甲方做出必要调整。</w:t>
      </w:r>
    </w:p>
    <w:p w14:paraId="157946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八、实施方案</w:t>
      </w:r>
    </w:p>
    <w:p w14:paraId="0656A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1、配送方法</w:t>
      </w:r>
    </w:p>
    <w:p w14:paraId="6C2BA04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）配送的食材由甲方的质量监督员验收。</w:t>
      </w:r>
    </w:p>
    <w:p w14:paraId="11DE619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）所有食材乙方必须按照甲方要求的种类、规格进行供货，满足甲方使用需求。所有食材采购均以甲方通知为准，甲方有权根据实际需求量随时调整采购计划及供货时间段。</w:t>
      </w:r>
    </w:p>
    <w:p w14:paraId="1ADAD7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2、车辆配送服务</w:t>
      </w:r>
    </w:p>
    <w:p w14:paraId="111C60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乙方自备送货车（冷藏车）</w:t>
      </w:r>
    </w:p>
    <w:p w14:paraId="363572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·冷藏(0~4</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鲜肉类</w:t>
      </w:r>
      <w:r>
        <w:rPr>
          <w:rFonts w:hint="eastAsia" w:ascii="仿宋" w:hAnsi="仿宋" w:eastAsia="仿宋" w:cs="仿宋"/>
          <w:sz w:val="24"/>
          <w:szCs w:val="24"/>
        </w:rPr>
        <w:t>，冷链车主流设定2~4</w:t>
      </w:r>
      <w:r>
        <w:rPr>
          <w:rFonts w:hint="eastAsia" w:ascii="仿宋" w:hAnsi="仿宋" w:eastAsia="仿宋" w:cs="仿宋"/>
          <w:sz w:val="24"/>
          <w:szCs w:val="24"/>
          <w:lang w:val="en-US" w:eastAsia="zh-CN"/>
        </w:rPr>
        <w:t>℃</w:t>
      </w:r>
      <w:r>
        <w:rPr>
          <w:rFonts w:hint="eastAsia" w:ascii="仿宋" w:hAnsi="仿宋" w:eastAsia="仿宋" w:cs="仿宋"/>
          <w:sz w:val="24"/>
          <w:szCs w:val="24"/>
        </w:rPr>
        <w:t>(最稳妥)</w:t>
      </w:r>
      <w:r>
        <w:rPr>
          <w:rFonts w:hint="eastAsia" w:ascii="仿宋" w:hAnsi="仿宋" w:eastAsia="仿宋" w:cs="仿宋"/>
          <w:sz w:val="24"/>
          <w:szCs w:val="24"/>
          <w:lang w:eastAsia="zh-CN"/>
        </w:rPr>
        <w:t>；</w:t>
      </w:r>
    </w:p>
    <w:p w14:paraId="0F0A1A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·冷冻(-18</w:t>
      </w:r>
      <w:r>
        <w:rPr>
          <w:rFonts w:hint="eastAsia" w:ascii="仿宋" w:hAnsi="仿宋" w:eastAsia="仿宋" w:cs="仿宋"/>
          <w:sz w:val="24"/>
          <w:szCs w:val="24"/>
          <w:lang w:val="en-US" w:eastAsia="zh-CN"/>
        </w:rPr>
        <w:t>℃</w:t>
      </w:r>
      <w:r>
        <w:rPr>
          <w:rFonts w:hint="eastAsia" w:ascii="仿宋" w:hAnsi="仿宋" w:eastAsia="仿宋" w:cs="仿宋"/>
          <w:sz w:val="24"/>
          <w:szCs w:val="24"/>
        </w:rPr>
        <w:t>士2</w:t>
      </w:r>
      <w:r>
        <w:rPr>
          <w:rFonts w:hint="eastAsia" w:ascii="仿宋" w:hAnsi="仿宋" w:eastAsia="仿宋" w:cs="仿宋"/>
          <w:sz w:val="24"/>
          <w:szCs w:val="24"/>
          <w:lang w:val="en-US" w:eastAsia="zh-CN"/>
        </w:rPr>
        <w:t>℃</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rPr>
        <w:t>速冻食品、冷冻肉类;</w:t>
      </w:r>
    </w:p>
    <w:p w14:paraId="0D128C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关键要求:运输中温度波动≤士2</w:t>
      </w:r>
      <w:r>
        <w:rPr>
          <w:rFonts w:hint="eastAsia" w:ascii="仿宋" w:hAnsi="仿宋" w:eastAsia="仿宋" w:cs="仿宋"/>
          <w:sz w:val="24"/>
          <w:szCs w:val="24"/>
          <w:lang w:val="en-US" w:eastAsia="zh-CN"/>
        </w:rPr>
        <w:t>℃。</w:t>
      </w:r>
    </w:p>
    <w:p w14:paraId="66A53E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安排专人及时供货，装卸费、送货费用及运输安全由供货方承担;</w:t>
      </w:r>
    </w:p>
    <w:p w14:paraId="42562A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特殊情况下，甲方需要的小批量的急用物资，供货方应予以满足解决;</w:t>
      </w:r>
    </w:p>
    <w:p w14:paraId="79F5E0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3、配送时间及地点</w:t>
      </w:r>
    </w:p>
    <w:p w14:paraId="04C780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乙方应按甲方所定时间进行配送。</w:t>
      </w:r>
    </w:p>
    <w:p w14:paraId="4FD50D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乙方应按甲方指定地点进行配送。</w:t>
      </w:r>
    </w:p>
    <w:p w14:paraId="060275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九、供应责任</w:t>
      </w:r>
    </w:p>
    <w:p w14:paraId="1DE812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乙方须保证所供原材料均为符合国家卫生、质量检验标准的正规产品，保证配送品种满足甲方要求。</w:t>
      </w:r>
    </w:p>
    <w:p w14:paraId="548F23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原材料没有按时按要求配送到位，影响甲方员工餐厅正常开餐的，以当日需求计划总量两倍价款赔付当日损失，同时甲方将对责任原材料乙方进行处罚。</w:t>
      </w:r>
    </w:p>
    <w:p w14:paraId="1FF603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原材料在验收时有不符合要求的，一律退回，乙方无条件重新更换配送货物，更换后仍然不符合标准的甲方有权对乙方处以一定金额的罚款。</w:t>
      </w:r>
    </w:p>
    <w:p w14:paraId="59CAF4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任何因原材料质量问题导致的食品安全或食物中毒贵任，在确认导致问题的原材料品种后，由该乙方承担全部法律责任与经济损失，除对甲方进行赔付外，甲方有权单方终止合同。</w:t>
      </w:r>
    </w:p>
    <w:p w14:paraId="280562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食材送达并验收合格之前的风险由乙方承担。</w:t>
      </w:r>
    </w:p>
    <w:p w14:paraId="0B3A76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rPr>
        <w:t>食材验收前乙方应如实提供详细的采购、出入库、质检、运输配送记录。</w:t>
      </w:r>
    </w:p>
    <w:p w14:paraId="75D9E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十、验收方式及标准</w:t>
      </w:r>
    </w:p>
    <w:p w14:paraId="5CCAE2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w:t>
      </w:r>
      <w:r>
        <w:rPr>
          <w:rFonts w:hint="eastAsia" w:ascii="仿宋" w:hAnsi="仿宋" w:eastAsia="仿宋" w:cs="仿宋"/>
          <w:sz w:val="24"/>
          <w:szCs w:val="24"/>
          <w:lang w:val="en-US" w:eastAsia="zh-CN"/>
        </w:rPr>
        <w:t>送</w:t>
      </w:r>
      <w:r>
        <w:rPr>
          <w:rFonts w:hint="eastAsia" w:ascii="仿宋" w:hAnsi="仿宋" w:eastAsia="仿宋" w:cs="仿宋"/>
          <w:sz w:val="24"/>
          <w:szCs w:val="24"/>
        </w:rPr>
        <w:t>到达指定地点，将货物清单送至</w:t>
      </w:r>
      <w:r>
        <w:rPr>
          <w:rFonts w:hint="eastAsia" w:ascii="仿宋" w:hAnsi="仿宋" w:eastAsia="仿宋" w:cs="仿宋"/>
          <w:sz w:val="24"/>
          <w:szCs w:val="24"/>
          <w:lang w:val="en-US" w:eastAsia="zh-CN"/>
        </w:rPr>
        <w:t>甲方</w:t>
      </w:r>
      <w:r>
        <w:rPr>
          <w:rFonts w:hint="eastAsia" w:ascii="仿宋" w:hAnsi="仿宋" w:eastAsia="仿宋" w:cs="仿宋"/>
          <w:sz w:val="24"/>
          <w:szCs w:val="24"/>
        </w:rPr>
        <w:t>，乙方应配备专业的检验人员配合协助，</w:t>
      </w:r>
      <w:r>
        <w:rPr>
          <w:rFonts w:hint="eastAsia" w:ascii="仿宋" w:hAnsi="仿宋" w:eastAsia="仿宋" w:cs="仿宋"/>
          <w:sz w:val="24"/>
          <w:szCs w:val="24"/>
          <w:lang w:val="en-US" w:eastAsia="zh-CN"/>
        </w:rPr>
        <w:t>甲方</w:t>
      </w:r>
      <w:r>
        <w:rPr>
          <w:rFonts w:hint="eastAsia" w:ascii="仿宋" w:hAnsi="仿宋" w:eastAsia="仿宋" w:cs="仿宋"/>
          <w:sz w:val="24"/>
          <w:szCs w:val="24"/>
        </w:rPr>
        <w:t>根据验收标准检验产品，清点货物，填写验收单，对于验收不合格的产品，乙方应及时处理，并调动公司应急小组及时进行统计补货，为此造成的损失及费用由乙方负责。</w:t>
      </w:r>
    </w:p>
    <w:p w14:paraId="2EFB3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2、原材料验收由</w:t>
      </w:r>
      <w:r>
        <w:rPr>
          <w:rFonts w:hint="eastAsia" w:ascii="仿宋" w:hAnsi="仿宋" w:eastAsia="仿宋" w:cs="仿宋"/>
          <w:sz w:val="24"/>
          <w:szCs w:val="24"/>
          <w:lang w:val="en-US" w:eastAsia="zh-CN"/>
        </w:rPr>
        <w:t>甲方</w:t>
      </w:r>
      <w:r>
        <w:rPr>
          <w:rFonts w:hint="eastAsia" w:ascii="仿宋" w:hAnsi="仿宋" w:eastAsia="仿宋" w:cs="仿宋"/>
          <w:sz w:val="24"/>
          <w:szCs w:val="24"/>
        </w:rPr>
        <w:t>业务管理方、乙方、餐厅使用方，三方现场检验，对供应产品的质量无异议数量准确无误后，三方签字，各自留存。</w:t>
      </w:r>
    </w:p>
    <w:p w14:paraId="788D7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肉类必须保证提供为当日生产产品，肉身必须盖有卫生检疫章，同时出具加盖政府机构动物卫生监督所鲜章的动物检疫合格证明，畜肉品须色泽鲜亮、无任何异味、无毛、按压无注水，纹理清晰，肉质细腻，品质好;</w:t>
      </w:r>
    </w:p>
    <w:p w14:paraId="377C0E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禽类制品须肉面干净、无任何异味、无注水、无羽毛、表皮无疤痕，大小匀称、肉质紧至，码放整齐;</w:t>
      </w:r>
    </w:p>
    <w:p w14:paraId="6D93D1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水产品类须保证鲜活、大小基本统一，水产类净菜须保证处理干净，与质量部分一致。</w:t>
      </w:r>
    </w:p>
    <w:p w14:paraId="5E4C7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冻品外包装需完整，无破损，无不封口现象，有生产日期。干货类须保证配送种类、品牌、规格，质量完全符合采购方要求，生产日期须在保质期二分之一天之内，包装完整、无任何破损、无挤压、无破碎、无异味无任何表面附着物或衍生物。冻品送货核心:温度-18°C士2°C、全程波动≤士2°C;含水率按品类/标准严控，并管控解冻失重。</w:t>
      </w:r>
    </w:p>
    <w:p w14:paraId="2CC9B6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1.核心送货温度</w:t>
      </w:r>
    </w:p>
    <w:p w14:paraId="403D66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·通用冻品:车厢温度**-18</w:t>
      </w:r>
      <w:r>
        <w:rPr>
          <w:rFonts w:hint="eastAsia" w:ascii="仿宋" w:hAnsi="仿宋" w:eastAsia="仿宋" w:cs="仿宋"/>
          <w:sz w:val="24"/>
          <w:szCs w:val="24"/>
          <w:lang w:val="en-US" w:eastAsia="zh-CN"/>
        </w:rPr>
        <w:t>℃</w:t>
      </w:r>
      <w:r>
        <w:rPr>
          <w:rFonts w:hint="eastAsia" w:ascii="仿宋" w:hAnsi="仿宋" w:eastAsia="仿宋" w:cs="仿宋"/>
          <w:sz w:val="24"/>
          <w:szCs w:val="24"/>
        </w:rPr>
        <w:t>士2</w:t>
      </w:r>
      <w:r>
        <w:rPr>
          <w:rFonts w:hint="eastAsia" w:ascii="仿宋" w:hAnsi="仿宋" w:eastAsia="仿宋" w:cs="仿宋"/>
          <w:sz w:val="24"/>
          <w:szCs w:val="24"/>
          <w:lang w:val="en-US" w:eastAsia="zh-CN"/>
        </w:rPr>
        <w:t>℃</w:t>
      </w:r>
      <w:r>
        <w:rPr>
          <w:rFonts w:hint="eastAsia" w:ascii="仿宋" w:hAnsi="仿宋" w:eastAsia="仿宋" w:cs="仿宋"/>
          <w:sz w:val="24"/>
          <w:szCs w:val="24"/>
        </w:rPr>
        <w:t>**，中心温度≤-18</w:t>
      </w:r>
      <w:r>
        <w:rPr>
          <w:rFonts w:hint="eastAsia" w:ascii="仿宋" w:hAnsi="仿宋" w:eastAsia="仿宋" w:cs="仿宋"/>
          <w:sz w:val="24"/>
          <w:szCs w:val="24"/>
          <w:lang w:val="en-US" w:eastAsia="zh-CN"/>
        </w:rPr>
        <w:t>℃；</w:t>
      </w:r>
      <w:r>
        <w:rPr>
          <w:rFonts w:hint="eastAsia" w:ascii="仿宋" w:hAnsi="仿宋" w:eastAsia="仿宋" w:cs="仿宋"/>
          <w:sz w:val="24"/>
          <w:szCs w:val="24"/>
        </w:rPr>
        <w:t>波动≤士2</w:t>
      </w:r>
      <w:r>
        <w:rPr>
          <w:rFonts w:hint="eastAsia" w:ascii="仿宋" w:hAnsi="仿宋" w:eastAsia="仿宋" w:cs="仿宋"/>
          <w:sz w:val="24"/>
          <w:szCs w:val="24"/>
          <w:lang w:val="en-US" w:eastAsia="zh-CN"/>
        </w:rPr>
        <w:t>℃</w:t>
      </w:r>
      <w:r>
        <w:rPr>
          <w:rFonts w:hint="eastAsia" w:ascii="仿宋" w:hAnsi="仿宋" w:eastAsia="仿宋" w:cs="仿宋"/>
          <w:sz w:val="24"/>
          <w:szCs w:val="24"/>
        </w:rPr>
        <w:t>，防化冻复冻。</w:t>
      </w:r>
    </w:p>
    <w:p w14:paraId="19556E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·特殊品类:金枪鱼等≤-45</w:t>
      </w:r>
      <w:r>
        <w:rPr>
          <w:rFonts w:hint="eastAsia" w:ascii="仿宋" w:hAnsi="仿宋" w:eastAsia="仿宋" w:cs="仿宋"/>
          <w:sz w:val="24"/>
          <w:szCs w:val="24"/>
          <w:lang w:val="en-US" w:eastAsia="zh-CN"/>
        </w:rPr>
        <w:t>℃；</w:t>
      </w:r>
      <w:r>
        <w:rPr>
          <w:rFonts w:hint="eastAsia" w:ascii="仿宋" w:hAnsi="仿宋" w:eastAsia="仿宋" w:cs="仿宋"/>
          <w:sz w:val="24"/>
          <w:szCs w:val="24"/>
        </w:rPr>
        <w:t>速冻水产**-30~-18</w:t>
      </w:r>
      <w:r>
        <w:rPr>
          <w:rFonts w:hint="eastAsia" w:ascii="仿宋" w:hAnsi="仿宋" w:eastAsia="仿宋" w:cs="仿宋"/>
          <w:sz w:val="24"/>
          <w:szCs w:val="24"/>
          <w:lang w:val="en-US" w:eastAsia="zh-CN"/>
        </w:rPr>
        <w:t>℃</w:t>
      </w:r>
      <w:r>
        <w:rPr>
          <w:rFonts w:hint="eastAsia" w:ascii="仿宋" w:hAnsi="仿宋" w:eastAsia="仿宋" w:cs="仿宋"/>
          <w:sz w:val="24"/>
          <w:szCs w:val="24"/>
        </w:rPr>
        <w:t>**。</w:t>
      </w:r>
    </w:p>
    <w:p w14:paraId="7521DC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·操作要点:装货前预冷至-20</w:t>
      </w:r>
      <w:r>
        <w:rPr>
          <w:rFonts w:hint="eastAsia" w:ascii="仿宋" w:hAnsi="仿宋" w:eastAsia="仿宋" w:cs="仿宋"/>
          <w:sz w:val="24"/>
          <w:szCs w:val="24"/>
          <w:lang w:val="en-US" w:eastAsia="zh-CN"/>
        </w:rPr>
        <w:t>℃</w:t>
      </w:r>
      <w:r>
        <w:rPr>
          <w:rFonts w:hint="eastAsia" w:ascii="仿宋" w:hAnsi="仿宋" w:eastAsia="仿宋" w:cs="仿宋"/>
          <w:sz w:val="24"/>
          <w:szCs w:val="24"/>
        </w:rPr>
        <w:t>以下;装卸脱离冷链≤30分钟(常温≥20</w:t>
      </w:r>
      <w:r>
        <w:rPr>
          <w:rFonts w:hint="eastAsia" w:ascii="仿宋" w:hAnsi="仿宋" w:eastAsia="仿宋" w:cs="仿宋"/>
          <w:sz w:val="24"/>
          <w:szCs w:val="24"/>
          <w:lang w:val="en-US" w:eastAsia="zh-CN"/>
        </w:rPr>
        <w:t>℃</w:t>
      </w:r>
      <w:r>
        <w:rPr>
          <w:rFonts w:hint="eastAsia" w:ascii="仿宋" w:hAnsi="仿宋" w:eastAsia="仿宋" w:cs="仿宋"/>
          <w:sz w:val="24"/>
          <w:szCs w:val="24"/>
        </w:rPr>
        <w:t>时≤20分钟)。</w:t>
      </w:r>
    </w:p>
    <w:p w14:paraId="2BB6EC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含水率与解冻失重</w:t>
      </w:r>
    </w:p>
    <w:p w14:paraId="7F615B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·畜禽肉(GB18394-2020)</w:t>
      </w:r>
      <w:r>
        <w:rPr>
          <w:rFonts w:hint="eastAsia" w:ascii="仿宋" w:hAnsi="仿宋" w:eastAsia="仿宋" w:cs="仿宋"/>
          <w:sz w:val="24"/>
          <w:szCs w:val="24"/>
          <w:lang w:eastAsia="zh-CN"/>
        </w:rPr>
        <w:t>：</w:t>
      </w:r>
      <w:r>
        <w:rPr>
          <w:rFonts w:hint="eastAsia" w:ascii="仿宋" w:hAnsi="仿宋" w:eastAsia="仿宋" w:cs="仿宋"/>
          <w:sz w:val="24"/>
          <w:szCs w:val="24"/>
        </w:rPr>
        <w:t>猪肉≤76%</w:t>
      </w:r>
      <w:r>
        <w:rPr>
          <w:rFonts w:hint="eastAsia" w:ascii="仿宋" w:hAnsi="仿宋" w:eastAsia="仿宋" w:cs="仿宋"/>
          <w:sz w:val="24"/>
          <w:szCs w:val="24"/>
          <w:lang w:eastAsia="zh-CN"/>
        </w:rPr>
        <w:t>；</w:t>
      </w:r>
      <w:r>
        <w:rPr>
          <w:rFonts w:hint="eastAsia" w:ascii="仿宋" w:hAnsi="仿宋" w:eastAsia="仿宋" w:cs="仿宋"/>
          <w:sz w:val="24"/>
          <w:szCs w:val="24"/>
        </w:rPr>
        <w:t>牛肉/羊肉/鸡肉≤76.5%;鸭肉≤80.0%</w:t>
      </w:r>
      <w:r>
        <w:rPr>
          <w:rFonts w:hint="eastAsia" w:ascii="仿宋" w:hAnsi="仿宋" w:eastAsia="仿宋" w:cs="仿宋"/>
          <w:sz w:val="24"/>
          <w:szCs w:val="24"/>
          <w:lang w:eastAsia="zh-CN"/>
        </w:rPr>
        <w:t>。</w:t>
      </w:r>
    </w:p>
    <w:p w14:paraId="25ACF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·解冻失重(行业常见)</w:t>
      </w:r>
      <w:r>
        <w:rPr>
          <w:rFonts w:hint="eastAsia" w:ascii="仿宋" w:hAnsi="仿宋" w:eastAsia="仿宋" w:cs="仿宋"/>
          <w:sz w:val="24"/>
          <w:szCs w:val="24"/>
          <w:lang w:eastAsia="zh-CN"/>
        </w:rPr>
        <w:t>：</w:t>
      </w:r>
      <w:r>
        <w:rPr>
          <w:rFonts w:hint="eastAsia" w:ascii="仿宋" w:hAnsi="仿宋" w:eastAsia="仿宋" w:cs="仿宋"/>
          <w:sz w:val="24"/>
          <w:szCs w:val="24"/>
        </w:rPr>
        <w:t>冻肉解冻后净重≥95%</w:t>
      </w:r>
      <w:r>
        <w:rPr>
          <w:rFonts w:hint="eastAsia" w:ascii="仿宋" w:hAnsi="仿宋" w:eastAsia="仿宋" w:cs="仿宋"/>
          <w:sz w:val="24"/>
          <w:szCs w:val="24"/>
          <w:lang w:eastAsia="zh-CN"/>
        </w:rPr>
        <w:t>；</w:t>
      </w:r>
      <w:r>
        <w:rPr>
          <w:rFonts w:hint="eastAsia" w:ascii="仿宋" w:hAnsi="仿宋" w:eastAsia="仿宋" w:cs="仿宋"/>
          <w:sz w:val="24"/>
          <w:szCs w:val="24"/>
        </w:rPr>
        <w:t>冻禽≥92%</w:t>
      </w:r>
      <w:r>
        <w:rPr>
          <w:rFonts w:hint="eastAsia" w:ascii="仿宋" w:hAnsi="仿宋" w:eastAsia="仿宋" w:cs="仿宋"/>
          <w:sz w:val="24"/>
          <w:szCs w:val="24"/>
          <w:lang w:eastAsia="zh-CN"/>
        </w:rPr>
        <w:t>；</w:t>
      </w:r>
      <w:r>
        <w:rPr>
          <w:rFonts w:hint="eastAsia" w:ascii="仿宋" w:hAnsi="仿宋" w:eastAsia="仿宋" w:cs="仿宋"/>
          <w:sz w:val="24"/>
          <w:szCs w:val="24"/>
        </w:rPr>
        <w:t>冻水产≥85%(室温20°C，解冻≤4小时)。</w:t>
      </w:r>
    </w:p>
    <w:p w14:paraId="2D2CB248">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1.温度**-18</w:t>
      </w:r>
      <w:r>
        <w:rPr>
          <w:rFonts w:hint="eastAsia" w:ascii="仿宋" w:hAnsi="仿宋" w:eastAsia="仿宋" w:cs="仿宋"/>
          <w:sz w:val="24"/>
          <w:szCs w:val="24"/>
          <w:lang w:val="en-US" w:eastAsia="zh-CN"/>
        </w:rPr>
        <w:t>℃</w:t>
      </w:r>
      <w:r>
        <w:rPr>
          <w:rFonts w:hint="eastAsia" w:ascii="仿宋" w:hAnsi="仿宋" w:eastAsia="仿宋" w:cs="仿宋"/>
          <w:sz w:val="24"/>
          <w:szCs w:val="24"/>
        </w:rPr>
        <w:t>士2</w:t>
      </w:r>
      <w:r>
        <w:rPr>
          <w:rFonts w:hint="eastAsia" w:ascii="仿宋" w:hAnsi="仿宋" w:eastAsia="仿宋" w:cs="仿宋"/>
          <w:sz w:val="24"/>
          <w:szCs w:val="24"/>
          <w:lang w:val="en-US" w:eastAsia="zh-CN"/>
        </w:rPr>
        <w:t>℃</w:t>
      </w:r>
      <w:r>
        <w:rPr>
          <w:rFonts w:hint="eastAsia" w:ascii="仿宋" w:hAnsi="仿宋" w:eastAsia="仿宋" w:cs="仿宋"/>
          <w:sz w:val="24"/>
          <w:szCs w:val="24"/>
        </w:rPr>
        <w:t>**，中心温度≤-18</w:t>
      </w:r>
      <w:r>
        <w:rPr>
          <w:rFonts w:hint="eastAsia" w:ascii="仿宋" w:hAnsi="仿宋" w:eastAsia="仿宋" w:cs="仿宋"/>
          <w:sz w:val="24"/>
          <w:szCs w:val="24"/>
          <w:lang w:val="en-US" w:eastAsia="zh-CN"/>
        </w:rPr>
        <w:t>℃</w:t>
      </w:r>
      <w:r>
        <w:rPr>
          <w:rFonts w:hint="eastAsia" w:ascii="仿宋" w:hAnsi="仿宋" w:eastAsia="仿宋" w:cs="仿宋"/>
          <w:sz w:val="24"/>
          <w:szCs w:val="24"/>
        </w:rPr>
        <w:t>，全程温控可追溯。</w:t>
      </w:r>
    </w:p>
    <w:p w14:paraId="3E90E38A">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2.含水率按GB 18394执行，解冻失重不超标。</w:t>
      </w:r>
    </w:p>
    <w:p w14:paraId="41C69B17">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3.装卸快、防化冻，禁止解冻后复冻。</w:t>
      </w:r>
    </w:p>
    <w:p w14:paraId="77C615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水果类保证新鲜，无农药并提供检测记录，无异味，无挤压、虫眼、过熟或欠熟，大小重量均称等，表面无疤痕，果体光洁饱满。</w:t>
      </w:r>
    </w:p>
    <w:p w14:paraId="799498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)验收时配备温度计、卡尺、电子秤等专业用具。</w:t>
      </w:r>
    </w:p>
    <w:p w14:paraId="1791FD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十一、权利义务</w:t>
      </w:r>
    </w:p>
    <w:p w14:paraId="516F1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（一）甲方的权利义务</w:t>
      </w:r>
    </w:p>
    <w:p w14:paraId="29B5D7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476172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2、甲方有权依据双方签订的考评办法对乙方提供的服务进行定期考评。</w:t>
      </w:r>
    </w:p>
    <w:p w14:paraId="04338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3、负责检查监督乙方管理工作的实施及制度的执行情况。</w:t>
      </w:r>
    </w:p>
    <w:p w14:paraId="432622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4、根据本合同规定，按时向乙方支付应付服务费用。</w:t>
      </w:r>
    </w:p>
    <w:p w14:paraId="74FE4D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5、国家法律、法规所规定由甲方承担的其它责任。</w:t>
      </w:r>
    </w:p>
    <w:p w14:paraId="3C813E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6、乙方每月组织验收人员进行培训，考核合格方可上岗，对连续出现验收失误的人员进行再培训。</w:t>
      </w:r>
    </w:p>
    <w:p w14:paraId="0FD6A0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（二）乙方的权利义务：</w:t>
      </w:r>
    </w:p>
    <w:p w14:paraId="05F956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1、对本合同规定的委托服务范围内的项目享有管理权及服务义务。</w:t>
      </w:r>
    </w:p>
    <w:p w14:paraId="4CCA43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2、根据本合同的规定向甲方收取相关服务费用，并有权在本项目管理范围内管理及合理使用。</w:t>
      </w:r>
    </w:p>
    <w:p w14:paraId="38C4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3、及时向甲方通告本项目服务范围内有关服务的重大事项，及时配合处理投诉。</w:t>
      </w:r>
    </w:p>
    <w:p w14:paraId="519AF9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4、接受项目行业管理部门及政府有关部门的指导，接受甲方的监督。</w:t>
      </w:r>
    </w:p>
    <w:p w14:paraId="5C796B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5、国家法律、法规所规定由乙方承担的其它责任。</w:t>
      </w:r>
    </w:p>
    <w:p w14:paraId="516E75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6、乙方需派一名项目负责人</w:t>
      </w:r>
    </w:p>
    <w:p w14:paraId="648A36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姓名:                        </w:t>
      </w:r>
    </w:p>
    <w:p w14:paraId="67F7FF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身份证号:                    </w:t>
      </w:r>
    </w:p>
    <w:p w14:paraId="10E671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联系电话                     </w:t>
      </w:r>
    </w:p>
    <w:p w14:paraId="760E6D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直接与甲方沟通，负责每批次供货现场的监督和协调工作，项目负责人接收甲方提出的问题与要求，并及时向公司申请调动资源，解决甲方在项目实施过程中遇到的问题。</w:t>
      </w:r>
    </w:p>
    <w:p w14:paraId="110FC6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7、项目在实施过程中会出现不可预料的需求变更，乙方需积极配合甲方的需求变更。</w:t>
      </w:r>
    </w:p>
    <w:p w14:paraId="64BA2B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8、根据采购方需求，保证供货及时。</w:t>
      </w:r>
    </w:p>
    <w:p w14:paraId="0C0624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9、所有包装产品日期保证新鲜。</w:t>
      </w:r>
    </w:p>
    <w:p w14:paraId="4AEF5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10、保证所配送的各类食材符合国家食品安全标准要求。</w:t>
      </w:r>
    </w:p>
    <w:p w14:paraId="36BCDA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11、供应责任：</w:t>
      </w:r>
    </w:p>
    <w:p w14:paraId="2C3CD1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原材料供应商须保证所供原材料均为符合国家卫生、质量检验标准的正规产品，保证配送品种完全满足采购人要求。</w:t>
      </w:r>
    </w:p>
    <w:p w14:paraId="12A082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（1）原材料没有按时按要求配送到位，影响采购人员工餐厅正常开餐的，以当日需求计划总量两倍价款赔付当日损失，同时采购人将对责任原材料供应商进行处罚。</w:t>
      </w:r>
    </w:p>
    <w:p w14:paraId="5ECD6D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（2）原材料在验收时有不符合要求的，一律退回，供应商无条件重新更换配送货物，更换后仍然不符合标准的采购人有权对供应商处以一定金额的罚款。</w:t>
      </w:r>
    </w:p>
    <w:p w14:paraId="405DF8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任何因原材料质量问题导致的食品安全或食物中毒责任，在确认导致问题的原材料品种后，由该供应商承担全部法律责任与经济损失并支付合同价款20%违约金，除对采购人进行赔付外，采购人有权单方终止合同。</w:t>
      </w:r>
    </w:p>
    <w:p w14:paraId="6EC513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（4）根据采购人要求进行必要的货源组织，提供种类明细与价格。</w:t>
      </w:r>
    </w:p>
    <w:p w14:paraId="42CF9B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（5）为与采购人合作成立独立小组或团队、项目负责人介绍与组织架构设计。</w:t>
      </w:r>
    </w:p>
    <w:p w14:paraId="7B7C02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（6）货源组织、配货、配送、验货、会计等专业对口人员的安排与职责划分。</w:t>
      </w:r>
    </w:p>
    <w:p w14:paraId="2717E9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（7）确保原材料新鲜、安全、及时的各类措施或组织管理办法。</w:t>
      </w:r>
    </w:p>
    <w:p w14:paraId="750B45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（8）原材料供应商对于自身原材料生产、外部原材料的采购、销售，其合格标准与检验标准。</w:t>
      </w:r>
    </w:p>
    <w:p w14:paraId="71F48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(9)原材料供应商对于可能的违约责任或食品安全责任的责任承担说明。</w:t>
      </w:r>
    </w:p>
    <w:p w14:paraId="209EFB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十二、留样</w:t>
      </w:r>
    </w:p>
    <w:p w14:paraId="0BAD5C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原材料供应商须保证所供原材料均为符合国家卫生、质量检验标准的正规产品，保证配送品种完全满足采购人要求，所有原材料每日均留存样品一份，保存时间为36小时，确认期间无任何食品安全问题后丢弃。</w:t>
      </w:r>
    </w:p>
    <w:p w14:paraId="2BA818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十三、违约责任</w:t>
      </w:r>
    </w:p>
    <w:p w14:paraId="3E81F9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1、按《民法典》中的相关条款执行。</w:t>
      </w:r>
    </w:p>
    <w:p w14:paraId="358FB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2、未按合同要求提供服务或服务质量不能满足合同要求，甲方有权依据《民法典》有关条款及合同约定终止合同，并要求乙方承担违约贵任。</w:t>
      </w:r>
    </w:p>
    <w:p w14:paraId="49B724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3、乙方未按合同约定的交货日期交货的，每逾期一个自然日，向甲方支付逾期交付货物价款的3%的违约金，但不超过合同总金额10%。乙方支付逾期交货违约金并不免除其交货的责任。</w:t>
      </w:r>
    </w:p>
    <w:p w14:paraId="2C409D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如乙方在合同规定的交货日期后4个自然日后仍未能交货，则视为乙方不能交货，甲方有权解除合同，乙方除退还已收取的货款外，还应向采购人偿付合同总金额30%的违约金，并承担由此给甲方造成的一切损失。</w:t>
      </w:r>
    </w:p>
    <w:p w14:paraId="6D3B5B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E32F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6、乙方所交付货物及伴随的服务不符合其投标承诺，存在偷工减料、以次充好情形的，甲方要求更换一次后仍不符合约定的，甲方有权解除合同，并将有关情况上报政府监管部门处理。</w:t>
      </w:r>
    </w:p>
    <w:p w14:paraId="4DD79C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十四、其他要求</w:t>
      </w:r>
    </w:p>
    <w:p w14:paraId="2E3736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1、乙方应严格遵守《中华人民共和国食品卫生法》、《动物检疫法》、《食品安全国家标准食品添加剂使用标准》(GB 2760-2014)等相关规定，一经发现供应以下食品，除全部退货外，将取消乙方的供货资格，并由乙方承担由此造成的经济责任和法律责任</w:t>
      </w:r>
      <w:r>
        <w:rPr>
          <w:rFonts w:hint="eastAsia" w:ascii="仿宋" w:hAnsi="仿宋" w:eastAsia="仿宋" w:cs="仿宋"/>
          <w:sz w:val="24"/>
          <w:szCs w:val="24"/>
          <w:lang w:eastAsia="zh-CN"/>
        </w:rPr>
        <w:t>；</w:t>
      </w:r>
    </w:p>
    <w:p w14:paraId="34769D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腐败变质，油脂酸败，霉变，生虫，污秽不洁，混有异物或者其他感官性状异常含有毒，有害物质污染，可能对人体健康有害的食品</w:t>
      </w:r>
      <w:r>
        <w:rPr>
          <w:rFonts w:hint="eastAsia" w:ascii="仿宋" w:hAnsi="仿宋" w:eastAsia="仿宋" w:cs="仿宋"/>
          <w:sz w:val="24"/>
          <w:szCs w:val="24"/>
          <w:lang w:eastAsia="zh-CN"/>
        </w:rPr>
        <w:t>；</w:t>
      </w:r>
    </w:p>
    <w:p w14:paraId="45C2C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含有毒、有害物质或者被有害物质污染，对人体健康有害的</w:t>
      </w:r>
      <w:r>
        <w:rPr>
          <w:rFonts w:hint="eastAsia" w:ascii="仿宋" w:hAnsi="仿宋" w:eastAsia="仿宋" w:cs="仿宋"/>
          <w:sz w:val="24"/>
          <w:szCs w:val="24"/>
          <w:lang w:eastAsia="zh-CN"/>
        </w:rPr>
        <w:t>；</w:t>
      </w:r>
    </w:p>
    <w:p w14:paraId="013332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sz w:val="24"/>
          <w:szCs w:val="24"/>
        </w:rPr>
        <w:t>含有致病性寄生虫、微生物或者微生物含量超过国家限定标准的</w:t>
      </w:r>
      <w:r>
        <w:rPr>
          <w:rFonts w:hint="eastAsia" w:ascii="仿宋" w:hAnsi="仿宋" w:eastAsia="仿宋" w:cs="仿宋"/>
          <w:sz w:val="24"/>
          <w:szCs w:val="24"/>
          <w:lang w:eastAsia="zh-CN"/>
        </w:rPr>
        <w:t>；</w:t>
      </w:r>
    </w:p>
    <w:p w14:paraId="49216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未经动物检疫部门检疫、检验或者检疫、检验不合格的肉类及其制品</w:t>
      </w:r>
      <w:r>
        <w:rPr>
          <w:rFonts w:hint="eastAsia" w:ascii="仿宋" w:hAnsi="仿宋" w:eastAsia="仿宋" w:cs="仿宋"/>
          <w:sz w:val="24"/>
          <w:szCs w:val="24"/>
          <w:lang w:eastAsia="zh-CN"/>
        </w:rPr>
        <w:t>；</w:t>
      </w:r>
    </w:p>
    <w:p w14:paraId="3EB6F6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（5）假、掺、以次充好，影响养、卫生的；</w:t>
      </w:r>
    </w:p>
    <w:p w14:paraId="0FB868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（6）用非食品原料加工的，加入非食品用化学物质；</w:t>
      </w:r>
    </w:p>
    <w:p w14:paraId="15032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（7）无品名、产地、厂名，生产日期，保质期及中文标识及原料说明的定型包装食品；</w:t>
      </w:r>
    </w:p>
    <w:p w14:paraId="79768C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（8）超过保质期限或不符合食品标签规定的定型包装食品；</w:t>
      </w:r>
    </w:p>
    <w:p w14:paraId="4C2E70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（9）病死或者死因不明的水产品，畜，禽及其制品，劣质食用油，不合格调味品，工业用盐，非食品原料和滥用食品添加剂，农药残留超标的蔬菜等；</w:t>
      </w:r>
    </w:p>
    <w:p w14:paraId="4815D3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（10）其他不符合食品卫生标准和要求的食品。</w:t>
      </w:r>
    </w:p>
    <w:p w14:paraId="525D77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十五、不可抗力</w:t>
      </w:r>
    </w:p>
    <w:p w14:paraId="37B77F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14:paraId="133D0C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2、不可抗力事件发生后，应立即通知对方，并寄送有关权威机构出具的证</w:t>
      </w:r>
      <w:r>
        <w:rPr>
          <w:rFonts w:hint="eastAsia" w:ascii="仿宋" w:hAnsi="仿宋" w:eastAsia="仿宋" w:cs="仿宋"/>
          <w:sz w:val="24"/>
          <w:szCs w:val="24"/>
          <w:lang w:val="en-US" w:eastAsia="zh-CN"/>
        </w:rPr>
        <w:t>明。</w:t>
      </w:r>
    </w:p>
    <w:p w14:paraId="0EB786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3、不可抗力事件延续10天以上，双方应通过友好协商，确定是否继续履行合同。</w:t>
      </w:r>
    </w:p>
    <w:p w14:paraId="31A789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十六、合同的变更和终止</w:t>
      </w:r>
    </w:p>
    <w:p w14:paraId="47ADAA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除《中华人民共和国政府采购法》第49条、第50条第二款规定的情形及本合同约定的情形外，本合同一经签订，甲乙双方不得擅自变更、中止或终止合同。</w:t>
      </w:r>
    </w:p>
    <w:p w14:paraId="795958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十七、解决争议的方法</w:t>
      </w:r>
    </w:p>
    <w:p w14:paraId="0A1C62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凡因本合同引起的或与本合同有关的争议，双方应友好协商解决。协商不成时，双方均同意采用以下第</w:t>
      </w:r>
      <w:r>
        <w:rPr>
          <w:rFonts w:hint="eastAsia" w:ascii="仿宋" w:hAnsi="仿宋" w:eastAsia="仿宋" w:cs="仿宋"/>
          <w:sz w:val="24"/>
          <w:szCs w:val="24"/>
          <w:u w:val="single"/>
        </w:rPr>
        <w:t>(1)</w:t>
      </w:r>
      <w:r>
        <w:rPr>
          <w:rFonts w:hint="eastAsia" w:ascii="仿宋" w:hAnsi="仿宋" w:eastAsia="仿宋" w:cs="仿宋"/>
          <w:sz w:val="24"/>
          <w:szCs w:val="24"/>
        </w:rPr>
        <w:t>种争议解决方式:</w:t>
      </w:r>
    </w:p>
    <w:p w14:paraId="6B6DEE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1、甲、乙双方均同意向项目所在地人民法院提起诉讼。</w:t>
      </w:r>
    </w:p>
    <w:p w14:paraId="35D720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2、甲、乙双方均同意向项目所在地(仲裁委员会)提起仲裁。</w:t>
      </w:r>
    </w:p>
    <w:p w14:paraId="3AE05B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十八</w:t>
      </w:r>
      <w:r>
        <w:rPr>
          <w:rFonts w:hint="eastAsia" w:ascii="仿宋" w:hAnsi="仿宋" w:eastAsia="仿宋" w:cs="仿宋"/>
          <w:b/>
          <w:bCs/>
          <w:sz w:val="24"/>
          <w:szCs w:val="24"/>
        </w:rPr>
        <w:t>、合同生效</w:t>
      </w:r>
    </w:p>
    <w:p w14:paraId="0B4222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1、合同经双方法定代表人或授权委托代理人签宇并加盖单位公章后生效。</w:t>
      </w:r>
    </w:p>
    <w:p w14:paraId="25601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2、合同执行中涉及采购资金和采购内容修改或补充的，须经政府采购监管部门审批，并签书面补充协议报政府采购监督管理部门备案，方可作为主合同不可分割的一部分。</w:t>
      </w:r>
    </w:p>
    <w:p w14:paraId="3BF1A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份，自双方签章之日起起效。甲方</w:t>
      </w:r>
      <w:r>
        <w:rPr>
          <w:rFonts w:hint="eastAsia" w:ascii="仿宋" w:hAnsi="仿宋" w:eastAsia="仿宋" w:cs="仿宋"/>
          <w:sz w:val="24"/>
          <w:szCs w:val="24"/>
          <w:u w:val="single"/>
          <w:lang w:val="en-US" w:eastAsia="zh-CN"/>
        </w:rPr>
        <w:t xml:space="preserve"> 贰 </w:t>
      </w:r>
      <w:r>
        <w:rPr>
          <w:rFonts w:hint="eastAsia" w:ascii="仿宋" w:hAnsi="仿宋" w:eastAsia="仿宋" w:cs="仿宋"/>
          <w:sz w:val="24"/>
          <w:szCs w:val="24"/>
        </w:rPr>
        <w:t>份，乙方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份，具有同等法律效力。</w:t>
      </w:r>
    </w:p>
    <w:p w14:paraId="1F3082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5CFA35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甲方（盖章）：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w:t>
      </w:r>
    </w:p>
    <w:p w14:paraId="15800D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法定代表人（授权代表）：</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法定代表人（授权代表）：</w:t>
      </w:r>
    </w:p>
    <w:p w14:paraId="0A133A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地    址：</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    址：</w:t>
      </w:r>
    </w:p>
    <w:p w14:paraId="4B519F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rPr>
        <w:t>开户银行：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p>
    <w:p w14:paraId="775659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账    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账    号：</w:t>
      </w:r>
    </w:p>
    <w:p w14:paraId="01410F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p>
    <w:p w14:paraId="7D764D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签约日期：    年   月   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签约日期：    年   月   日</w:t>
      </w:r>
    </w:p>
    <w:p w14:paraId="09E305CD">
      <w:pPr>
        <w:pStyle w:val="10"/>
        <w:rPr>
          <w:rFonts w:hint="eastAsia"/>
          <w:lang w:val="en-US" w:eastAsia="zh-Hans"/>
        </w:rPr>
      </w:pPr>
    </w:p>
    <w:p w14:paraId="4D2E9834">
      <w:pPr>
        <w:tabs>
          <w:tab w:val="left" w:pos="8391"/>
        </w:tabs>
        <w:autoSpaceDE w:val="0"/>
        <w:autoSpaceDN w:val="0"/>
        <w:snapToGrid w:val="0"/>
        <w:spacing w:line="360" w:lineRule="auto"/>
        <w:ind w:right="-69" w:firstLine="400" w:firstLineChars="200"/>
        <w:textAlignment w:val="bottom"/>
        <w:rPr>
          <w:rFonts w:hint="eastAsia" w:asciiTheme="minorEastAsia" w:hAnsiTheme="minorEastAsia" w:cstheme="minorEastAsia"/>
          <w:sz w:val="20"/>
          <w:szCs w:val="20"/>
          <w:lang w:val="en-US" w:eastAsia="zh-Hans"/>
        </w:rPr>
      </w:pPr>
    </w:p>
    <w:p w14:paraId="0983D17B"/>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95F3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76A33">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D76A3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A8C1D51"/>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left"/>
    </w:pPr>
    <w:rPr>
      <w:rFonts w:ascii="Copperplate Gothic Bold" w:hAnsi="Copperplate Gothic Bold"/>
      <w:sz w:val="28"/>
    </w:rPr>
  </w:style>
  <w:style w:type="paragraph" w:styleId="3">
    <w:name w:val="Body Text First Indent"/>
    <w:basedOn w:val="1"/>
    <w:next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2026-04-28T10:45:14Z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