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31E07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en-US" w:eastAsia="zh-CN"/>
        </w:rPr>
        <w:t>方案</w:t>
      </w:r>
    </w:p>
    <w:p w14:paraId="57B7AE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供应商根据第五章的“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评标细则及标准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”结合第三章的招标项目技术、服务、商务及其他要求，供应商自行编写，格式自拟。</w:t>
      </w:r>
    </w:p>
    <w:p w14:paraId="050070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81F7CE1"/>
    <w:rsid w:val="33BC7D4B"/>
    <w:rsid w:val="3E754C90"/>
    <w:rsid w:val="3F81343C"/>
    <w:rsid w:val="7B5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2"/>
    </w:pPr>
    <w:rPr>
      <w:rFonts w:ascii="Times New Roman" w:hAnsi="Times New Roman" w:eastAsia="宋体" w:cs="Times New Roman"/>
      <w:b/>
      <w:bCs/>
      <w:snapToGrid/>
      <w:color w:val="auto"/>
      <w:kern w:val="2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2026-04-28T10:35:34Z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