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2FC82">
      <w:pPr>
        <w:jc w:val="center"/>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购</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lang w:eastAsia="zh-CN"/>
        </w:rPr>
        <w:t>置</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lang w:eastAsia="zh-CN"/>
        </w:rPr>
        <w:t>合</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lang w:eastAsia="zh-CN"/>
        </w:rPr>
        <w:t>同</w:t>
      </w:r>
    </w:p>
    <w:p w14:paraId="599FDCB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陕西职业技术学院（甲方）与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乙方）就甲方购置的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设备，经双方协商达成如下合同条款：</w:t>
      </w:r>
    </w:p>
    <w:p w14:paraId="57513120">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1.合同内容</w:t>
      </w:r>
    </w:p>
    <w:p w14:paraId="07522FF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在甲方组织的关于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295F83">
      <w:pPr>
        <w:spacing w:line="3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 设备购置清单（币种：人民币）</w:t>
      </w:r>
    </w:p>
    <w:tbl>
      <w:tblPr>
        <w:tblStyle w:val="19"/>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561E4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1009959C">
            <w:pPr>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序号</w:t>
            </w:r>
          </w:p>
        </w:tc>
        <w:tc>
          <w:tcPr>
            <w:tcW w:w="1458" w:type="dxa"/>
            <w:vAlign w:val="center"/>
          </w:tcPr>
          <w:p w14:paraId="7E210505">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设备名称</w:t>
            </w:r>
          </w:p>
        </w:tc>
        <w:tc>
          <w:tcPr>
            <w:tcW w:w="1776" w:type="dxa"/>
            <w:vAlign w:val="center"/>
          </w:tcPr>
          <w:p w14:paraId="7330B88C">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品牌、规格、型号</w:t>
            </w:r>
          </w:p>
        </w:tc>
        <w:tc>
          <w:tcPr>
            <w:tcW w:w="925" w:type="dxa"/>
            <w:vAlign w:val="center"/>
          </w:tcPr>
          <w:p w14:paraId="53549C02">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数量</w:t>
            </w:r>
          </w:p>
          <w:p w14:paraId="2047934A">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(台、套)</w:t>
            </w:r>
          </w:p>
        </w:tc>
        <w:tc>
          <w:tcPr>
            <w:tcW w:w="1130" w:type="dxa"/>
            <w:vAlign w:val="center"/>
          </w:tcPr>
          <w:p w14:paraId="5731B001">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单价</w:t>
            </w:r>
          </w:p>
          <w:p w14:paraId="51736034">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(万元)</w:t>
            </w:r>
          </w:p>
        </w:tc>
        <w:tc>
          <w:tcPr>
            <w:tcW w:w="1090" w:type="dxa"/>
            <w:vAlign w:val="center"/>
          </w:tcPr>
          <w:p w14:paraId="1FE2AB7B">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合计</w:t>
            </w:r>
          </w:p>
          <w:p w14:paraId="180CBD65">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(万元)</w:t>
            </w:r>
          </w:p>
        </w:tc>
        <w:tc>
          <w:tcPr>
            <w:tcW w:w="1420" w:type="dxa"/>
            <w:vAlign w:val="center"/>
          </w:tcPr>
          <w:p w14:paraId="2D57E16E">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生产商</w:t>
            </w:r>
          </w:p>
        </w:tc>
        <w:tc>
          <w:tcPr>
            <w:tcW w:w="617" w:type="dxa"/>
            <w:vAlign w:val="center"/>
          </w:tcPr>
          <w:p w14:paraId="3320FC21">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备注</w:t>
            </w:r>
          </w:p>
        </w:tc>
      </w:tr>
      <w:tr w14:paraId="4D6BB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53BF03F0">
            <w:pPr>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1458" w:type="dxa"/>
            <w:vAlign w:val="center"/>
          </w:tcPr>
          <w:p w14:paraId="0B703CDD">
            <w:pPr>
              <w:jc w:val="center"/>
              <w:rPr>
                <w:rFonts w:hint="eastAsia" w:ascii="宋体" w:hAnsi="宋体" w:eastAsia="宋体" w:cs="宋体"/>
                <w:color w:val="auto"/>
                <w:sz w:val="22"/>
                <w:szCs w:val="22"/>
                <w:highlight w:val="none"/>
              </w:rPr>
            </w:pPr>
          </w:p>
        </w:tc>
        <w:tc>
          <w:tcPr>
            <w:tcW w:w="1776" w:type="dxa"/>
            <w:vAlign w:val="center"/>
          </w:tcPr>
          <w:p w14:paraId="2B62CB95">
            <w:pPr>
              <w:jc w:val="center"/>
              <w:rPr>
                <w:rFonts w:hint="eastAsia" w:ascii="宋体" w:hAnsi="宋体" w:eastAsia="宋体" w:cs="宋体"/>
                <w:color w:val="auto"/>
                <w:sz w:val="22"/>
                <w:szCs w:val="22"/>
                <w:highlight w:val="none"/>
              </w:rPr>
            </w:pPr>
          </w:p>
        </w:tc>
        <w:tc>
          <w:tcPr>
            <w:tcW w:w="925" w:type="dxa"/>
            <w:vAlign w:val="center"/>
          </w:tcPr>
          <w:p w14:paraId="4B97BB4D">
            <w:pPr>
              <w:jc w:val="center"/>
              <w:rPr>
                <w:rFonts w:hint="eastAsia" w:ascii="宋体" w:hAnsi="宋体" w:eastAsia="宋体" w:cs="宋体"/>
                <w:color w:val="auto"/>
                <w:sz w:val="22"/>
                <w:szCs w:val="22"/>
                <w:highlight w:val="none"/>
              </w:rPr>
            </w:pPr>
          </w:p>
        </w:tc>
        <w:tc>
          <w:tcPr>
            <w:tcW w:w="1130" w:type="dxa"/>
            <w:vAlign w:val="center"/>
          </w:tcPr>
          <w:p w14:paraId="307284BC">
            <w:pPr>
              <w:jc w:val="center"/>
              <w:rPr>
                <w:rFonts w:hint="eastAsia" w:ascii="宋体" w:hAnsi="宋体" w:eastAsia="宋体" w:cs="宋体"/>
                <w:color w:val="auto"/>
                <w:sz w:val="22"/>
                <w:szCs w:val="22"/>
                <w:highlight w:val="none"/>
              </w:rPr>
            </w:pPr>
          </w:p>
        </w:tc>
        <w:tc>
          <w:tcPr>
            <w:tcW w:w="1090" w:type="dxa"/>
            <w:vAlign w:val="center"/>
          </w:tcPr>
          <w:p w14:paraId="717796C4">
            <w:pPr>
              <w:jc w:val="center"/>
              <w:rPr>
                <w:rFonts w:hint="eastAsia" w:ascii="宋体" w:hAnsi="宋体" w:eastAsia="宋体" w:cs="宋体"/>
                <w:color w:val="auto"/>
                <w:sz w:val="22"/>
                <w:szCs w:val="22"/>
                <w:highlight w:val="none"/>
              </w:rPr>
            </w:pPr>
          </w:p>
        </w:tc>
        <w:tc>
          <w:tcPr>
            <w:tcW w:w="1420" w:type="dxa"/>
            <w:vAlign w:val="center"/>
          </w:tcPr>
          <w:p w14:paraId="0D79C6E8">
            <w:pPr>
              <w:jc w:val="center"/>
              <w:rPr>
                <w:rFonts w:hint="eastAsia" w:ascii="宋体" w:hAnsi="宋体" w:eastAsia="宋体" w:cs="宋体"/>
                <w:color w:val="auto"/>
                <w:sz w:val="22"/>
                <w:szCs w:val="22"/>
                <w:highlight w:val="none"/>
              </w:rPr>
            </w:pPr>
          </w:p>
        </w:tc>
        <w:tc>
          <w:tcPr>
            <w:tcW w:w="617" w:type="dxa"/>
            <w:vAlign w:val="center"/>
          </w:tcPr>
          <w:p w14:paraId="3CA2C097">
            <w:pPr>
              <w:jc w:val="center"/>
              <w:rPr>
                <w:rFonts w:hint="eastAsia" w:ascii="宋体" w:hAnsi="宋体" w:eastAsia="宋体" w:cs="宋体"/>
                <w:color w:val="auto"/>
                <w:sz w:val="22"/>
                <w:szCs w:val="22"/>
                <w:highlight w:val="none"/>
              </w:rPr>
            </w:pPr>
          </w:p>
        </w:tc>
      </w:tr>
      <w:tr w14:paraId="73E5D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56702B1C">
            <w:pPr>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2</w:t>
            </w:r>
          </w:p>
        </w:tc>
        <w:tc>
          <w:tcPr>
            <w:tcW w:w="1458" w:type="dxa"/>
            <w:vAlign w:val="center"/>
          </w:tcPr>
          <w:p w14:paraId="67F61779">
            <w:pPr>
              <w:jc w:val="center"/>
              <w:rPr>
                <w:rFonts w:hint="eastAsia" w:ascii="宋体" w:hAnsi="宋体" w:eastAsia="宋体" w:cs="宋体"/>
                <w:color w:val="auto"/>
                <w:sz w:val="22"/>
                <w:szCs w:val="22"/>
                <w:highlight w:val="none"/>
              </w:rPr>
            </w:pPr>
          </w:p>
        </w:tc>
        <w:tc>
          <w:tcPr>
            <w:tcW w:w="1776" w:type="dxa"/>
            <w:vAlign w:val="center"/>
          </w:tcPr>
          <w:p w14:paraId="6CCDF061">
            <w:pPr>
              <w:jc w:val="center"/>
              <w:rPr>
                <w:rFonts w:hint="eastAsia" w:ascii="宋体" w:hAnsi="宋体" w:eastAsia="宋体" w:cs="宋体"/>
                <w:color w:val="auto"/>
                <w:sz w:val="22"/>
                <w:szCs w:val="22"/>
                <w:highlight w:val="none"/>
              </w:rPr>
            </w:pPr>
          </w:p>
        </w:tc>
        <w:tc>
          <w:tcPr>
            <w:tcW w:w="925" w:type="dxa"/>
            <w:vAlign w:val="center"/>
          </w:tcPr>
          <w:p w14:paraId="2E638669">
            <w:pPr>
              <w:jc w:val="center"/>
              <w:rPr>
                <w:rFonts w:hint="eastAsia" w:ascii="宋体" w:hAnsi="宋体" w:eastAsia="宋体" w:cs="宋体"/>
                <w:color w:val="auto"/>
                <w:sz w:val="22"/>
                <w:szCs w:val="22"/>
                <w:highlight w:val="none"/>
              </w:rPr>
            </w:pPr>
          </w:p>
        </w:tc>
        <w:tc>
          <w:tcPr>
            <w:tcW w:w="1130" w:type="dxa"/>
            <w:vAlign w:val="center"/>
          </w:tcPr>
          <w:p w14:paraId="5A036CF2">
            <w:pPr>
              <w:jc w:val="center"/>
              <w:rPr>
                <w:rFonts w:hint="eastAsia" w:ascii="宋体" w:hAnsi="宋体" w:eastAsia="宋体" w:cs="宋体"/>
                <w:color w:val="auto"/>
                <w:sz w:val="22"/>
                <w:szCs w:val="22"/>
                <w:highlight w:val="none"/>
              </w:rPr>
            </w:pPr>
          </w:p>
        </w:tc>
        <w:tc>
          <w:tcPr>
            <w:tcW w:w="1090" w:type="dxa"/>
            <w:vAlign w:val="center"/>
          </w:tcPr>
          <w:p w14:paraId="5F8041FC">
            <w:pPr>
              <w:jc w:val="center"/>
              <w:rPr>
                <w:rFonts w:hint="eastAsia" w:ascii="宋体" w:hAnsi="宋体" w:eastAsia="宋体" w:cs="宋体"/>
                <w:color w:val="auto"/>
                <w:sz w:val="22"/>
                <w:szCs w:val="22"/>
                <w:highlight w:val="none"/>
              </w:rPr>
            </w:pPr>
          </w:p>
        </w:tc>
        <w:tc>
          <w:tcPr>
            <w:tcW w:w="1420" w:type="dxa"/>
            <w:vAlign w:val="center"/>
          </w:tcPr>
          <w:p w14:paraId="2094165F">
            <w:pPr>
              <w:jc w:val="center"/>
              <w:rPr>
                <w:rFonts w:hint="eastAsia" w:ascii="宋体" w:hAnsi="宋体" w:eastAsia="宋体" w:cs="宋体"/>
                <w:color w:val="auto"/>
                <w:sz w:val="22"/>
                <w:szCs w:val="22"/>
                <w:highlight w:val="none"/>
              </w:rPr>
            </w:pPr>
          </w:p>
        </w:tc>
        <w:tc>
          <w:tcPr>
            <w:tcW w:w="617" w:type="dxa"/>
            <w:vAlign w:val="center"/>
          </w:tcPr>
          <w:p w14:paraId="235BF458">
            <w:pPr>
              <w:jc w:val="center"/>
              <w:rPr>
                <w:rFonts w:hint="eastAsia" w:ascii="宋体" w:hAnsi="宋体" w:eastAsia="宋体" w:cs="宋体"/>
                <w:color w:val="auto"/>
                <w:sz w:val="22"/>
                <w:szCs w:val="22"/>
                <w:highlight w:val="none"/>
              </w:rPr>
            </w:pPr>
          </w:p>
        </w:tc>
      </w:tr>
      <w:tr w14:paraId="692AF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7BB1FF8D">
            <w:pPr>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w:t>
            </w:r>
          </w:p>
        </w:tc>
        <w:tc>
          <w:tcPr>
            <w:tcW w:w="1458" w:type="dxa"/>
            <w:vAlign w:val="center"/>
          </w:tcPr>
          <w:p w14:paraId="7A4D2BAE">
            <w:pPr>
              <w:jc w:val="center"/>
              <w:rPr>
                <w:rFonts w:hint="eastAsia" w:ascii="宋体" w:hAnsi="宋体" w:eastAsia="宋体" w:cs="宋体"/>
                <w:color w:val="auto"/>
                <w:sz w:val="22"/>
                <w:szCs w:val="22"/>
                <w:highlight w:val="none"/>
              </w:rPr>
            </w:pPr>
          </w:p>
        </w:tc>
        <w:tc>
          <w:tcPr>
            <w:tcW w:w="1776" w:type="dxa"/>
            <w:vAlign w:val="center"/>
          </w:tcPr>
          <w:p w14:paraId="083BD546">
            <w:pPr>
              <w:jc w:val="center"/>
              <w:rPr>
                <w:rFonts w:hint="eastAsia" w:ascii="宋体" w:hAnsi="宋体" w:eastAsia="宋体" w:cs="宋体"/>
                <w:color w:val="auto"/>
                <w:sz w:val="22"/>
                <w:szCs w:val="22"/>
                <w:highlight w:val="none"/>
              </w:rPr>
            </w:pPr>
          </w:p>
        </w:tc>
        <w:tc>
          <w:tcPr>
            <w:tcW w:w="925" w:type="dxa"/>
            <w:vAlign w:val="center"/>
          </w:tcPr>
          <w:p w14:paraId="2885E0E6">
            <w:pPr>
              <w:jc w:val="center"/>
              <w:rPr>
                <w:rFonts w:hint="eastAsia" w:ascii="宋体" w:hAnsi="宋体" w:eastAsia="宋体" w:cs="宋体"/>
                <w:color w:val="auto"/>
                <w:sz w:val="22"/>
                <w:szCs w:val="22"/>
                <w:highlight w:val="none"/>
              </w:rPr>
            </w:pPr>
          </w:p>
        </w:tc>
        <w:tc>
          <w:tcPr>
            <w:tcW w:w="1130" w:type="dxa"/>
            <w:vAlign w:val="center"/>
          </w:tcPr>
          <w:p w14:paraId="349723C8">
            <w:pPr>
              <w:jc w:val="center"/>
              <w:rPr>
                <w:rFonts w:hint="eastAsia" w:ascii="宋体" w:hAnsi="宋体" w:eastAsia="宋体" w:cs="宋体"/>
                <w:color w:val="auto"/>
                <w:sz w:val="22"/>
                <w:szCs w:val="22"/>
                <w:highlight w:val="none"/>
              </w:rPr>
            </w:pPr>
          </w:p>
        </w:tc>
        <w:tc>
          <w:tcPr>
            <w:tcW w:w="1090" w:type="dxa"/>
            <w:vAlign w:val="center"/>
          </w:tcPr>
          <w:p w14:paraId="4BB6D34F">
            <w:pPr>
              <w:jc w:val="center"/>
              <w:rPr>
                <w:rFonts w:hint="eastAsia" w:ascii="宋体" w:hAnsi="宋体" w:eastAsia="宋体" w:cs="宋体"/>
                <w:color w:val="auto"/>
                <w:sz w:val="22"/>
                <w:szCs w:val="22"/>
                <w:highlight w:val="none"/>
              </w:rPr>
            </w:pPr>
          </w:p>
        </w:tc>
        <w:tc>
          <w:tcPr>
            <w:tcW w:w="1420" w:type="dxa"/>
            <w:vAlign w:val="center"/>
          </w:tcPr>
          <w:p w14:paraId="03B3DA43">
            <w:pPr>
              <w:jc w:val="center"/>
              <w:rPr>
                <w:rFonts w:hint="eastAsia" w:ascii="宋体" w:hAnsi="宋体" w:eastAsia="宋体" w:cs="宋体"/>
                <w:color w:val="auto"/>
                <w:sz w:val="22"/>
                <w:szCs w:val="22"/>
                <w:highlight w:val="none"/>
              </w:rPr>
            </w:pPr>
          </w:p>
        </w:tc>
        <w:tc>
          <w:tcPr>
            <w:tcW w:w="617" w:type="dxa"/>
            <w:vAlign w:val="center"/>
          </w:tcPr>
          <w:p w14:paraId="1673DEF4">
            <w:pPr>
              <w:jc w:val="center"/>
              <w:rPr>
                <w:rFonts w:hint="eastAsia" w:ascii="宋体" w:hAnsi="宋体" w:eastAsia="宋体" w:cs="宋体"/>
                <w:color w:val="auto"/>
                <w:sz w:val="22"/>
                <w:szCs w:val="22"/>
                <w:highlight w:val="none"/>
              </w:rPr>
            </w:pPr>
          </w:p>
        </w:tc>
      </w:tr>
      <w:tr w14:paraId="6ED01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1ABB7A37">
            <w:pPr>
              <w:rPr>
                <w:rFonts w:hint="eastAsia" w:ascii="宋体" w:hAnsi="宋体" w:eastAsia="宋体" w:cs="宋体"/>
                <w:color w:val="auto"/>
                <w:sz w:val="22"/>
                <w:szCs w:val="22"/>
                <w:highlight w:val="none"/>
              </w:rPr>
            </w:pPr>
          </w:p>
          <w:p w14:paraId="7139DFB1">
            <w:pP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合计(元)</w:t>
            </w:r>
          </w:p>
        </w:tc>
        <w:tc>
          <w:tcPr>
            <w:tcW w:w="5182" w:type="dxa"/>
            <w:gridSpan w:val="5"/>
            <w:vAlign w:val="center"/>
          </w:tcPr>
          <w:p w14:paraId="47FB7886">
            <w:pPr>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14:paraId="7F740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4F9F1767">
            <w:pPr>
              <w:rPr>
                <w:rFonts w:hint="eastAsia" w:ascii="宋体" w:hAnsi="宋体" w:eastAsia="宋体" w:cs="宋体"/>
                <w:color w:val="auto"/>
                <w:sz w:val="22"/>
                <w:szCs w:val="22"/>
                <w:highlight w:val="none"/>
              </w:rPr>
            </w:pPr>
          </w:p>
        </w:tc>
        <w:tc>
          <w:tcPr>
            <w:tcW w:w="5182" w:type="dxa"/>
            <w:gridSpan w:val="5"/>
            <w:vAlign w:val="center"/>
          </w:tcPr>
          <w:p w14:paraId="23A4AF26">
            <w:pPr>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r>
              <w:rPr>
                <w:rFonts w:hint="eastAsia" w:ascii="宋体" w:hAnsi="宋体" w:eastAsia="宋体" w:cs="宋体"/>
                <w:color w:val="auto"/>
                <w:sz w:val="22"/>
                <w:szCs w:val="22"/>
                <w:highlight w:val="none"/>
                <w:u w:val="single"/>
                <w:lang w:eastAsia="zh-CN"/>
              </w:rPr>
              <w:t xml:space="preserve">           </w:t>
            </w:r>
            <w:r>
              <w:rPr>
                <w:rFonts w:hint="eastAsia" w:ascii="宋体" w:hAnsi="宋体" w:eastAsia="宋体" w:cs="宋体"/>
                <w:color w:val="auto"/>
                <w:sz w:val="22"/>
                <w:szCs w:val="22"/>
                <w:highlight w:val="none"/>
              </w:rPr>
              <w:t>元</w:t>
            </w:r>
          </w:p>
        </w:tc>
      </w:tr>
    </w:tbl>
    <w:p w14:paraId="0E8A668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0070C013">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其中，</w:t>
      </w:r>
      <w:r>
        <w:rPr>
          <w:rFonts w:hint="eastAsia" w:ascii="宋体" w:hAnsi="宋体" w:eastAsia="宋体" w:cs="宋体"/>
          <w:color w:val="auto"/>
          <w:sz w:val="24"/>
          <w:szCs w:val="24"/>
          <w:highlight w:val="none"/>
          <w:lang w:val="en-US" w:eastAsia="zh-CN"/>
        </w:rPr>
        <w:t>不含税金额____元，增值税税额____元，适用税率____%。</w:t>
      </w:r>
    </w:p>
    <w:p w14:paraId="71E7E9F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 合同总额为一次性包死价格，不受市场价格的变化和影响，在合同不发生变更时作为付款结算的依据。</w:t>
      </w:r>
    </w:p>
    <w:p w14:paraId="35884A5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 设备的技术参数要求</w:t>
      </w:r>
    </w:p>
    <w:p w14:paraId="7F9D325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 xml:space="preserve">1.4.2 </w:t>
      </w:r>
      <w:r>
        <w:rPr>
          <w:rFonts w:hint="eastAsia" w:ascii="宋体" w:hAnsi="宋体" w:eastAsia="宋体" w:cs="宋体"/>
          <w:b w:val="0"/>
          <w:bCs w:val="0"/>
          <w:color w:val="auto"/>
          <w:sz w:val="24"/>
          <w:szCs w:val="24"/>
          <w:highlight w:val="none"/>
          <w:lang w:val="en-US" w:eastAsia="zh-CN"/>
        </w:rPr>
        <w:t>所有设备和参数要与招标文件、投标文件保持一致，若关键参数不一致，以其中最优最高标准为执行标准。</w:t>
      </w:r>
    </w:p>
    <w:p w14:paraId="78B42B8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xml:space="preserve"> 乙方应向甲方提供有关标准的中文文本。</w:t>
      </w:r>
    </w:p>
    <w:p w14:paraId="662E3DEA">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xml:space="preserve"> 除非技术规范中另有规定，计量单位均采用中华人民共和国法定计量单位。</w:t>
      </w:r>
    </w:p>
    <w:p w14:paraId="6C9B214C">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2.包装运输要求</w:t>
      </w:r>
    </w:p>
    <w:p w14:paraId="233BC2E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C50A106">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3.交货时间及交货地点</w:t>
      </w:r>
    </w:p>
    <w:p w14:paraId="13ABC265">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321EFDF4">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 合同签订后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701DCBD3">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4.产品质量保证</w:t>
      </w:r>
    </w:p>
    <w:p w14:paraId="2149521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 乙方提供的设备及配套产品，必须是合同规定厂家制造的合格、全新、未曾使用的产品，产品内部无损坏，外表无磨损，内部包装无破损。</w:t>
      </w:r>
    </w:p>
    <w:p w14:paraId="37570C2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3098B41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6921C54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0B6F67C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14E1E949">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 产品质量保证期为甲方硬件设备最终验收合格后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年，软件系统最终验收合格后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3AF7FE8B">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5.技术服务承诺</w:t>
      </w:r>
    </w:p>
    <w:p w14:paraId="29E9E01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 乙方应严格按照供货时间，及时给甲方供货。</w:t>
      </w:r>
    </w:p>
    <w:p w14:paraId="4F97107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3A6DCD5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 人员培训：乙方免费为甲方培训设备使用人员，培训内容包括设备操作、维护、简单维修等（培训内容与标准、培训安排等要求详见附件）。</w:t>
      </w:r>
    </w:p>
    <w:p w14:paraId="18C34CA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 售后服务：质保期内，乙方对甲方提出的服务响应不得超过</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小时，并在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小时内</w:t>
      </w:r>
      <w:r>
        <w:rPr>
          <w:rFonts w:hint="eastAsia" w:ascii="宋体" w:hAnsi="宋体" w:eastAsia="宋体" w:cs="宋体"/>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。质保期内乙方应每季度上门巡检不少于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47E7A79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 具体服务详见乙方投标文件中乙方的承诺书。</w:t>
      </w:r>
    </w:p>
    <w:p w14:paraId="4001519F">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6.验收方法及标准</w:t>
      </w:r>
    </w:p>
    <w:p w14:paraId="0E65491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 开箱验收</w:t>
      </w:r>
    </w:p>
    <w:p w14:paraId="3D762A7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6.1.1 产品运抵现场后，双方应及时开箱验收，并制作验收记录，以确认与本合同约定的数量、型号等是否一致。</w:t>
      </w:r>
    </w:p>
    <w:p w14:paraId="58CE7D1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377653F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F583C3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24A31AE8">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 检验验收</w:t>
      </w:r>
    </w:p>
    <w:p w14:paraId="30B5AA6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1C1A3BE8">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54C035A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1499541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6.2.4 检验测试出现全部或部分未达到本合同所约定的技术指标，甲方有权选择下列任一处理方式：</w:t>
      </w:r>
    </w:p>
    <w:p w14:paraId="12790185">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a.重新测试直至合格为止；</w:t>
      </w:r>
    </w:p>
    <w:p w14:paraId="4EC08604">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178A20C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 使用过程检验</w:t>
      </w:r>
    </w:p>
    <w:p w14:paraId="5B4BDB1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70D63F8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6.3.2 如果合同双方对乙方提供的上述试验结果报告的解释有分歧，双方须于出现分歧后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天内给对方声明，以陈述己方的观点。声明须附有关证据。分歧应通过协商解决。</w:t>
      </w:r>
    </w:p>
    <w:p w14:paraId="48C149EC">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 所有验收合格，但不能免除乙方应该承担的质保责任。</w:t>
      </w:r>
    </w:p>
    <w:p w14:paraId="338E6E6B">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7.合同款项支付方式</w:t>
      </w:r>
    </w:p>
    <w:p w14:paraId="2E56D8F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 履约保证金</w:t>
      </w:r>
    </w:p>
    <w:p w14:paraId="54756268">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7.1.1 乙方应在收到中标(成交)通知书后、合同签订前</w:t>
      </w:r>
      <w:r>
        <w:rPr>
          <w:rFonts w:hint="eastAsia" w:ascii="宋体" w:hAnsi="宋体" w:eastAsia="宋体" w:cs="宋体"/>
          <w:color w:val="auto"/>
          <w:sz w:val="24"/>
          <w:szCs w:val="24"/>
          <w:highlight w:val="none"/>
          <w:u w:val="single"/>
          <w:lang w:eastAsia="zh-CN"/>
        </w:rPr>
        <w:t xml:space="preserve"> 5 </w:t>
      </w:r>
      <w:r>
        <w:rPr>
          <w:rFonts w:hint="eastAsia" w:ascii="宋体" w:hAnsi="宋体" w:eastAsia="宋体" w:cs="宋体"/>
          <w:color w:val="auto"/>
          <w:sz w:val="24"/>
          <w:szCs w:val="24"/>
          <w:highlight w:val="none"/>
          <w:lang w:eastAsia="zh-CN"/>
        </w:rPr>
        <w:t>个工作日内，向甲方提交合同总价</w:t>
      </w:r>
      <w:r>
        <w:rPr>
          <w:rFonts w:hint="eastAsia" w:ascii="宋体" w:hAnsi="宋体" w:eastAsia="宋体" w:cs="宋体"/>
          <w:color w:val="auto"/>
          <w:sz w:val="24"/>
          <w:szCs w:val="24"/>
          <w:highlight w:val="none"/>
          <w:u w:val="single"/>
          <w:lang w:eastAsia="zh-CN"/>
        </w:rPr>
        <w:t xml:space="preserve"> 5  </w:t>
      </w:r>
      <w:r>
        <w:rPr>
          <w:rFonts w:hint="eastAsia" w:ascii="宋体" w:hAnsi="宋体" w:eastAsia="宋体" w:cs="宋体"/>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651D3C0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6549FEA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 合同款支付</w:t>
      </w:r>
    </w:p>
    <w:p w14:paraId="56A5D54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签订合同后，设备到达指定地点、安装调试完成并验收合格后，并完成甲方所有内部付款审批程序，满足付款条件起10个工作日内支付合同总价的100%。</w:t>
      </w:r>
    </w:p>
    <w:p w14:paraId="0491B7BE">
      <w:pPr>
        <w:spacing w:line="380" w:lineRule="exact"/>
        <w:ind w:firstLine="480" w:firstLineChars="200"/>
        <w:rPr>
          <w:rFonts w:hint="eastAsia" w:ascii="宋体" w:hAnsi="宋体" w:eastAsia="宋体" w:cs="宋体"/>
          <w:strike/>
          <w:color w:val="auto"/>
          <w:sz w:val="24"/>
          <w:szCs w:val="24"/>
          <w:highlight w:val="none"/>
          <w:lang w:eastAsia="zh-CN"/>
        </w:rPr>
      </w:pPr>
      <w:r>
        <w:rPr>
          <w:rFonts w:hint="eastAsia" w:ascii="宋体" w:hAnsi="宋体" w:eastAsia="宋体" w:cs="宋体"/>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26AA4D13">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8.安全生产和文明施工</w:t>
      </w:r>
    </w:p>
    <w:p w14:paraId="1D831BE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 现场安全文明施工由乙方编制专项详细方案并严格执行。</w:t>
      </w:r>
    </w:p>
    <w:p w14:paraId="4684B95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0B2054F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 在设备安装施工全过程中，乙方应服从甲方的各项管理，并对乙方施工人员进行安全管理。</w:t>
      </w:r>
    </w:p>
    <w:p w14:paraId="5FE1870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8.4 确保现场建筑物及相关设施设备完好无损，如施工过程中出现损坏，乙方负责修复赔偿。</w:t>
      </w:r>
    </w:p>
    <w:p w14:paraId="4D8C2AEC">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8.5 乙方应对安装施工人员相关岗位上岗资格进行审查，并对相关后果负责。</w:t>
      </w:r>
    </w:p>
    <w:p w14:paraId="108BAA82">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9.索赔</w:t>
      </w:r>
    </w:p>
    <w:p w14:paraId="18DB453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7EA013B9">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 在验收合格前，乙方对甲方提出的索赔负有责任，乙方应按照甲方同意的下列一种或多种方式解决索赔事宜：</w:t>
      </w:r>
    </w:p>
    <w:p w14:paraId="243A320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5B29EC0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673294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73DCE2C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9.3 乙方收到甲方发出的索赔通知之日起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个工作日内未作答复的，甲方可从合同款或履约保证金中扣回索赔金额，如金额不足以补偿索赔金额，乙方应补足差额部分。</w:t>
      </w:r>
    </w:p>
    <w:p w14:paraId="087B6D55">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10.违约责任</w:t>
      </w:r>
    </w:p>
    <w:p w14:paraId="73CDF19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 合同生效后，甲乙双方应按合同规定认真全面履约。合同履约责任只涉及合同甲乙双方，不考虑第三方因素。</w:t>
      </w:r>
    </w:p>
    <w:p w14:paraId="29E081C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2755C8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%的违约金及其他损失。</w:t>
      </w:r>
    </w:p>
    <w:p w14:paraId="41BE900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10.4 在合同规定的供货期内乙方未全部交货，除应如数补齐外，还应承担合同总款的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%违约金。</w:t>
      </w:r>
    </w:p>
    <w:p w14:paraId="71068C02">
      <w:pPr>
        <w:spacing w:line="38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10.5 乙方对货物不按招标文件要求，擅自更换，除恢复原招标产品外，应承担更换部分价款</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%的违约金；乙方如对产品材质、随机配品以次充好，除全部按要求恢复外，应承担此部分价款</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%的违约金。</w:t>
      </w:r>
    </w:p>
    <w:p w14:paraId="5275348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10.6 除不可抗力因素外，乙方没有按照合同规定的时间交货，甲方可要求乙方支付违约金，违约金每日按合同总价款的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‰计收。</w:t>
      </w:r>
    </w:p>
    <w:p w14:paraId="4880B4C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10.7 乙方</w:t>
      </w:r>
      <w:r>
        <w:rPr>
          <w:rFonts w:hint="eastAsia" w:ascii="宋体" w:hAnsi="宋体" w:eastAsia="宋体" w:cs="宋体"/>
          <w:color w:val="auto"/>
          <w:sz w:val="24"/>
          <w:szCs w:val="24"/>
          <w:highlight w:val="none"/>
          <w:lang w:eastAsia="zh-CN"/>
        </w:rPr>
        <w:t>对所供产品出现的问题推诿、拖延，</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小时未作出服务响应和提供服务，甲方可要求乙方支付违约金，违约金每日按合同总价款的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0.5</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‰计收。否则，甲方有权拒绝乙方以后参加学校竞标。</w:t>
      </w:r>
    </w:p>
    <w:p w14:paraId="046EFE36">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11.合同争议的解决</w:t>
      </w:r>
    </w:p>
    <w:p w14:paraId="6176298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 甲乙双方由于本合同的履行而发生任何争议时，双方可先通过协商解决。</w:t>
      </w:r>
    </w:p>
    <w:p w14:paraId="05413884">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 任何一方不愿通过协商或通过协商仍不能解决争议，则双方中任何一方均应向甲方所在地人民法院起诉。</w:t>
      </w:r>
    </w:p>
    <w:p w14:paraId="65386E7F">
      <w:pPr>
        <w:spacing w:line="380" w:lineRule="exact"/>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12.违约解除合同</w:t>
      </w:r>
    </w:p>
    <w:p w14:paraId="79E72E25">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B79E06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12.1.1 乙方未能在合同规定的限期或甲方同意延长的限期内，提供全部或部分货物的；</w:t>
      </w:r>
    </w:p>
    <w:p w14:paraId="70A1206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12.1.2 乙方未能履行合同规定的其他主要义务的；</w:t>
      </w:r>
    </w:p>
    <w:p w14:paraId="634945F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12.1.3 乙方在本合同履行过程中有欺诈行为的。</w:t>
      </w:r>
    </w:p>
    <w:p w14:paraId="6D8F871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04B51A4C">
      <w:pPr>
        <w:shd w:val="clear" w:color="auto" w:fill="auto"/>
        <w:spacing w:line="380" w:lineRule="exact"/>
        <w:ind w:firstLine="480" w:firstLineChars="200"/>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lang w:eastAsia="zh-CN"/>
        </w:rPr>
        <w:t>13.</w:t>
      </w:r>
      <w:bookmarkStart w:id="0" w:name="_Toc26328"/>
      <w:bookmarkStart w:id="1" w:name="_Toc23280"/>
      <w:bookmarkStart w:id="2" w:name="_Toc495505745"/>
      <w:bookmarkStart w:id="3" w:name="_Toc14186"/>
      <w:r>
        <w:rPr>
          <w:rFonts w:hint="eastAsia" w:ascii="宋体" w:hAnsi="宋体" w:eastAsia="宋体" w:cs="宋体"/>
          <w:b w:val="0"/>
          <w:bCs w:val="0"/>
          <w:color w:val="auto"/>
          <w:sz w:val="24"/>
          <w:szCs w:val="24"/>
          <w:highlight w:val="none"/>
          <w:lang w:eastAsia="zh-CN"/>
        </w:rPr>
        <w:t>不可抗力</w:t>
      </w:r>
      <w:bookmarkEnd w:id="0"/>
      <w:bookmarkEnd w:id="1"/>
      <w:bookmarkEnd w:id="2"/>
      <w:bookmarkEnd w:id="3"/>
    </w:p>
    <w:p w14:paraId="07090884">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13.1</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43995145">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13.2</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6A68F8B2">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13.3</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如不可抗力事件延续120天以上的，各方通过协商达成在合理的时间内继续履行合同，或部分履行合同，或终止合同的履行。</w:t>
      </w:r>
    </w:p>
    <w:p w14:paraId="0E42343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w:t>
      </w:r>
      <w:r>
        <w:rPr>
          <w:rFonts w:hint="eastAsia" w:ascii="宋体" w:hAnsi="宋体" w:eastAsia="宋体" w:cs="宋体"/>
          <w:color w:val="auto"/>
          <w:kern w:val="0"/>
          <w:sz w:val="24"/>
          <w:szCs w:val="24"/>
          <w:highlight w:val="none"/>
          <w:lang w:eastAsia="zh-CN"/>
        </w:rPr>
        <w:t>4</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一方迟延履行后发生不可抗力的，不能免除责任。</w:t>
      </w:r>
    </w:p>
    <w:p w14:paraId="3FCDDE88">
      <w:pPr>
        <w:spacing w:beforeLines="-2147483648" w:afterLines="-2147483648" w:line="380" w:lineRule="exact"/>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14.其他事项</w:t>
      </w:r>
    </w:p>
    <w:p w14:paraId="53130AF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 合同经双方签字盖章后生效。本合同一式六份，甲方执五份，乙方执一份，执行完毕后自行失效。</w:t>
      </w:r>
    </w:p>
    <w:p w14:paraId="0A784F8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BCF3C72">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a.合同附件（设备和软件的具体配置及技术参数，</w:t>
      </w:r>
      <w:r>
        <w:rPr>
          <w:rFonts w:hint="eastAsia" w:ascii="宋体" w:hAnsi="宋体" w:eastAsia="宋体" w:cs="宋体"/>
          <w:color w:val="auto"/>
          <w:sz w:val="24"/>
          <w:szCs w:val="24"/>
          <w:highlight w:val="none"/>
          <w:lang w:eastAsia="zh-CN"/>
        </w:rPr>
        <w:t>培训内容、标准和安排</w:t>
      </w:r>
      <w:r>
        <w:rPr>
          <w:rFonts w:hint="eastAsia" w:ascii="宋体" w:hAnsi="宋体" w:eastAsia="宋体" w:cs="宋体"/>
          <w:color w:val="auto"/>
          <w:sz w:val="24"/>
          <w:szCs w:val="24"/>
          <w:highlight w:val="none"/>
          <w:lang w:val="en-US" w:eastAsia="zh-CN"/>
        </w:rPr>
        <w:t>）；</w:t>
      </w:r>
    </w:p>
    <w:p w14:paraId="13BC299C">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b.招标文件；</w:t>
      </w:r>
    </w:p>
    <w:p w14:paraId="203297EA">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c.投标文件；</w:t>
      </w:r>
    </w:p>
    <w:p w14:paraId="6373B820">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d.进出口代理协议；</w:t>
      </w:r>
    </w:p>
    <w:p w14:paraId="08FB8E76">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d.中标通知书。</w:t>
      </w:r>
    </w:p>
    <w:p w14:paraId="209D4679">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33B3699C">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bookmarkStart w:id="4" w:name="_Toc18101"/>
      <w:bookmarkStart w:id="5" w:name="_Toc11939"/>
      <w:bookmarkStart w:id="6" w:name="_Toc1081"/>
      <w:bookmarkStart w:id="7" w:name="_Toc495505746"/>
      <w:r>
        <w:rPr>
          <w:rFonts w:hint="eastAsia" w:ascii="宋体" w:hAnsi="宋体" w:eastAsia="宋体" w:cs="宋体"/>
          <w:b w:val="0"/>
          <w:bCs w:val="0"/>
          <w:color w:val="auto"/>
          <w:sz w:val="24"/>
          <w:szCs w:val="24"/>
          <w:highlight w:val="none"/>
          <w:lang w:eastAsia="zh-CN"/>
        </w:rPr>
        <w:t>1</w:t>
      </w:r>
      <w:r>
        <w:rPr>
          <w:rFonts w:hint="eastAsia" w:ascii="宋体" w:hAnsi="宋体" w:eastAsia="宋体" w:cs="宋体"/>
          <w:color w:val="auto"/>
          <w:sz w:val="24"/>
          <w:szCs w:val="24"/>
          <w:highlight w:val="none"/>
          <w:lang w:eastAsia="zh-CN"/>
        </w:rPr>
        <w:t>4</w:t>
      </w:r>
      <w:r>
        <w:rPr>
          <w:rFonts w:hint="eastAsia" w:ascii="宋体" w:hAnsi="宋体" w:eastAsia="宋体" w:cs="宋体"/>
          <w:b w:val="0"/>
          <w:bCs w:val="0"/>
          <w:color w:val="auto"/>
          <w:sz w:val="24"/>
          <w:szCs w:val="24"/>
          <w:highlight w:val="none"/>
          <w:lang w:eastAsia="zh-CN"/>
        </w:rPr>
        <w:t>.4</w:t>
      </w:r>
      <w:bookmarkEnd w:id="4"/>
      <w:bookmarkEnd w:id="5"/>
      <w:bookmarkEnd w:id="6"/>
      <w:bookmarkEnd w:id="7"/>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64D1C55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14:paraId="7B67980E">
      <w:pPr>
        <w:spacing w:line="380" w:lineRule="exact"/>
        <w:ind w:firstLine="480" w:firstLineChars="200"/>
        <w:rPr>
          <w:rFonts w:hint="eastAsia" w:ascii="宋体" w:hAnsi="宋体" w:eastAsia="宋体" w:cs="宋体"/>
          <w:color w:val="auto"/>
          <w:sz w:val="24"/>
          <w:szCs w:val="24"/>
          <w:highlight w:val="none"/>
          <w:lang w:eastAsia="zh-CN"/>
        </w:rPr>
      </w:pPr>
    </w:p>
    <w:p w14:paraId="56BA3B5A">
      <w:pPr>
        <w:spacing w:beforeLines="50" w:afterLines="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合同签订地点：陕西职业技术学院</w:t>
      </w:r>
    </w:p>
    <w:p w14:paraId="31FA6BB5">
      <w:pPr>
        <w:spacing w:beforeLines="50" w:afterLine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合同签订时间：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tbl>
      <w:tblPr>
        <w:tblStyle w:val="19"/>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3FC35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4438C5F1">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甲方(盖章):陕西职业技术学院</w:t>
            </w:r>
          </w:p>
        </w:tc>
        <w:tc>
          <w:tcPr>
            <w:tcW w:w="4485" w:type="dxa"/>
            <w:vAlign w:val="center"/>
          </w:tcPr>
          <w:p w14:paraId="5A3D88D9">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乙方(盖章):</w:t>
            </w:r>
          </w:p>
        </w:tc>
      </w:tr>
      <w:tr w14:paraId="54920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701E6967">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地址：西安市灞桥区狄寨路2028号</w:t>
            </w:r>
          </w:p>
        </w:tc>
        <w:tc>
          <w:tcPr>
            <w:tcW w:w="4485" w:type="dxa"/>
            <w:vAlign w:val="center"/>
          </w:tcPr>
          <w:p w14:paraId="28A36A15">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66F46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5FE812A5">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p>
        </w:tc>
        <w:tc>
          <w:tcPr>
            <w:tcW w:w="4485" w:type="dxa"/>
            <w:vAlign w:val="center"/>
          </w:tcPr>
          <w:p w14:paraId="3AE058C4">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p>
        </w:tc>
      </w:tr>
      <w:tr w14:paraId="673E7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6252AC51">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p>
        </w:tc>
        <w:tc>
          <w:tcPr>
            <w:tcW w:w="4485" w:type="dxa"/>
            <w:vAlign w:val="center"/>
          </w:tcPr>
          <w:p w14:paraId="5770CC80">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p>
        </w:tc>
      </w:tr>
      <w:tr w14:paraId="67628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79FDFBEC">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4485" w:type="dxa"/>
            <w:vAlign w:val="center"/>
          </w:tcPr>
          <w:p w14:paraId="1E7F117E">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r>
      <w:tr w14:paraId="77E8C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170ACA07">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4485" w:type="dxa"/>
            <w:vAlign w:val="center"/>
          </w:tcPr>
          <w:p w14:paraId="1E76BE13">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r>
      <w:tr w14:paraId="6C773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605575C2">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电子邮箱：</w:t>
            </w:r>
          </w:p>
        </w:tc>
        <w:tc>
          <w:tcPr>
            <w:tcW w:w="4485" w:type="dxa"/>
            <w:vAlign w:val="center"/>
          </w:tcPr>
          <w:p w14:paraId="601EC0A9">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电子邮箱：</w:t>
            </w:r>
          </w:p>
        </w:tc>
      </w:tr>
    </w:tbl>
    <w:p w14:paraId="11F4D991">
      <w:pPr>
        <w:pStyle w:val="18"/>
        <w:rPr>
          <w:rFonts w:hint="eastAsia" w:ascii="宋体" w:hAnsi="宋体" w:eastAsia="宋体" w:cs="宋体"/>
          <w:color w:val="auto"/>
          <w:highlight w:val="none"/>
          <w:lang w:val="en-US" w:eastAsia="zh-Hans"/>
        </w:rPr>
      </w:pPr>
    </w:p>
    <w:p w14:paraId="19D79B4B">
      <w:pPr>
        <w:rPr>
          <w:highlight w:val="none"/>
        </w:rPr>
      </w:pPr>
      <w:bookmarkStart w:id="8" w:name="_GoBack"/>
      <w:bookmarkEnd w:id="8"/>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A9A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3184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563184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985637B"/>
    <w:rsid w:val="19EE39F7"/>
    <w:rsid w:val="1A20348C"/>
    <w:rsid w:val="1D2366AB"/>
    <w:rsid w:val="21C02D6D"/>
    <w:rsid w:val="2755784B"/>
    <w:rsid w:val="29B7714B"/>
    <w:rsid w:val="2A09202A"/>
    <w:rsid w:val="2B57116C"/>
    <w:rsid w:val="2D012D2F"/>
    <w:rsid w:val="2DC047AC"/>
    <w:rsid w:val="3FA639A6"/>
    <w:rsid w:val="432B57DF"/>
    <w:rsid w:val="469B0D50"/>
    <w:rsid w:val="47E72260"/>
    <w:rsid w:val="4C334E7A"/>
    <w:rsid w:val="578318F4"/>
    <w:rsid w:val="62F04E50"/>
    <w:rsid w:val="688E376F"/>
    <w:rsid w:val="6C35284A"/>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5"/>
    <w:link w:val="14"/>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Date"/>
    <w:basedOn w:val="1"/>
    <w:next w:val="1"/>
    <w:qFormat/>
    <w:uiPriority w:val="0"/>
    <w:pPr>
      <w:adjustRightInd w:val="0"/>
      <w:spacing w:line="312" w:lineRule="atLeast"/>
      <w:textAlignment w:val="baseline"/>
    </w:pPr>
    <w:rPr>
      <w:rFonts w:ascii="Times New Roman" w:hAnsi="Times New Roman" w:eastAsia="楷体_GB2312" w:cs="Times New Roman"/>
      <w:b/>
      <w:kern w:val="0"/>
      <w:szCs w:val="20"/>
    </w:rPr>
  </w:style>
  <w:style w:type="paragraph" w:styleId="8">
    <w:name w:val="footer"/>
    <w:basedOn w:val="1"/>
    <w:qFormat/>
    <w:uiPriority w:val="0"/>
    <w:pPr>
      <w:tabs>
        <w:tab w:val="center" w:pos="4153"/>
        <w:tab w:val="right" w:pos="8306"/>
      </w:tabs>
      <w:snapToGrid w:val="0"/>
      <w:jc w:val="left"/>
    </w:pPr>
    <w:rPr>
      <w:rFonts w:ascii="宋体" w:hAnsi="宋体" w:eastAsia="宋体" w:cs="宋体"/>
    </w:r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2"/>
    <w:qFormat/>
    <w:uiPriority w:val="0"/>
    <w:rPr>
      <w:rFonts w:ascii="Times New Roman" w:hAnsi="Times New Roman" w:eastAsia="宋体" w:cs="Times New Roman"/>
      <w:b/>
      <w:kern w:val="44"/>
      <w:sz w:val="32"/>
      <w:szCs w:val="21"/>
    </w:rPr>
  </w:style>
  <w:style w:type="character" w:customStyle="1" w:styleId="13">
    <w:name w:val="标题 2 Char"/>
    <w:link w:val="3"/>
    <w:qFormat/>
    <w:uiPriority w:val="9"/>
    <w:rPr>
      <w:rFonts w:ascii="Cambria" w:hAnsi="Cambria" w:eastAsia="宋体" w:cs="Times New Roman"/>
      <w:b/>
      <w:bCs/>
      <w:kern w:val="0"/>
      <w:sz w:val="28"/>
      <w:szCs w:val="32"/>
    </w:rPr>
  </w:style>
  <w:style w:type="character" w:customStyle="1" w:styleId="14">
    <w:name w:val="标题 3 字符"/>
    <w:link w:val="4"/>
    <w:qFormat/>
    <w:uiPriority w:val="0"/>
    <w:rPr>
      <w:rFonts w:ascii="Times New Roman" w:hAnsi="Times New Roman" w:eastAsia="仿宋" w:cs="Times New Roman"/>
      <w:b/>
      <w:bCs/>
      <w:kern w:val="2"/>
      <w:sz w:val="28"/>
      <w:szCs w:val="32"/>
    </w:rPr>
  </w:style>
  <w:style w:type="character" w:customStyle="1" w:styleId="15">
    <w:name w:val="标题 1 字符"/>
    <w:link w:val="16"/>
    <w:qFormat/>
    <w:uiPriority w:val="99"/>
    <w:rPr>
      <w:rFonts w:hint="eastAsia" w:ascii="宋体" w:hAnsi="宋体"/>
      <w:b/>
      <w:bCs/>
      <w:kern w:val="44"/>
      <w:sz w:val="48"/>
      <w:szCs w:val="48"/>
    </w:rPr>
  </w:style>
  <w:style w:type="paragraph" w:customStyle="1" w:styleId="16">
    <w:name w:val="标题 11"/>
    <w:basedOn w:val="1"/>
    <w:link w:val="15"/>
    <w:qFormat/>
    <w:uiPriority w:val="0"/>
    <w:pPr>
      <w:spacing w:beforeAutospacing="1" w:afterAutospacing="1"/>
      <w:jc w:val="left"/>
      <w:outlineLvl w:val="0"/>
    </w:pPr>
    <w:rPr>
      <w:rFonts w:hint="eastAsia" w:ascii="宋体" w:hAnsi="宋体"/>
      <w:b/>
      <w:bCs/>
      <w:kern w:val="44"/>
      <w:sz w:val="48"/>
      <w:szCs w:val="48"/>
    </w:rPr>
  </w:style>
  <w:style w:type="paragraph" w:styleId="17">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table" w:customStyle="1" w:styleId="19">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6169</Words>
  <Characters>6417</Characters>
  <Lines>0</Lines>
  <Paragraphs>0</Paragraphs>
  <TotalTime>0</TotalTime>
  <ScaleCrop>false</ScaleCrop>
  <LinksUpToDate>false</LinksUpToDate>
  <CharactersWithSpaces>7519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2026-07-17T09:54:36Z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