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4D6D0">
      <w:pPr>
        <w:jc w:val="center"/>
        <w:rPr>
          <w:rFonts w:hint="eastAsia" w:ascii="仿宋" w:hAnsi="仿宋" w:eastAsia="仿宋" w:cs="仿宋"/>
          <w:kern w:val="0"/>
          <w:sz w:val="28"/>
          <w:szCs w:val="28"/>
          <w:lang w:val="en-US" w:eastAsia="zh-CN"/>
        </w:rPr>
      </w:pPr>
      <w:bookmarkStart w:id="0" w:name="_GoBack"/>
      <w:r>
        <w:rPr>
          <w:rFonts w:hint="eastAsia" w:ascii="仿宋" w:hAnsi="仿宋" w:eastAsia="仿宋" w:cs="仿宋"/>
          <w:kern w:val="0"/>
          <w:sz w:val="28"/>
          <w:szCs w:val="28"/>
          <w:lang w:val="en-US" w:eastAsia="zh-CN"/>
        </w:rPr>
        <w:t>采购需求</w:t>
      </w:r>
    </w:p>
    <w:bookmarkEnd w:id="0"/>
    <w:p w14:paraId="6C5C7849">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一、服务内容</w:t>
      </w:r>
    </w:p>
    <w:p w14:paraId="5DE36322">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1.服务对象：无军籍退休职工484人。男性98人，女性386人；单人体检报价的最高限价：1000元/人。</w:t>
      </w:r>
    </w:p>
    <w:p w14:paraId="4B717736">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2.体检内容：详见附件</w:t>
      </w:r>
    </w:p>
    <w:p w14:paraId="2540F1CE">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二、服务要求</w:t>
      </w:r>
    </w:p>
    <w:p w14:paraId="111508F5">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1.本次体检应在当地进行，在体检期间做好标识标牌，保证参检人员方便快捷进行各项体检。</w:t>
      </w:r>
    </w:p>
    <w:p w14:paraId="2F31175A">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2.体检机构应对参检人员信息进行核对，确认核对是本人后方可体检。</w:t>
      </w:r>
    </w:p>
    <w:p w14:paraId="723A4ABC">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3.本着科学、严谨的工作态度，严格按医疗规范标准执行，确保向参检人员提供切实可信的体检，涉及到个人隐私应告知本人，不得向第三方传播。</w:t>
      </w:r>
    </w:p>
    <w:p w14:paraId="44C9381B">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4.按规定的检查项目内容为参检人员提供对应的体检服务和体检器材,保证一人一针一管（器），用于医疗活动的器材需要符合《医疗器械监督管理条例》和相关的国家标准，确保产品的安全性和有效性。</w:t>
      </w:r>
    </w:p>
    <w:p w14:paraId="6625FA9D">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5.在所有人员体检完成后，及时以短信等电子形式将个人检查结论告知本人，并为所有参检人员出具体检报告。</w:t>
      </w:r>
    </w:p>
    <w:p w14:paraId="2E419BE6">
      <w:pPr>
        <w:pStyle w:val="3"/>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6.绿色通道：对集中体检及行动不便的体检者可预约车接车送；</w:t>
      </w:r>
    </w:p>
    <w:p w14:paraId="5F10F1DE">
      <w:pPr>
        <w:pStyle w:val="3"/>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7.为体检人员提供早餐；</w:t>
      </w:r>
    </w:p>
    <w:p w14:paraId="077790BD">
      <w:pPr>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8.对80岁以上年老体弱的人员有专人陪同，全程引导体检并提供1对1服务；</w:t>
      </w:r>
    </w:p>
    <w:p w14:paraId="6E8B5591">
      <w:pPr>
        <w:pStyle w:val="2"/>
        <w:rPr>
          <w:rFonts w:hint="eastAsia" w:ascii="仿宋" w:hAnsi="仿宋" w:eastAsia="仿宋" w:cs="仿宋"/>
          <w:highlight w:val="none"/>
          <w:lang w:val="en-US" w:eastAsia="zh-CN"/>
        </w:rPr>
      </w:pPr>
      <w:r>
        <w:rPr>
          <w:rFonts w:hint="eastAsia" w:ascii="仿宋" w:hAnsi="仿宋" w:eastAsia="仿宋" w:cs="仿宋"/>
          <w:kern w:val="0"/>
          <w:sz w:val="20"/>
          <w:szCs w:val="20"/>
          <w:highlight w:val="none"/>
          <w:lang w:val="en-US" w:eastAsia="zh-CN"/>
        </w:rPr>
        <w:t>9.出具单位总检报告，内容包括但不限于单位体检人员总体体检情况、各年龄段人员多发和需重点关照疾病及相关预防治疗方法等；</w:t>
      </w:r>
    </w:p>
    <w:p w14:paraId="2C527A3F">
      <w:pPr>
        <w:pStyle w:val="3"/>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lang w:val="en-US" w:eastAsia="zh-CN"/>
        </w:rPr>
        <w:t>10.体检后上门服务内容</w:t>
      </w:r>
    </w:p>
    <w:p w14:paraId="303A8E2B">
      <w:pPr>
        <w:pStyle w:val="3"/>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lang w:val="en-US" w:eastAsia="zh-CN"/>
        </w:rPr>
        <w:t>①一对一报告解读：在所有人员收到报告后，安排医生提供一对一报告解读服务。</w:t>
      </w:r>
    </w:p>
    <w:p w14:paraId="3C42DECA">
      <w:pPr>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lang w:val="en-US" w:eastAsia="zh-CN"/>
        </w:rPr>
        <w:t>②设有专人负责检后重大疾病筛查、重疾预警提醒，并及时通知本人及采购人。</w:t>
      </w:r>
    </w:p>
    <w:p w14:paraId="7950E9F7">
      <w:pPr>
        <w:pStyle w:val="3"/>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11.其他要求</w:t>
      </w:r>
    </w:p>
    <w:p w14:paraId="6BDDE7E3">
      <w:pPr>
        <w:pStyle w:val="2"/>
        <w:rPr>
          <w:rFonts w:hint="eastAsia" w:ascii="仿宋" w:hAnsi="仿宋" w:eastAsia="仿宋" w:cs="仿宋"/>
          <w:kern w:val="0"/>
          <w:sz w:val="20"/>
          <w:szCs w:val="20"/>
          <w:lang w:val="en-US" w:eastAsia="zh-CN" w:bidi="ar-SA"/>
        </w:rPr>
      </w:pPr>
      <w:r>
        <w:rPr>
          <w:rFonts w:hint="eastAsia" w:ascii="仿宋" w:hAnsi="仿宋" w:eastAsia="仿宋" w:cs="仿宋"/>
          <w:kern w:val="0"/>
          <w:sz w:val="20"/>
          <w:szCs w:val="20"/>
          <w:lang w:val="en-US" w:eastAsia="zh-CN" w:bidi="ar-SA"/>
        </w:rPr>
        <w:t>①若体检现场参检人员突发疾病、检测仪器故障及其他不可抗力引发的各类突发状况建立应急处置方案；同时制定大批量参检人员集中到检的分流疏导方案，保障体检全过程安全、平稳、有序开展。</w:t>
      </w:r>
    </w:p>
    <w:p w14:paraId="0E40DA7C">
      <w:pPr>
        <w:rPr>
          <w:rFonts w:hint="eastAsia" w:ascii="仿宋" w:hAnsi="仿宋" w:eastAsia="仿宋" w:cs="仿宋"/>
          <w:color w:val="000000"/>
          <w:kern w:val="0"/>
          <w:sz w:val="20"/>
          <w:szCs w:val="20"/>
          <w:lang w:val="en-US" w:eastAsia="zh-CN" w:bidi="ar-SA"/>
        </w:rPr>
      </w:pPr>
      <w:r>
        <w:rPr>
          <w:rFonts w:hint="eastAsia" w:ascii="仿宋" w:hAnsi="仿宋" w:eastAsia="仿宋" w:cs="仿宋"/>
          <w:color w:val="000000"/>
          <w:kern w:val="0"/>
          <w:sz w:val="20"/>
          <w:szCs w:val="20"/>
          <w:lang w:val="en-US" w:eastAsia="zh-CN" w:bidi="ar-SA"/>
        </w:rPr>
        <w:t>②供应商应建立体检后服务对接机制，畅通流转联络渠道，落实报告编制、解读、随访服务，做好时效、保密、台账、投诉处置及回访保障。</w:t>
      </w:r>
    </w:p>
    <w:p w14:paraId="52AD8167">
      <w:pPr>
        <w:pStyle w:val="2"/>
        <w:jc w:val="both"/>
        <w:rPr>
          <w:rFonts w:hint="eastAsia" w:ascii="仿宋" w:hAnsi="仿宋" w:eastAsia="仿宋" w:cs="仿宋"/>
          <w:b/>
          <w:bCs/>
          <w:color w:val="000000" w:themeColor="text1"/>
          <w:sz w:val="20"/>
          <w:szCs w:val="20"/>
          <w:lang w:val="en-US" w:eastAsia="zh-CN"/>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附件1：男士体检套餐项目明细</w:t>
      </w:r>
    </w:p>
    <w:tbl>
      <w:tblPr>
        <w:tblStyle w:val="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41"/>
        <w:gridCol w:w="3958"/>
        <w:gridCol w:w="2523"/>
      </w:tblGrid>
      <w:tr w14:paraId="00085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7B170A">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男士体检套餐项目明细</w:t>
            </w:r>
          </w:p>
        </w:tc>
      </w:tr>
      <w:tr w14:paraId="1649E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E4D5">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体检类别</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1FC38">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体检项目名称</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C0748">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备注</w:t>
            </w:r>
          </w:p>
        </w:tc>
      </w:tr>
      <w:tr w14:paraId="7B564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8147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一般检查</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460A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一般检查</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FF901">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4AF6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955A">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口腔</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EE4F6">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口腔检查</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1AC56">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0E21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6E8F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内科</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62B0">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内科</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DD74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6C91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B9AE0">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眼科</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161E1">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lang w:val="en-US" w:eastAsia="zh-CN"/>
                <w14:textFill>
                  <w14:solidFill>
                    <w14:schemeClr w14:val="tx1"/>
                  </w14:solidFill>
                </w14:textFill>
              </w:rPr>
            </w:pPr>
            <w:r>
              <w:rPr>
                <w:rFonts w:hint="eastAsia" w:ascii="仿宋" w:hAnsi="仿宋" w:eastAsia="仿宋" w:cs="仿宋"/>
                <w:i w:val="0"/>
                <w:iCs w:val="0"/>
                <w:color w:val="000000" w:themeColor="text1"/>
                <w:sz w:val="20"/>
                <w:szCs w:val="20"/>
                <w:u w:val="none"/>
                <w:lang w:val="en-US" w:eastAsia="zh-CN"/>
                <w14:textFill>
                  <w14:solidFill>
                    <w14:schemeClr w14:val="tx1"/>
                  </w14:solidFill>
                </w14:textFill>
              </w:rPr>
              <w:t>眼科常规</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A8F9E">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FBC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EFA73">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5FDDE">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眼底检查</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BBF1">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52A5C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B967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血常规</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F49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血常规</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34CEA">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F891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CA4F1">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尿常规</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D373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尿常规</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876E">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6CF4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73BF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血糖</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3329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葡萄糖测定（空腹）</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BDF8">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B0AB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81A1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血脂</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EE5DF">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血脂四项</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E9D6D">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49AD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FA5A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肝功能</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76CF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肝功十三项</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5954">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9221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FDDCE">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肾功能</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C2777">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肾功三项</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C834">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75D96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59E77">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心脑血管检测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5493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心肌酶三项</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6ED7C">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6B547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12C4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758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血同型半胱氨酸</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F530E">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2243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6C16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肿瘤标志物</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50BB7">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甲胎蛋白(AFP)定性</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5457A">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EBC7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899F">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DD14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lang w:val="en-US"/>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癌胚抗原(CEA)定性</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53E4D">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72AA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EA10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幽门螺杆菌</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102CD">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C14呼气试验</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56CB8">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750A7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CD0F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lang w:val="en-US"/>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动脉硬化检查</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1AD71">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动脉硬化检查</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C8985">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FEAD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21B2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心电图</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D58D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常规心电图</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452D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9C16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6F008">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彩超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4CA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腹部彩超</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AE77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38B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D18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202A8">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泌尿系彩超</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50E8">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58265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30E09">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406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甲状腺彩超</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85B4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5235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FF73A">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35B0D">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心脏彩超</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A0AF4">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103B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5C67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D0A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颈动脉彩超</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A70D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47FC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restart"/>
            <w:tcBorders>
              <w:top w:val="single" w:color="000000" w:sz="4" w:space="0"/>
              <w:left w:val="single" w:color="000000" w:sz="4" w:space="0"/>
              <w:right w:val="single" w:color="000000" w:sz="4" w:space="0"/>
            </w:tcBorders>
            <w:shd w:val="clear" w:color="auto" w:fill="auto"/>
            <w:vAlign w:val="center"/>
          </w:tcPr>
          <w:p w14:paraId="13429C0A">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F390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CT胸部平扫</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B3755">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57F06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left w:val="single" w:color="000000" w:sz="4" w:space="0"/>
              <w:right w:val="single" w:color="000000" w:sz="4" w:space="0"/>
            </w:tcBorders>
            <w:shd w:val="clear" w:color="auto" w:fill="auto"/>
            <w:vAlign w:val="center"/>
          </w:tcPr>
          <w:p w14:paraId="4BBA9D1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5995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CT头颅平扫</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E90E7">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7F022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98" w:type="pct"/>
            <w:vMerge w:val="continue"/>
            <w:tcBorders>
              <w:left w:val="single" w:color="000000" w:sz="4" w:space="0"/>
              <w:bottom w:val="single" w:color="000000" w:sz="4" w:space="0"/>
              <w:right w:val="single" w:color="000000" w:sz="4" w:space="0"/>
            </w:tcBorders>
            <w:shd w:val="clear" w:color="auto" w:fill="auto"/>
            <w:vAlign w:val="center"/>
          </w:tcPr>
          <w:p w14:paraId="5885D723">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FCE4C">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钙化积分冠心病筛查</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87BB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bl>
    <w:p w14:paraId="4C738224">
      <w:pPr>
        <w:pStyle w:val="2"/>
        <w:jc w:val="both"/>
        <w:rPr>
          <w:rFonts w:hint="eastAsia" w:ascii="仿宋" w:hAnsi="仿宋" w:eastAsia="仿宋" w:cs="仿宋"/>
          <w:color w:val="000000" w:themeColor="text1"/>
          <w:sz w:val="20"/>
          <w:szCs w:val="20"/>
          <w:lang w:val="en-US" w:eastAsia="zh-CN"/>
          <w14:textFill>
            <w14:solidFill>
              <w14:schemeClr w14:val="tx1"/>
            </w14:solidFill>
          </w14:textFill>
        </w:rPr>
      </w:pPr>
    </w:p>
    <w:p w14:paraId="748AC56A">
      <w:pPr>
        <w:pStyle w:val="2"/>
        <w:jc w:val="both"/>
        <w:rPr>
          <w:rFonts w:hint="eastAsia" w:ascii="仿宋" w:hAnsi="仿宋" w:eastAsia="仿宋" w:cs="仿宋"/>
          <w:b/>
          <w:bCs/>
          <w:color w:val="000000" w:themeColor="text1"/>
          <w:sz w:val="20"/>
          <w:szCs w:val="20"/>
          <w:lang w:val="en-US" w:eastAsia="zh-CN"/>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附件2：女士体检套餐项目明细</w:t>
      </w:r>
    </w:p>
    <w:tbl>
      <w:tblPr>
        <w:tblStyle w:val="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79"/>
        <w:gridCol w:w="3528"/>
        <w:gridCol w:w="3215"/>
      </w:tblGrid>
      <w:tr w14:paraId="6769B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28BA28">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女士体检套餐项目明细</w:t>
            </w:r>
          </w:p>
        </w:tc>
      </w:tr>
      <w:tr w14:paraId="3A52C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199C7">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体检类别</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186E">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体检项目名称</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D0C19">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snapToGrid w:val="0"/>
                <w:color w:val="000000" w:themeColor="text1"/>
                <w:kern w:val="0"/>
                <w:sz w:val="20"/>
                <w:szCs w:val="20"/>
                <w:u w:val="none"/>
                <w:lang w:val="en-US" w:eastAsia="zh-CN" w:bidi="ar"/>
                <w14:textFill>
                  <w14:solidFill>
                    <w14:schemeClr w14:val="tx1"/>
                  </w14:solidFill>
                </w14:textFill>
              </w:rPr>
              <w:t>备注</w:t>
            </w:r>
          </w:p>
        </w:tc>
      </w:tr>
      <w:tr w14:paraId="6F214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EBD37">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一般检查</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ADC4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一般检查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91D8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3A4D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6B77B">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口腔</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CE138">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口腔检查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34FA7">
            <w:pPr>
              <w:jc w:val="center"/>
              <w:rPr>
                <w:rFonts w:hint="eastAsia" w:ascii="仿宋" w:hAnsi="仿宋" w:eastAsia="仿宋" w:cs="仿宋"/>
                <w:i w:val="0"/>
                <w:iCs w:val="0"/>
                <w:snapToGrid w:val="0"/>
                <w:color w:val="000000" w:themeColor="text1"/>
                <w:kern w:val="0"/>
                <w:sz w:val="20"/>
                <w:szCs w:val="20"/>
                <w:u w:val="none"/>
                <w:lang w:val="en-US" w:eastAsia="en-US" w:bidi="ar-SA"/>
                <w14:textFill>
                  <w14:solidFill>
                    <w14:schemeClr w14:val="tx1"/>
                  </w14:solidFill>
                </w14:textFill>
              </w:rPr>
            </w:pPr>
          </w:p>
        </w:tc>
      </w:tr>
      <w:tr w14:paraId="0B18B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F510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内科</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A41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内科</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85A2D">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996B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C39E2D">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眼科</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6C871">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眼科常规</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FE486">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32E3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E8B4">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C771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眼底检查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EE2F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7DB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right w:val="single" w:color="000000" w:sz="4" w:space="0"/>
            </w:tcBorders>
            <w:shd w:val="clear" w:color="auto" w:fill="auto"/>
            <w:vAlign w:val="center"/>
          </w:tcPr>
          <w:p w14:paraId="31C00BD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妇科</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096A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妇科检查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AB3D7">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2D2B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left w:val="single" w:color="000000" w:sz="4" w:space="0"/>
              <w:right w:val="single" w:color="000000" w:sz="4" w:space="0"/>
            </w:tcBorders>
            <w:shd w:val="clear" w:color="auto" w:fill="auto"/>
            <w:vAlign w:val="center"/>
          </w:tcPr>
          <w:p w14:paraId="00BBC86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0CA1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白带常规</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2DAE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AC67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left w:val="single" w:color="000000" w:sz="4" w:space="0"/>
              <w:bottom w:val="single" w:color="000000" w:sz="4" w:space="0"/>
              <w:right w:val="single" w:color="000000" w:sz="4" w:space="0"/>
            </w:tcBorders>
            <w:shd w:val="clear" w:color="auto" w:fill="auto"/>
            <w:vAlign w:val="center"/>
          </w:tcPr>
          <w:p w14:paraId="29D6E273">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F0D1E">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宫颈刮片</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69135">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635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3ECB9">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血常规</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3A2F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血常规</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A0A57">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03F9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0DE8A">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尿常规</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9F11D">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尿常规</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DF46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9765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9EE30">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血糖</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D5F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葡萄糖测定（空腹）</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AB4E6">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D6EE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CD1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血脂</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107E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血脂四项</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8EDAF">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DEFF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EFFF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肝功能</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E8F0D">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肝功十三项</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992D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4F22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08D4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肾功能</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EB8B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肾功三项</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49D4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55F2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E57AB">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心脑血管检测</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B21B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心肌酶三项</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B105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48628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7BB1A">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14D0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血同型半胱氨酸</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6487E">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67E27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7D543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肿瘤标志物</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877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甲胎蛋白(AFP)定性</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80C6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709AE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71197">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04F44">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癌胚抗原(CEA)定性</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36D1">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3809A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8DA7">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幽门螺杆菌</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30F0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C14呼气试验</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ABCA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D1F6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D01FE">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动脉硬化检查</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0CE3">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动脉硬化检查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DD7B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4C03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4E52F">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心电图</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4A605">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常规心电图</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DB738">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5D354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3FCC7A">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彩超</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DB32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腹部彩超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E3CAC">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41AC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E1924">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B41F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子宫附件彩超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07E1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73C9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66EC1">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F869A">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乳腺彩超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9DE7">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5AA88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90C6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5CB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甲状腺彩超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C3E6B">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0EAD7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5176D">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7BA06">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心脏彩超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C1CF">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9304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38632">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E6DC1">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颈动脉彩超</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3DB0">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33AB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44" w:type="pct"/>
            <w:vMerge w:val="restart"/>
            <w:tcBorders>
              <w:top w:val="single" w:color="000000" w:sz="4" w:space="0"/>
              <w:left w:val="single" w:color="000000" w:sz="4" w:space="0"/>
              <w:right w:val="single" w:color="000000" w:sz="4" w:space="0"/>
            </w:tcBorders>
            <w:shd w:val="clear" w:color="auto" w:fill="auto"/>
            <w:vAlign w:val="center"/>
          </w:tcPr>
          <w:p w14:paraId="7B30419C">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w:t>
            </w: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60D92">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CT胸部平扫</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3731">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24CF8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left w:val="single" w:color="000000" w:sz="4" w:space="0"/>
              <w:right w:val="single" w:color="000000" w:sz="4" w:space="0"/>
            </w:tcBorders>
            <w:shd w:val="clear" w:color="auto" w:fill="auto"/>
            <w:vAlign w:val="center"/>
          </w:tcPr>
          <w:p w14:paraId="1FE612E5">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0D5B0">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CT头颅平扫</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36963">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r>
      <w:tr w14:paraId="17BBC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44" w:type="pct"/>
            <w:vMerge w:val="continue"/>
            <w:tcBorders>
              <w:left w:val="single" w:color="000000" w:sz="4" w:space="0"/>
              <w:bottom w:val="single" w:color="000000" w:sz="4" w:space="0"/>
              <w:right w:val="single" w:color="000000" w:sz="4" w:space="0"/>
            </w:tcBorders>
            <w:shd w:val="clear" w:color="auto" w:fill="auto"/>
            <w:vAlign w:val="center"/>
          </w:tcPr>
          <w:p w14:paraId="21524B3C">
            <w:pPr>
              <w:jc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20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26D17">
            <w:pPr>
              <w:keepNext w:val="0"/>
              <w:keepLines w:val="0"/>
              <w:widowControl/>
              <w:suppressLineNumbers w:val="0"/>
              <w:jc w:val="center"/>
              <w:textAlignment w:val="cente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snapToGrid w:val="0"/>
                <w:color w:val="000000" w:themeColor="text1"/>
                <w:kern w:val="0"/>
                <w:sz w:val="20"/>
                <w:szCs w:val="20"/>
                <w:u w:val="none"/>
                <w:lang w:val="en-US" w:eastAsia="zh-CN" w:bidi="ar"/>
                <w14:textFill>
                  <w14:solidFill>
                    <w14:schemeClr w14:val="tx1"/>
                  </w14:solidFill>
                </w14:textFill>
              </w:rPr>
              <w:t>钙化积分冠心病筛查</w:t>
            </w:r>
          </w:p>
        </w:tc>
        <w:tc>
          <w:tcPr>
            <w:tcW w:w="1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339D">
            <w:pPr>
              <w:jc w:val="center"/>
              <w:rPr>
                <w:rFonts w:hint="eastAsia" w:ascii="仿宋" w:hAnsi="仿宋" w:eastAsia="仿宋" w:cs="仿宋"/>
                <w:i w:val="0"/>
                <w:iCs w:val="0"/>
                <w:snapToGrid w:val="0"/>
                <w:color w:val="000000" w:themeColor="text1"/>
                <w:kern w:val="0"/>
                <w:sz w:val="20"/>
                <w:szCs w:val="20"/>
                <w:u w:val="none"/>
                <w:lang w:val="en-US" w:eastAsia="en-US" w:bidi="ar-SA"/>
                <w14:textFill>
                  <w14:solidFill>
                    <w14:schemeClr w14:val="tx1"/>
                  </w14:solidFill>
                </w14:textFill>
              </w:rPr>
            </w:pPr>
          </w:p>
        </w:tc>
      </w:tr>
    </w:tbl>
    <w:p w14:paraId="7464D839">
      <w:pPr>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556588"/>
    <w:rsid w:val="61556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pPr>
    <w:rPr>
      <w:rFonts w:ascii="Calibri" w:hAnsi="Calibri" w:eastAsia="宋体" w:cs="Times New Roman"/>
      <w:color w:val="000000"/>
      <w:sz w:val="24"/>
      <w:lang w:val="en-US" w:eastAsia="zh-CN" w:bidi="ar-SA"/>
    </w:rPr>
  </w:style>
  <w:style w:type="paragraph" w:styleId="3">
    <w:name w:val="Body Text"/>
    <w:basedOn w:val="1"/>
    <w:next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2026-08-07T05:14:00Z</dcterms:created>
  <dc:creator>Lenovo</dc:creator>
  <cp:lastModifiedBy>Lenovo</cp:lastModifiedBy>
  <dcterms:modified xsi:type="dcterms:W3CDTF">2026-08-07T05:28:10Z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2882C13B21184852B3A671F86FBFDEE4_11</vt:lpwstr>
  </property>
  <property fmtid="{D5CDD505-2E9C-101B-9397-08002B2CF9AE}" pid="4" name="KSOTemplateDocerSaveRecord">
    <vt:lpwstr>eyJoZGlkIjoiZjdmN2JjMTBmOTIxY2MwYTkyYTRkYTkxMmM4MjYyNWEiLCJ1c2VySWQiOiI0NDgyMTE1NDUifQ==</vt:lpwstr>
  </property>
</Properties>
</file>