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版本号：SXHC2026-120.1B120260710002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清洁能源购置项目(二次)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SXHC2026-120.1B1</w:t>
      </w:r>
      <w:r>
        <w:br/>
      </w:r>
      <w:r>
        <w:br/>
      </w:r>
      <w:r>
        <w:br/>
      </w:r>
    </w:p>
    <w:p>
      <w:pPr>
        <w:pStyle w:val="null3"/>
        <w:jc w:val="center"/>
        <w:outlineLvl w:val="2"/>
      </w:pPr>
      <w:r>
        <w:rPr>
          <w:rFonts w:ascii="仿宋_GB2312" w:hAnsi="仿宋_GB2312" w:cs="仿宋_GB2312" w:eastAsia="仿宋_GB2312"/>
          <w:sz w:val="28"/>
          <w:b/>
        </w:rPr>
        <w:t>陕西周至国家级自然保护区管理局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陕西周至国家级自然保护区管理局</w:t>
      </w:r>
      <w:r>
        <w:rPr>
          <w:rFonts w:ascii="仿宋_GB2312" w:hAnsi="仿宋_GB2312" w:cs="仿宋_GB2312" w:eastAsia="仿宋_GB2312"/>
        </w:rPr>
        <w:t>委托，拟对</w:t>
      </w:r>
      <w:r>
        <w:rPr>
          <w:rFonts w:ascii="仿宋_GB2312" w:hAnsi="仿宋_GB2312" w:cs="仿宋_GB2312" w:eastAsia="仿宋_GB2312"/>
        </w:rPr>
        <w:t>清洁能源购置项目(二次)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SXHC2026-120.1B1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清洁能源购置项目(二次)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清洁能源购置。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采购包1（清洁能源购置项目）：属于专门面向中小企业采购。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3、履行本合同所必需的设备和专业技术能力：提供具有履行本合同所必需的设备和专业技术能力的书面声明。</w:t>
      </w:r>
    </w:p>
    <w:p>
      <w:pPr>
        <w:pStyle w:val="null3"/>
      </w:pPr>
      <w:r>
        <w:rPr>
          <w:rFonts w:ascii="仿宋_GB2312" w:hAnsi="仿宋_GB2312" w:cs="仿宋_GB2312" w:eastAsia="仿宋_GB2312"/>
        </w:rPr>
        <w:t>4、无重大违法记录书面声明：提供参加政府采购活动前3年内在经营活动中没有重大违法记录的书面声明。</w:t>
      </w:r>
    </w:p>
    <w:p>
      <w:pPr>
        <w:pStyle w:val="null3"/>
      </w:pPr>
      <w:r>
        <w:rPr>
          <w:rFonts w:ascii="仿宋_GB2312" w:hAnsi="仿宋_GB2312" w:cs="仿宋_GB2312" w:eastAsia="仿宋_GB2312"/>
        </w:rPr>
        <w:t>5、法定代表人身份证明或法定代表人授权委托书：法定代表人直接参加投标的，须提供法定代表人身份证明；法定代表人授权代表参加投标的，须提供法定代表人授权委托书（提供授权代表社保缴纳证明）。</w:t>
      </w:r>
    </w:p>
    <w:p>
      <w:pPr>
        <w:pStyle w:val="null3"/>
      </w:pPr>
      <w:r>
        <w:rPr>
          <w:rFonts w:ascii="仿宋_GB2312" w:hAnsi="仿宋_GB2312" w:cs="仿宋_GB2312" w:eastAsia="仿宋_GB2312"/>
        </w:rPr>
        <w:t>6、企业资质：供应商应具备有效的《危险化学品经营许可证》。</w:t>
      </w:r>
    </w:p>
    <w:p>
      <w:pPr>
        <w:pStyle w:val="null3"/>
      </w:pPr>
      <w:r>
        <w:rPr>
          <w:rFonts w:ascii="仿宋_GB2312" w:hAnsi="仿宋_GB2312" w:cs="仿宋_GB2312" w:eastAsia="仿宋_GB2312"/>
        </w:rPr>
        <w:t>7、信誉要求：供应商未列入“失信被执行人”、“重大税收违法案件当事人名单”和“政府采购严重违法失信行为记录名单”。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陕西周至国家级自然保护区管理局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周至县农商街2号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029-87113048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孙立博、赵凡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采购包1：557,400.00元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依据国家计委颁布《招标代理服务收费管理暂行办法》(计价格[2002]1980号)和国家发展和改革委员会办公厅颁发的《关于招标代理服务收费有关问题的通知》(发改办价格[2003]857号)文件规定按标准收取。 2、招标代理服务费可以采取现金、支票、银行汇票、电汇、网银等方式缴纳。 3、招标代理服务费缴纳信息： 银行户名：陕西华采招标有限公司 开户银行：招商银行陕西自贸试验区西安高新科技支行账号：129905942210666 联系人：韩工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陕西周至国家级自然保护区管理局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陕西周至国家级自然保护区管理局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陕西周至国家级自然保护区管理局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按照磋商文件及采购合同约定执行。</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联系电话：029-68255920-807</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本项目主要是为陕西周至国家级自然保护区管理局9个基层单位，冬季锅炉取暖及节能灶采购清洁能源燃料55.74万元，甲醇200吨。最远运输距离周至县城约110公里，9个基层站分别是： 1．双庙子保护站 2．小王涧保护站 3．黄草坡护林检查站 4．虎豹河护林检查站 5．安家岐保护站 6．板房子保护站 7．厚畛子保护站 8．老县城保护站 9. 自然教育实践站</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557,400.00</w:t>
      </w:r>
    </w:p>
    <w:p>
      <w:pPr>
        <w:pStyle w:val="null3"/>
      </w:pPr>
      <w:r>
        <w:rPr>
          <w:rFonts w:ascii="仿宋_GB2312" w:hAnsi="仿宋_GB2312" w:cs="仿宋_GB2312" w:eastAsia="仿宋_GB2312"/>
        </w:rPr>
        <w:t>采购包最高限价（元）: 557,400.00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购置甲醇燃料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557,400.00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标的名称：购置甲醇燃料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left"/>
            </w:pPr>
            <w:r>
              <w:rPr>
                <w:rFonts w:ascii="仿宋_GB2312" w:hAnsi="仿宋_GB2312" w:cs="仿宋_GB2312" w:eastAsia="仿宋_GB2312"/>
                <w:sz w:val="20"/>
                <w:b/>
                <w:color w:val="000000"/>
              </w:rPr>
              <w:t>一、项目概况</w:t>
            </w:r>
          </w:p>
          <w:p>
            <w:pPr>
              <w:pStyle w:val="null3"/>
              <w:ind w:firstLine="400"/>
              <w:jc w:val="left"/>
            </w:pPr>
            <w:r>
              <w:rPr>
                <w:rFonts w:ascii="仿宋_GB2312" w:hAnsi="仿宋_GB2312" w:cs="仿宋_GB2312" w:eastAsia="仿宋_GB2312"/>
                <w:sz w:val="20"/>
                <w:color w:val="000000"/>
              </w:rPr>
              <w:t>本项目主要是为陕西周至国家级自然保护区管理局</w:t>
            </w:r>
            <w:r>
              <w:rPr>
                <w:rFonts w:ascii="仿宋_GB2312" w:hAnsi="仿宋_GB2312" w:cs="仿宋_GB2312" w:eastAsia="仿宋_GB2312"/>
                <w:sz w:val="20"/>
                <w:color w:val="000000"/>
              </w:rPr>
              <w:t>9</w:t>
            </w:r>
            <w:r>
              <w:rPr>
                <w:rFonts w:ascii="仿宋_GB2312" w:hAnsi="仿宋_GB2312" w:cs="仿宋_GB2312" w:eastAsia="仿宋_GB2312"/>
                <w:sz w:val="20"/>
                <w:color w:val="000000"/>
              </w:rPr>
              <w:t>个基层单位，冬季锅炉取暖及节能灶采购清洁能源燃料</w:t>
            </w:r>
            <w:r>
              <w:rPr>
                <w:rFonts w:ascii="仿宋_GB2312" w:hAnsi="仿宋_GB2312" w:cs="仿宋_GB2312" w:eastAsia="仿宋_GB2312"/>
                <w:sz w:val="20"/>
                <w:color w:val="000000"/>
              </w:rPr>
              <w:t>55.74</w:t>
            </w:r>
            <w:r>
              <w:rPr>
                <w:rFonts w:ascii="仿宋_GB2312" w:hAnsi="仿宋_GB2312" w:cs="仿宋_GB2312" w:eastAsia="仿宋_GB2312"/>
                <w:sz w:val="20"/>
                <w:color w:val="000000"/>
              </w:rPr>
              <w:t>万元，</w:t>
            </w:r>
            <w:r>
              <w:rPr>
                <w:rFonts w:ascii="仿宋_GB2312" w:hAnsi="仿宋_GB2312" w:cs="仿宋_GB2312" w:eastAsia="仿宋_GB2312"/>
                <w:sz w:val="20"/>
                <w:color w:val="000000"/>
              </w:rPr>
              <w:t>甲醇</w:t>
            </w:r>
            <w:r>
              <w:rPr>
                <w:rFonts w:ascii="仿宋_GB2312" w:hAnsi="仿宋_GB2312" w:cs="仿宋_GB2312" w:eastAsia="仿宋_GB2312"/>
                <w:sz w:val="20"/>
                <w:color w:val="000000"/>
              </w:rPr>
              <w:t>200吨。</w:t>
            </w:r>
            <w:r>
              <w:rPr>
                <w:rFonts w:ascii="仿宋_GB2312" w:hAnsi="仿宋_GB2312" w:cs="仿宋_GB2312" w:eastAsia="仿宋_GB2312"/>
                <w:sz w:val="20"/>
                <w:color w:val="000000"/>
              </w:rPr>
              <w:t>最远运输距离周至县城约</w:t>
            </w:r>
            <w:r>
              <w:rPr>
                <w:rFonts w:ascii="仿宋_GB2312" w:hAnsi="仿宋_GB2312" w:cs="仿宋_GB2312" w:eastAsia="仿宋_GB2312"/>
                <w:sz w:val="20"/>
                <w:color w:val="000000"/>
              </w:rPr>
              <w:t>110公里，</w:t>
            </w:r>
            <w:r>
              <w:rPr>
                <w:rFonts w:ascii="仿宋_GB2312" w:hAnsi="仿宋_GB2312" w:cs="仿宋_GB2312" w:eastAsia="仿宋_GB2312"/>
                <w:sz w:val="20"/>
                <w:color w:val="000000"/>
              </w:rPr>
              <w:t>9</w:t>
            </w:r>
            <w:r>
              <w:rPr>
                <w:rFonts w:ascii="仿宋_GB2312" w:hAnsi="仿宋_GB2312" w:cs="仿宋_GB2312" w:eastAsia="仿宋_GB2312"/>
                <w:sz w:val="20"/>
                <w:color w:val="000000"/>
              </w:rPr>
              <w:t>个基层站分别是：</w:t>
            </w:r>
          </w:p>
          <w:p>
            <w:pPr>
              <w:pStyle w:val="null3"/>
              <w:ind w:firstLine="400"/>
              <w:jc w:val="left"/>
            </w:pPr>
            <w:r>
              <w:rPr>
                <w:rFonts w:ascii="仿宋_GB2312" w:hAnsi="仿宋_GB2312" w:cs="仿宋_GB2312" w:eastAsia="仿宋_GB2312"/>
                <w:sz w:val="20"/>
                <w:color w:val="000000"/>
              </w:rPr>
              <w:t>1．双庙子保护站</w:t>
            </w:r>
          </w:p>
          <w:p>
            <w:pPr>
              <w:pStyle w:val="null3"/>
              <w:ind w:firstLine="400"/>
              <w:jc w:val="left"/>
            </w:pPr>
            <w:r>
              <w:rPr>
                <w:rFonts w:ascii="仿宋_GB2312" w:hAnsi="仿宋_GB2312" w:cs="仿宋_GB2312" w:eastAsia="仿宋_GB2312"/>
                <w:sz w:val="20"/>
                <w:color w:val="000000"/>
              </w:rPr>
              <w:t>2．小王涧保护站</w:t>
            </w:r>
          </w:p>
          <w:p>
            <w:pPr>
              <w:pStyle w:val="null3"/>
              <w:ind w:firstLine="400"/>
              <w:jc w:val="left"/>
            </w:pPr>
            <w:r>
              <w:rPr>
                <w:rFonts w:ascii="仿宋_GB2312" w:hAnsi="仿宋_GB2312" w:cs="仿宋_GB2312" w:eastAsia="仿宋_GB2312"/>
                <w:sz w:val="20"/>
                <w:color w:val="000000"/>
              </w:rPr>
              <w:t>3．黄草坡护林检查站</w:t>
            </w:r>
          </w:p>
          <w:p>
            <w:pPr>
              <w:pStyle w:val="null3"/>
              <w:ind w:firstLine="400"/>
              <w:jc w:val="left"/>
            </w:pPr>
            <w:r>
              <w:rPr>
                <w:rFonts w:ascii="仿宋_GB2312" w:hAnsi="仿宋_GB2312" w:cs="仿宋_GB2312" w:eastAsia="仿宋_GB2312"/>
                <w:sz w:val="20"/>
                <w:color w:val="000000"/>
              </w:rPr>
              <w:t>4．虎豹河护林检查站</w:t>
            </w:r>
          </w:p>
          <w:p>
            <w:pPr>
              <w:pStyle w:val="null3"/>
              <w:ind w:firstLine="400"/>
              <w:jc w:val="left"/>
            </w:pPr>
            <w:r>
              <w:rPr>
                <w:rFonts w:ascii="仿宋_GB2312" w:hAnsi="仿宋_GB2312" w:cs="仿宋_GB2312" w:eastAsia="仿宋_GB2312"/>
                <w:sz w:val="20"/>
                <w:color w:val="000000"/>
              </w:rPr>
              <w:t>5．安家岐保护站</w:t>
            </w:r>
          </w:p>
          <w:p>
            <w:pPr>
              <w:pStyle w:val="null3"/>
              <w:ind w:firstLine="400"/>
              <w:jc w:val="left"/>
            </w:pPr>
            <w:r>
              <w:rPr>
                <w:rFonts w:ascii="仿宋_GB2312" w:hAnsi="仿宋_GB2312" w:cs="仿宋_GB2312" w:eastAsia="仿宋_GB2312"/>
                <w:sz w:val="20"/>
                <w:color w:val="000000"/>
              </w:rPr>
              <w:t>6．板房子保护站</w:t>
            </w:r>
          </w:p>
          <w:p>
            <w:pPr>
              <w:pStyle w:val="null3"/>
              <w:ind w:firstLine="400"/>
              <w:jc w:val="left"/>
            </w:pPr>
            <w:r>
              <w:rPr>
                <w:rFonts w:ascii="仿宋_GB2312" w:hAnsi="仿宋_GB2312" w:cs="仿宋_GB2312" w:eastAsia="仿宋_GB2312"/>
                <w:sz w:val="20"/>
                <w:color w:val="000000"/>
              </w:rPr>
              <w:t>7．厚畛子保护站</w:t>
            </w:r>
          </w:p>
          <w:p>
            <w:pPr>
              <w:pStyle w:val="null3"/>
              <w:ind w:firstLine="400"/>
              <w:jc w:val="left"/>
            </w:pPr>
            <w:r>
              <w:rPr>
                <w:rFonts w:ascii="仿宋_GB2312" w:hAnsi="仿宋_GB2312" w:cs="仿宋_GB2312" w:eastAsia="仿宋_GB2312"/>
                <w:sz w:val="20"/>
                <w:color w:val="000000"/>
              </w:rPr>
              <w:t>8．老县城</w:t>
            </w:r>
            <w:r>
              <w:rPr>
                <w:rFonts w:ascii="仿宋_GB2312" w:hAnsi="仿宋_GB2312" w:cs="仿宋_GB2312" w:eastAsia="仿宋_GB2312"/>
                <w:sz w:val="20"/>
                <w:color w:val="000000"/>
              </w:rPr>
              <w:t>保护站</w:t>
            </w:r>
          </w:p>
          <w:p>
            <w:pPr>
              <w:pStyle w:val="null3"/>
              <w:ind w:firstLine="400"/>
            </w:pPr>
            <w:r>
              <w:rPr>
                <w:rFonts w:ascii="仿宋_GB2312" w:hAnsi="仿宋_GB2312" w:cs="仿宋_GB2312" w:eastAsia="仿宋_GB2312"/>
                <w:sz w:val="20"/>
                <w:color w:val="000000"/>
              </w:rPr>
              <w:t>9. 自然教育实践站</w:t>
            </w:r>
          </w:p>
          <w:p>
            <w:pPr>
              <w:pStyle w:val="null3"/>
              <w:ind w:firstLine="402"/>
              <w:jc w:val="left"/>
            </w:pPr>
            <w:r>
              <w:rPr>
                <w:rFonts w:ascii="仿宋_GB2312" w:hAnsi="仿宋_GB2312" w:cs="仿宋_GB2312" w:eastAsia="仿宋_GB2312"/>
                <w:sz w:val="20"/>
                <w:b/>
                <w:color w:val="000000"/>
              </w:rPr>
              <w:t>二、技术要求</w:t>
            </w:r>
          </w:p>
          <w:p>
            <w:pPr>
              <w:pStyle w:val="null3"/>
              <w:ind w:firstLine="400"/>
              <w:jc w:val="left"/>
            </w:pPr>
            <w:r>
              <w:rPr>
                <w:rFonts w:ascii="仿宋_GB2312" w:hAnsi="仿宋_GB2312" w:cs="仿宋_GB2312" w:eastAsia="仿宋_GB2312"/>
                <w:sz w:val="20"/>
                <w:color w:val="000000"/>
              </w:rPr>
              <w:t>甲醇燃料技术要求</w:t>
            </w:r>
          </w:p>
          <w:tbl>
            <w:tblPr>
              <w:tblBorders>
                <w:top w:val="none" w:color="000000" w:sz="4"/>
                <w:left w:val="none" w:color="000000" w:sz="4"/>
                <w:bottom w:val="none" w:color="000000" w:sz="4"/>
                <w:right w:val="none" w:color="000000" w:sz="4"/>
                <w:insideH w:val="none"/>
                <w:insideV w:val="none"/>
              </w:tblBorders>
            </w:tblPr>
            <w:tblGrid>
              <w:gridCol w:w="722"/>
              <w:gridCol w:w="1830"/>
            </w:tblGrid>
            <w:tr>
              <w:tc>
                <w:tcPr>
                  <w:tcW w:type="dxa" w:w="722"/>
                  <w:tcBorders>
                    <w:top w:val="single" w:color="000000" w:sz="8"/>
                    <w:left w:val="single" w:color="000000" w:sz="8"/>
                    <w:bottom w:val="single" w:color="000000" w:sz="4"/>
                    <w:right w:val="single" w:color="000000" w:sz="4"/>
                  </w:tcBorders>
                  <w:shd w:fill="F1F1F1"/>
                  <w:tcMar>
                    <w:top w:type="dxa" w:w="15"/>
                    <w:left w:type="dxa" w:w="15"/>
                    <w:bottom w:type="dxa" w:w="15"/>
                    <w:right w:type="dxa" w:w="15"/>
                  </w:tcMar>
                  <w:vAlign w:val="top"/>
                </w:tcPr>
                <w:p>
                  <w:pPr>
                    <w:pStyle w:val="null3"/>
                    <w:jc w:val="center"/>
                  </w:pPr>
                  <w:r>
                    <w:rPr>
                      <w:rFonts w:ascii="仿宋_GB2312" w:hAnsi="仿宋_GB2312" w:cs="仿宋_GB2312" w:eastAsia="仿宋_GB2312"/>
                      <w:sz w:val="20"/>
                      <w:b/>
                      <w:color w:val="000000"/>
                    </w:rPr>
                    <w:t>指标名称</w:t>
                  </w:r>
                </w:p>
              </w:tc>
              <w:tc>
                <w:tcPr>
                  <w:tcW w:type="dxa" w:w="1830"/>
                  <w:tcBorders>
                    <w:top w:val="single" w:color="000000" w:sz="8"/>
                    <w:left w:val="single" w:color="000000" w:sz="4"/>
                    <w:bottom w:val="single" w:color="000000" w:sz="4"/>
                    <w:right w:val="single" w:color="000000" w:sz="8"/>
                  </w:tcBorders>
                  <w:shd w:fill="F1F1F1"/>
                  <w:tcMar>
                    <w:top w:type="dxa" w:w="15"/>
                    <w:left w:type="dxa" w:w="15"/>
                    <w:bottom w:type="dxa" w:w="15"/>
                    <w:right w:type="dxa" w:w="15"/>
                  </w:tcMar>
                  <w:vAlign w:val="top"/>
                </w:tcPr>
                <w:p>
                  <w:pPr>
                    <w:pStyle w:val="null3"/>
                    <w:jc w:val="center"/>
                  </w:pPr>
                  <w:r>
                    <w:rPr>
                      <w:rFonts w:ascii="仿宋_GB2312" w:hAnsi="仿宋_GB2312" w:cs="仿宋_GB2312" w:eastAsia="仿宋_GB2312"/>
                      <w:sz w:val="20"/>
                      <w:b/>
                      <w:color w:val="000000"/>
                    </w:rPr>
                    <w:t>指标</w:t>
                  </w:r>
                </w:p>
              </w:tc>
            </w:tr>
            <w:tr>
              <w:tc>
                <w:tcPr>
                  <w:tcW w:type="dxa" w:w="722"/>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0"/>
                      <w:color w:val="000000"/>
                    </w:rPr>
                    <w:t>醇含量，</w:t>
                  </w:r>
                  <w:r>
                    <w:rPr>
                      <w:rFonts w:ascii="仿宋_GB2312" w:hAnsi="仿宋_GB2312" w:cs="仿宋_GB2312" w:eastAsia="仿宋_GB2312"/>
                      <w:sz w:val="20"/>
                      <w:color w:val="000000"/>
                    </w:rPr>
                    <w:t>%</w:t>
                  </w:r>
                </w:p>
              </w:tc>
              <w:tc>
                <w:tcPr>
                  <w:tcW w:type="dxa" w:w="1830"/>
                  <w:tcBorders>
                    <w:top w:val="non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≥70</w:t>
                  </w:r>
                </w:p>
              </w:tc>
            </w:tr>
            <w:tr>
              <w:tc>
                <w:tcPr>
                  <w:tcW w:type="dxa" w:w="722"/>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0"/>
                      <w:color w:val="000000"/>
                    </w:rPr>
                    <w:t>密度（</w:t>
                  </w:r>
                  <w:r>
                    <w:rPr>
                      <w:rFonts w:ascii="仿宋_GB2312" w:hAnsi="仿宋_GB2312" w:cs="仿宋_GB2312" w:eastAsia="仿宋_GB2312"/>
                      <w:sz w:val="20"/>
                      <w:color w:val="000000"/>
                    </w:rPr>
                    <w:t>20℃），g/cm</w:t>
                  </w:r>
                  <w:r>
                    <w:rPr>
                      <w:rFonts w:ascii="仿宋_GB2312" w:hAnsi="仿宋_GB2312" w:cs="仿宋_GB2312" w:eastAsia="仿宋_GB2312"/>
                      <w:sz w:val="20"/>
                      <w:color w:val="000000"/>
                      <w:vertAlign w:val="superscript"/>
                    </w:rPr>
                    <w:t>3</w:t>
                  </w:r>
                </w:p>
              </w:tc>
              <w:tc>
                <w:tcPr>
                  <w:tcW w:type="dxa" w:w="1830"/>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≤0.83</w:t>
                  </w:r>
                </w:p>
              </w:tc>
            </w:tr>
            <w:tr>
              <w:tc>
                <w:tcPr>
                  <w:tcW w:type="dxa" w:w="722"/>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0"/>
                      <w:color w:val="000000"/>
                    </w:rPr>
                    <w:t>机械杂质，</w:t>
                  </w:r>
                  <w:r>
                    <w:rPr>
                      <w:rFonts w:ascii="仿宋_GB2312" w:hAnsi="仿宋_GB2312" w:cs="仿宋_GB2312" w:eastAsia="仿宋_GB2312"/>
                      <w:sz w:val="20"/>
                      <w:color w:val="000000"/>
                    </w:rPr>
                    <w:t>%</w:t>
                  </w:r>
                </w:p>
              </w:tc>
              <w:tc>
                <w:tcPr>
                  <w:tcW w:type="dxa" w:w="1830"/>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0.02</w:t>
                  </w:r>
                </w:p>
              </w:tc>
            </w:tr>
            <w:tr>
              <w:tc>
                <w:tcPr>
                  <w:tcW w:type="dxa" w:w="722"/>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0"/>
                      <w:color w:val="000000"/>
                    </w:rPr>
                    <w:t>凝点，</w:t>
                  </w:r>
                  <w:r>
                    <w:rPr>
                      <w:rFonts w:ascii="仿宋_GB2312" w:hAnsi="仿宋_GB2312" w:cs="仿宋_GB2312" w:eastAsia="仿宋_GB2312"/>
                      <w:sz w:val="20"/>
                      <w:color w:val="000000"/>
                    </w:rPr>
                    <w:t>℃</w:t>
                  </w:r>
                </w:p>
              </w:tc>
              <w:tc>
                <w:tcPr>
                  <w:tcW w:type="dxa" w:w="1830"/>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-30</w:t>
                  </w:r>
                </w:p>
              </w:tc>
            </w:tr>
            <w:tr>
              <w:tc>
                <w:tcPr>
                  <w:tcW w:type="dxa" w:w="722"/>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0"/>
                      <w:color w:val="000000"/>
                    </w:rPr>
                    <w:t>引燃温度，</w:t>
                  </w:r>
                  <w:r>
                    <w:rPr>
                      <w:rFonts w:ascii="仿宋_GB2312" w:hAnsi="仿宋_GB2312" w:cs="仿宋_GB2312" w:eastAsia="仿宋_GB2312"/>
                      <w:sz w:val="20"/>
                      <w:color w:val="000000"/>
                    </w:rPr>
                    <w:t>℃</w:t>
                  </w:r>
                </w:p>
              </w:tc>
              <w:tc>
                <w:tcPr>
                  <w:tcW w:type="dxa" w:w="1830"/>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200</w:t>
                  </w:r>
                </w:p>
              </w:tc>
            </w:tr>
            <w:tr>
              <w:tc>
                <w:tcPr>
                  <w:tcW w:type="dxa" w:w="722"/>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0"/>
                      <w:color w:val="000000"/>
                    </w:rPr>
                    <w:t>PH值</w:t>
                  </w:r>
                </w:p>
              </w:tc>
              <w:tc>
                <w:tcPr>
                  <w:tcW w:type="dxa" w:w="1830"/>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6～8</w:t>
                  </w:r>
                </w:p>
              </w:tc>
            </w:tr>
            <w:tr>
              <w:tc>
                <w:tcPr>
                  <w:tcW w:type="dxa" w:w="722"/>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0"/>
                      <w:color w:val="000000"/>
                    </w:rPr>
                    <w:t>50%馏出温度，℃</w:t>
                  </w:r>
                </w:p>
              </w:tc>
              <w:tc>
                <w:tcPr>
                  <w:tcW w:type="dxa" w:w="1830"/>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80</w:t>
                  </w:r>
                </w:p>
              </w:tc>
            </w:tr>
            <w:tr>
              <w:tc>
                <w:tcPr>
                  <w:tcW w:type="dxa" w:w="722"/>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0"/>
                      <w:color w:val="000000"/>
                    </w:rPr>
                    <w:t>总硫含量，</w:t>
                  </w:r>
                  <w:r>
                    <w:rPr>
                      <w:rFonts w:ascii="仿宋_GB2312" w:hAnsi="仿宋_GB2312" w:cs="仿宋_GB2312" w:eastAsia="仿宋_GB2312"/>
                      <w:sz w:val="20"/>
                      <w:color w:val="000000"/>
                    </w:rPr>
                    <w:t>%</w:t>
                  </w:r>
                </w:p>
              </w:tc>
              <w:tc>
                <w:tcPr>
                  <w:tcW w:type="dxa" w:w="1830"/>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0.010</w:t>
                  </w:r>
                </w:p>
              </w:tc>
            </w:tr>
            <w:tr>
              <w:tc>
                <w:tcPr>
                  <w:tcW w:type="dxa" w:w="722"/>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0"/>
                      <w:color w:val="000000"/>
                    </w:rPr>
                    <w:t>低热值，</w:t>
                  </w:r>
                  <w:r>
                    <w:rPr>
                      <w:rFonts w:ascii="仿宋_GB2312" w:hAnsi="仿宋_GB2312" w:cs="仿宋_GB2312" w:eastAsia="仿宋_GB2312"/>
                      <w:sz w:val="20"/>
                      <w:color w:val="000000"/>
                    </w:rPr>
                    <w:t>kj/kg</w:t>
                  </w:r>
                </w:p>
              </w:tc>
              <w:tc>
                <w:tcPr>
                  <w:tcW w:type="dxa" w:w="1830"/>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21 000</w:t>
                  </w:r>
                </w:p>
              </w:tc>
            </w:tr>
            <w:tr>
              <w:tc>
                <w:tcPr>
                  <w:tcW w:type="dxa" w:w="722"/>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0"/>
                      <w:color w:val="000000"/>
                    </w:rPr>
                    <w:t>稳定性（</w:t>
                  </w:r>
                  <w:r>
                    <w:rPr>
                      <w:rFonts w:ascii="仿宋_GB2312" w:hAnsi="仿宋_GB2312" w:cs="仿宋_GB2312" w:eastAsia="仿宋_GB2312"/>
                      <w:sz w:val="20"/>
                      <w:color w:val="000000"/>
                    </w:rPr>
                    <w:t>-20℃）</w:t>
                  </w:r>
                </w:p>
              </w:tc>
              <w:tc>
                <w:tcPr>
                  <w:tcW w:type="dxa" w:w="1830"/>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不分层</w:t>
                  </w:r>
                </w:p>
              </w:tc>
            </w:tr>
            <w:tr>
              <w:tc>
                <w:tcPr>
                  <w:tcW w:type="dxa" w:w="722"/>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甲醛试验</w:t>
                  </w:r>
                </w:p>
              </w:tc>
              <w:tc>
                <w:tcPr>
                  <w:tcW w:type="dxa" w:w="1830"/>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品红不呈蓝色</w:t>
                  </w:r>
                </w:p>
              </w:tc>
            </w:tr>
            <w:tr>
              <w:tc>
                <w:tcPr>
                  <w:tcW w:type="dxa" w:w="2552"/>
                  <w:gridSpan w:val="2"/>
                  <w:tcBorders>
                    <w:top w:val="single" w:color="000000" w:sz="4"/>
                    <w:left w:val="single" w:color="000000" w:sz="8"/>
                    <w:bottom w:val="single" w:color="000000" w:sz="4"/>
                    <w:right w:val="single" w:color="000000" w:sz="8"/>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燃料配方中不允许有下列行为：</w:t>
                  </w:r>
                  <w:r>
                    <w:rPr>
                      <w:rFonts w:ascii="仿宋_GB2312" w:hAnsi="仿宋_GB2312" w:cs="仿宋_GB2312" w:eastAsia="仿宋_GB2312"/>
                      <w:sz w:val="20"/>
                      <w:color w:val="000000"/>
                    </w:rPr>
                    <w:t>1.所加烃类中的芳烃含量＜40%；2.加任何无机盐、卤代烃和硝基化合物</w:t>
                  </w:r>
                </w:p>
              </w:tc>
            </w:tr>
            <w:tr>
              <w:tc>
                <w:tcPr>
                  <w:tcW w:type="dxa" w:w="2552"/>
                  <w:gridSpan w:val="2"/>
                  <w:tcBorders>
                    <w:top w:val="single" w:color="000000" w:sz="4"/>
                    <w:left w:val="single" w:color="000000" w:sz="8"/>
                    <w:bottom w:val="single" w:color="000000" w:sz="4"/>
                    <w:right w:val="single" w:color="000000" w:sz="8"/>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燃料为均匀的透明液体，无恶臭。</w:t>
                  </w:r>
                </w:p>
              </w:tc>
            </w:tr>
            <w:tr>
              <w:tc>
                <w:tcPr>
                  <w:tcW w:type="dxa" w:w="2552"/>
                  <w:gridSpan w:val="2"/>
                  <w:tcBorders>
                    <w:top w:val="single" w:color="000000" w:sz="4"/>
                    <w:left w:val="single" w:color="000000" w:sz="8"/>
                    <w:bottom w:val="single" w:color="000000" w:sz="4"/>
                    <w:right w:val="single" w:color="000000" w:sz="8"/>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燃烧要求：无烟、无味、燃烧后炉头无明显积碳、胶质残渣</w:t>
                  </w:r>
                </w:p>
              </w:tc>
            </w:tr>
            <w:tr>
              <w:tc>
                <w:tcPr>
                  <w:tcW w:type="dxa" w:w="2552"/>
                  <w:gridSpan w:val="2"/>
                  <w:tcBorders>
                    <w:top w:val="singl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产品符合</w:t>
                  </w:r>
                  <w:r>
                    <w:rPr>
                      <w:rFonts w:ascii="仿宋_GB2312" w:hAnsi="仿宋_GB2312" w:cs="仿宋_GB2312" w:eastAsia="仿宋_GB2312"/>
                      <w:sz w:val="20"/>
                      <w:color w:val="000000"/>
                    </w:rPr>
                    <w:t>GB16663-1996醇基液态燃料国家标准。</w:t>
                  </w:r>
                </w:p>
              </w:tc>
            </w:tr>
          </w:tbl>
          <w:p>
            <w:pPr>
              <w:pStyle w:val="null3"/>
              <w:ind w:firstLine="402"/>
              <w:jc w:val="left"/>
            </w:pPr>
            <w:r>
              <w:rPr>
                <w:rFonts w:ascii="仿宋_GB2312" w:hAnsi="仿宋_GB2312" w:cs="仿宋_GB2312" w:eastAsia="仿宋_GB2312"/>
                <w:sz w:val="20"/>
                <w:b/>
                <w:color w:val="000000"/>
              </w:rPr>
              <w:t>三、实施要求</w:t>
            </w:r>
          </w:p>
          <w:p>
            <w:pPr>
              <w:pStyle w:val="null3"/>
              <w:ind w:firstLine="400"/>
              <w:jc w:val="left"/>
            </w:pPr>
            <w:r>
              <w:rPr>
                <w:rFonts w:ascii="仿宋_GB2312" w:hAnsi="仿宋_GB2312" w:cs="仿宋_GB2312" w:eastAsia="仿宋_GB2312"/>
                <w:sz w:val="20"/>
                <w:color w:val="000000"/>
              </w:rPr>
              <w:t>★（一）甲醇燃料运输和装卸由</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负责。</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具备下述运输条件的，可以自行运输；不具备运输条件的，应当委托第三方专业运输单位。无论自行运输还是委托运输，</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都应保证甲醇燃料能安全、准时运输到采购人指定地点，并承担运输和装卸过程中的一切风险和责任。</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供应商需对以上运输及装卸要求提供承诺书，格式自拟</w:t>
            </w:r>
            <w:r>
              <w:rPr>
                <w:rFonts w:ascii="仿宋_GB2312" w:hAnsi="仿宋_GB2312" w:cs="仿宋_GB2312" w:eastAsia="仿宋_GB2312"/>
                <w:sz w:val="20"/>
                <w:b/>
                <w:color w:val="000000"/>
              </w:rPr>
              <w:t>）。</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二</w:t>
            </w:r>
            <w:r>
              <w:rPr>
                <w:rFonts w:ascii="仿宋_GB2312" w:hAnsi="仿宋_GB2312" w:cs="仿宋_GB2312" w:eastAsia="仿宋_GB2312"/>
                <w:sz w:val="20"/>
                <w:color w:val="000000"/>
              </w:rPr>
              <w:t>）</w:t>
            </w:r>
            <w:r>
              <w:rPr>
                <w:rFonts w:ascii="仿宋_GB2312" w:hAnsi="仿宋_GB2312" w:cs="仿宋_GB2312" w:eastAsia="仿宋_GB2312"/>
                <w:sz w:val="20"/>
                <w:color w:val="000000"/>
              </w:rPr>
              <w:t>供应商自行运输应满足的条件</w:t>
            </w:r>
          </w:p>
          <w:p>
            <w:pPr>
              <w:pStyle w:val="null3"/>
              <w:ind w:firstLine="40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应提供《运输和装卸安全承诺书》。</w:t>
            </w:r>
          </w:p>
          <w:p>
            <w:pPr>
              <w:pStyle w:val="null3"/>
              <w:ind w:firstLine="400"/>
              <w:jc w:val="left"/>
            </w:pPr>
            <w:r>
              <w:rPr>
                <w:rFonts w:ascii="仿宋_GB2312" w:hAnsi="仿宋_GB2312" w:cs="仿宋_GB2312" w:eastAsia="仿宋_GB2312"/>
                <w:sz w:val="20"/>
                <w:color w:val="000000"/>
              </w:rPr>
              <w:t>2、负责运输的单位必须具备《危险化学品道路运输许可证》。</w:t>
            </w:r>
          </w:p>
          <w:p>
            <w:pPr>
              <w:pStyle w:val="null3"/>
              <w:ind w:firstLine="400"/>
              <w:jc w:val="left"/>
            </w:pPr>
            <w:r>
              <w:rPr>
                <w:rFonts w:ascii="仿宋_GB2312" w:hAnsi="仿宋_GB2312" w:cs="仿宋_GB2312" w:eastAsia="仿宋_GB2312"/>
                <w:sz w:val="20"/>
                <w:color w:val="000000"/>
              </w:rPr>
              <w:t>3、运输车辆：必须使用危险化学品运输专用车辆运送甲醇燃料。运输车辆必须具备在水源地管理部门备案的条件，在响应文件中提交备案承诺书；所列运输车辆专用车辆注册在运输单位名下，技术要求应当符合《道路运输车辆技术管理规定》有关规定，且载重均在1.2吨及以上，提供全部车辆《道路危险货物非营运运输证》和运输单位名下的车辆行驶证扫描件。</w:t>
            </w:r>
          </w:p>
          <w:p>
            <w:pPr>
              <w:pStyle w:val="null3"/>
              <w:ind w:firstLine="400"/>
              <w:jc w:val="left"/>
            </w:pPr>
            <w:r>
              <w:rPr>
                <w:rFonts w:ascii="仿宋_GB2312" w:hAnsi="仿宋_GB2312" w:cs="仿宋_GB2312" w:eastAsia="仿宋_GB2312"/>
                <w:sz w:val="20"/>
                <w:color w:val="000000"/>
              </w:rPr>
              <w:t>4、运输人员：为该项目运输至少配备一组驾驶员（须具有《道路危险货物运输驾驶员从业资格证》）及押运人员（须具备《道路危险货物运输押运人员从业资格证》）</w:t>
            </w:r>
            <w:r>
              <w:rPr>
                <w:rFonts w:ascii="仿宋_GB2312" w:hAnsi="仿宋_GB2312" w:cs="仿宋_GB2312" w:eastAsia="仿宋_GB2312"/>
                <w:sz w:val="20"/>
                <w:color w:val="000000"/>
              </w:rPr>
              <w:t>。</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三</w:t>
            </w:r>
            <w:r>
              <w:rPr>
                <w:rFonts w:ascii="仿宋_GB2312" w:hAnsi="仿宋_GB2312" w:cs="仿宋_GB2312" w:eastAsia="仿宋_GB2312"/>
                <w:sz w:val="20"/>
                <w:color w:val="000000"/>
              </w:rPr>
              <w:t>）因供应商运输和装卸过程中未按照相关安全规定运输燃料，导致燃料爆炸或者</w:t>
            </w:r>
            <w:r>
              <w:rPr>
                <w:rFonts w:ascii="仿宋_GB2312" w:hAnsi="仿宋_GB2312" w:cs="仿宋_GB2312" w:eastAsia="仿宋_GB2312"/>
                <w:sz w:val="20"/>
                <w:color w:val="000000"/>
              </w:rPr>
              <w:t>泄漏</w:t>
            </w:r>
            <w:r>
              <w:rPr>
                <w:rFonts w:ascii="仿宋_GB2312" w:hAnsi="仿宋_GB2312" w:cs="仿宋_GB2312" w:eastAsia="仿宋_GB2312"/>
                <w:sz w:val="20"/>
                <w:color w:val="000000"/>
              </w:rPr>
              <w:t>的，责任由供应商全部承担。</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四</w:t>
            </w:r>
            <w:r>
              <w:rPr>
                <w:rFonts w:ascii="仿宋_GB2312" w:hAnsi="仿宋_GB2312" w:cs="仿宋_GB2312" w:eastAsia="仿宋_GB2312"/>
                <w:sz w:val="20"/>
                <w:color w:val="000000"/>
              </w:rPr>
              <w:t>）合同有效期内，免费为采购人提供锅炉维修维护和供暖管道清洗服务。</w:t>
            </w:r>
          </w:p>
          <w:p>
            <w:pPr>
              <w:pStyle w:val="null3"/>
              <w:ind w:firstLine="301"/>
              <w:jc w:val="left"/>
            </w:pPr>
            <w:r>
              <w:rPr>
                <w:rFonts w:ascii="仿宋_GB2312" w:hAnsi="仿宋_GB2312" w:cs="仿宋_GB2312" w:eastAsia="仿宋_GB2312"/>
                <w:sz w:val="20"/>
                <w:b/>
                <w:color w:val="000000"/>
              </w:rPr>
              <w:t>四、商务要求</w:t>
            </w:r>
          </w:p>
          <w:p>
            <w:pPr>
              <w:pStyle w:val="null3"/>
              <w:ind w:firstLine="400"/>
              <w:jc w:val="left"/>
            </w:pPr>
            <w:r>
              <w:rPr>
                <w:rFonts w:ascii="仿宋_GB2312" w:hAnsi="仿宋_GB2312" w:cs="仿宋_GB2312" w:eastAsia="仿宋_GB2312"/>
                <w:sz w:val="20"/>
                <w:color w:val="000000"/>
              </w:rPr>
              <w:t>（一）合同有效期：</w:t>
            </w:r>
            <w:r>
              <w:rPr>
                <w:rFonts w:ascii="仿宋_GB2312" w:hAnsi="仿宋_GB2312" w:cs="仿宋_GB2312" w:eastAsia="仿宋_GB2312"/>
                <w:sz w:val="20"/>
                <w:color w:val="000000"/>
              </w:rPr>
              <w:t>202</w:t>
            </w:r>
            <w:r>
              <w:rPr>
                <w:rFonts w:ascii="仿宋_GB2312" w:hAnsi="仿宋_GB2312" w:cs="仿宋_GB2312" w:eastAsia="仿宋_GB2312"/>
                <w:sz w:val="20"/>
                <w:color w:val="000000"/>
              </w:rPr>
              <w:t>6</w:t>
            </w:r>
            <w:r>
              <w:rPr>
                <w:rFonts w:ascii="仿宋_GB2312" w:hAnsi="仿宋_GB2312" w:cs="仿宋_GB2312" w:eastAsia="仿宋_GB2312"/>
                <w:sz w:val="20"/>
                <w:color w:val="000000"/>
              </w:rPr>
              <w:t>年</w:t>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月</w:t>
            </w:r>
            <w:r>
              <w:rPr>
                <w:rFonts w:ascii="仿宋_GB2312" w:hAnsi="仿宋_GB2312" w:cs="仿宋_GB2312" w:eastAsia="仿宋_GB2312"/>
                <w:sz w:val="20"/>
                <w:color w:val="000000"/>
              </w:rPr>
              <w:t>1日至202</w:t>
            </w:r>
            <w:r>
              <w:rPr>
                <w:rFonts w:ascii="仿宋_GB2312" w:hAnsi="仿宋_GB2312" w:cs="仿宋_GB2312" w:eastAsia="仿宋_GB2312"/>
                <w:sz w:val="20"/>
                <w:color w:val="000000"/>
              </w:rPr>
              <w:t>7</w:t>
            </w:r>
            <w:r>
              <w:rPr>
                <w:rFonts w:ascii="仿宋_GB2312" w:hAnsi="仿宋_GB2312" w:cs="仿宋_GB2312" w:eastAsia="仿宋_GB2312"/>
                <w:sz w:val="20"/>
                <w:color w:val="000000"/>
              </w:rPr>
              <w:t>年</w:t>
            </w:r>
            <w:r>
              <w:rPr>
                <w:rFonts w:ascii="仿宋_GB2312" w:hAnsi="仿宋_GB2312" w:cs="仿宋_GB2312" w:eastAsia="仿宋_GB2312"/>
                <w:sz w:val="20"/>
                <w:color w:val="000000"/>
              </w:rPr>
              <w:t>9</w:t>
            </w:r>
            <w:r>
              <w:rPr>
                <w:rFonts w:ascii="仿宋_GB2312" w:hAnsi="仿宋_GB2312" w:cs="仿宋_GB2312" w:eastAsia="仿宋_GB2312"/>
                <w:sz w:val="20"/>
                <w:color w:val="000000"/>
              </w:rPr>
              <w:t>月</w:t>
            </w:r>
            <w:r>
              <w:rPr>
                <w:rFonts w:ascii="仿宋_GB2312" w:hAnsi="仿宋_GB2312" w:cs="仿宋_GB2312" w:eastAsia="仿宋_GB2312"/>
                <w:sz w:val="20"/>
                <w:color w:val="000000"/>
              </w:rPr>
              <w:t>30</w:t>
            </w:r>
            <w:r>
              <w:rPr>
                <w:rFonts w:ascii="仿宋_GB2312" w:hAnsi="仿宋_GB2312" w:cs="仿宋_GB2312" w:eastAsia="仿宋_GB2312"/>
                <w:sz w:val="20"/>
                <w:color w:val="000000"/>
              </w:rPr>
              <w:t>日。</w:t>
            </w:r>
          </w:p>
          <w:p>
            <w:pPr>
              <w:pStyle w:val="null3"/>
              <w:ind w:firstLine="400"/>
              <w:jc w:val="left"/>
            </w:pPr>
            <w:r>
              <w:rPr>
                <w:rFonts w:ascii="仿宋_GB2312" w:hAnsi="仿宋_GB2312" w:cs="仿宋_GB2312" w:eastAsia="仿宋_GB2312"/>
                <w:sz w:val="20"/>
                <w:color w:val="000000"/>
              </w:rPr>
              <w:t>（二）供货周期：</w:t>
            </w:r>
          </w:p>
          <w:p>
            <w:pPr>
              <w:pStyle w:val="null3"/>
              <w:ind w:firstLine="600"/>
              <w:jc w:val="left"/>
            </w:pPr>
            <w:r>
              <w:rPr>
                <w:rFonts w:ascii="仿宋_GB2312" w:hAnsi="仿宋_GB2312" w:cs="仿宋_GB2312" w:eastAsia="仿宋_GB2312"/>
                <w:sz w:val="20"/>
                <w:color w:val="000000"/>
              </w:rPr>
              <w:t>甲醇燃料：分批供货，接到采购人订单通知后的</w:t>
            </w:r>
            <w:r>
              <w:rPr>
                <w:rFonts w:ascii="仿宋_GB2312" w:hAnsi="仿宋_GB2312" w:cs="仿宋_GB2312" w:eastAsia="仿宋_GB2312"/>
                <w:sz w:val="20"/>
                <w:color w:val="000000"/>
              </w:rPr>
              <w:t>3</w:t>
            </w:r>
            <w:r>
              <w:rPr>
                <w:rFonts w:ascii="仿宋_GB2312" w:hAnsi="仿宋_GB2312" w:cs="仿宋_GB2312" w:eastAsia="仿宋_GB2312"/>
                <w:sz w:val="20"/>
                <w:color w:val="000000"/>
              </w:rPr>
              <w:t>个日历日内配送到指定基</w:t>
            </w:r>
            <w:r>
              <w:rPr>
                <w:rFonts w:ascii="仿宋_GB2312" w:hAnsi="仿宋_GB2312" w:cs="仿宋_GB2312" w:eastAsia="仿宋_GB2312"/>
                <w:sz w:val="20"/>
                <w:color w:val="000000"/>
              </w:rPr>
              <w:t>层</w:t>
            </w:r>
            <w:r>
              <w:rPr>
                <w:rFonts w:ascii="仿宋_GB2312" w:hAnsi="仿宋_GB2312" w:cs="仿宋_GB2312" w:eastAsia="仿宋_GB2312"/>
                <w:sz w:val="20"/>
                <w:color w:val="000000"/>
              </w:rPr>
              <w:t>站</w:t>
            </w:r>
            <w:r>
              <w:rPr>
                <w:rFonts w:ascii="仿宋_GB2312" w:hAnsi="仿宋_GB2312" w:cs="仿宋_GB2312" w:eastAsia="仿宋_GB2312"/>
                <w:sz w:val="20"/>
                <w:color w:val="000000"/>
              </w:rPr>
              <w:t>点</w:t>
            </w:r>
            <w:r>
              <w:rPr>
                <w:rFonts w:ascii="仿宋_GB2312" w:hAnsi="仿宋_GB2312" w:cs="仿宋_GB2312" w:eastAsia="仿宋_GB2312"/>
                <w:sz w:val="20"/>
                <w:color w:val="000000"/>
              </w:rPr>
              <w:t>，每次送货量在</w:t>
            </w:r>
            <w:r>
              <w:rPr>
                <w:rFonts w:ascii="仿宋_GB2312" w:hAnsi="仿宋_GB2312" w:cs="仿宋_GB2312" w:eastAsia="仿宋_GB2312"/>
                <w:sz w:val="20"/>
                <w:color w:val="000000"/>
              </w:rPr>
              <w:t>10吨左右。</w:t>
            </w:r>
          </w:p>
          <w:p>
            <w:pPr>
              <w:pStyle w:val="null3"/>
              <w:ind w:firstLine="400"/>
            </w:pPr>
            <w:r>
              <w:rPr>
                <w:rFonts w:ascii="仿宋_GB2312" w:hAnsi="仿宋_GB2312" w:cs="仿宋_GB2312" w:eastAsia="仿宋_GB2312"/>
                <w:sz w:val="20"/>
              </w:rPr>
              <w:t>（三）货物价款包含运输费、装卸费、仓储费、保险费及售后等费用。</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四</w:t>
            </w:r>
            <w:r>
              <w:rPr>
                <w:rFonts w:ascii="仿宋_GB2312" w:hAnsi="仿宋_GB2312" w:cs="仿宋_GB2312" w:eastAsia="仿宋_GB2312"/>
                <w:sz w:val="20"/>
                <w:color w:val="000000"/>
              </w:rPr>
              <w:t>）违约条款</w:t>
            </w:r>
          </w:p>
          <w:p>
            <w:pPr>
              <w:pStyle w:val="null3"/>
              <w:ind w:firstLine="400"/>
              <w:jc w:val="left"/>
            </w:pPr>
            <w:r>
              <w:rPr>
                <w:rFonts w:ascii="仿宋_GB2312" w:hAnsi="仿宋_GB2312" w:cs="仿宋_GB2312" w:eastAsia="仿宋_GB2312"/>
                <w:sz w:val="20"/>
                <w:color w:val="000000"/>
              </w:rPr>
              <w:t>每次供货，若由于供应商原因（非不可抗力原因）导致无法按时配送到位，每迟</w:t>
            </w:r>
            <w:r>
              <w:rPr>
                <w:rFonts w:ascii="仿宋_GB2312" w:hAnsi="仿宋_GB2312" w:cs="仿宋_GB2312" w:eastAsia="仿宋_GB2312"/>
                <w:sz w:val="20"/>
                <w:color w:val="000000"/>
              </w:rPr>
              <w:t>延</w:t>
            </w:r>
            <w:r>
              <w:rPr>
                <w:rFonts w:ascii="仿宋_GB2312" w:hAnsi="仿宋_GB2312" w:cs="仿宋_GB2312" w:eastAsia="仿宋_GB2312"/>
                <w:sz w:val="20"/>
                <w:color w:val="000000"/>
              </w:rPr>
              <w:t>1天，</w:t>
            </w:r>
            <w:r>
              <w:rPr>
                <w:rFonts w:ascii="仿宋_GB2312" w:hAnsi="仿宋_GB2312" w:cs="仿宋_GB2312" w:eastAsia="仿宋_GB2312"/>
                <w:sz w:val="20"/>
                <w:color w:val="000000"/>
              </w:rPr>
              <w:t>采购人有权</w:t>
            </w:r>
            <w:r>
              <w:rPr>
                <w:rFonts w:ascii="仿宋_GB2312" w:hAnsi="仿宋_GB2312" w:cs="仿宋_GB2312" w:eastAsia="仿宋_GB2312"/>
                <w:sz w:val="20"/>
                <w:color w:val="000000"/>
              </w:rPr>
              <w:t>从剩余</w:t>
            </w:r>
            <w:r>
              <w:rPr>
                <w:rFonts w:ascii="仿宋_GB2312" w:hAnsi="仿宋_GB2312" w:cs="仿宋_GB2312" w:eastAsia="仿宋_GB2312"/>
                <w:sz w:val="20"/>
                <w:color w:val="000000"/>
              </w:rPr>
              <w:t>未付</w:t>
            </w:r>
            <w:r>
              <w:rPr>
                <w:rFonts w:ascii="仿宋_GB2312" w:hAnsi="仿宋_GB2312" w:cs="仿宋_GB2312" w:eastAsia="仿宋_GB2312"/>
                <w:sz w:val="20"/>
                <w:color w:val="000000"/>
              </w:rPr>
              <w:t>货款</w:t>
            </w:r>
            <w:r>
              <w:rPr>
                <w:rFonts w:ascii="仿宋_GB2312" w:hAnsi="仿宋_GB2312" w:cs="仿宋_GB2312" w:eastAsia="仿宋_GB2312"/>
                <w:sz w:val="20"/>
                <w:color w:val="000000"/>
              </w:rPr>
              <w:t>中</w:t>
            </w:r>
            <w:r>
              <w:rPr>
                <w:rFonts w:ascii="仿宋_GB2312" w:hAnsi="仿宋_GB2312" w:cs="仿宋_GB2312" w:eastAsia="仿宋_GB2312"/>
                <w:sz w:val="20"/>
                <w:color w:val="000000"/>
              </w:rPr>
              <w:t>扣除</w:t>
            </w:r>
            <w:r>
              <w:rPr>
                <w:rFonts w:ascii="仿宋_GB2312" w:hAnsi="仿宋_GB2312" w:cs="仿宋_GB2312" w:eastAsia="仿宋_GB2312"/>
                <w:sz w:val="20"/>
                <w:color w:val="000000"/>
              </w:rPr>
              <w:t>1000元作为违约金</w:t>
            </w:r>
            <w:r>
              <w:rPr>
                <w:rFonts w:ascii="仿宋_GB2312" w:hAnsi="仿宋_GB2312" w:cs="仿宋_GB2312" w:eastAsia="仿宋_GB2312"/>
                <w:sz w:val="20"/>
                <w:color w:val="000000"/>
              </w:rPr>
              <w:t>；</w:t>
            </w:r>
            <w:r>
              <w:rPr>
                <w:rFonts w:ascii="仿宋_GB2312" w:hAnsi="仿宋_GB2312" w:cs="仿宋_GB2312" w:eastAsia="仿宋_GB2312"/>
                <w:sz w:val="20"/>
                <w:color w:val="000000"/>
              </w:rPr>
              <w:t>剩余货款不足以扣除时，由供应商另行支付采购人</w:t>
            </w:r>
            <w:r>
              <w:rPr>
                <w:rFonts w:ascii="仿宋_GB2312" w:hAnsi="仿宋_GB2312" w:cs="仿宋_GB2312" w:eastAsia="仿宋_GB2312"/>
                <w:sz w:val="20"/>
                <w:color w:val="000000"/>
              </w:rPr>
              <w:t>。</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五</w:t>
            </w:r>
            <w:r>
              <w:rPr>
                <w:rFonts w:ascii="仿宋_GB2312" w:hAnsi="仿宋_GB2312" w:cs="仿宋_GB2312" w:eastAsia="仿宋_GB2312"/>
                <w:sz w:val="20"/>
                <w:color w:val="000000"/>
              </w:rPr>
              <w:t>）本项目不组织统一踏勘，因项目位于秦岭山区，供应商可自行联系采购人进行现场踏勘。</w:t>
            </w:r>
          </w:p>
          <w:p>
            <w:pPr>
              <w:pStyle w:val="null3"/>
              <w:ind w:firstLine="400"/>
              <w:jc w:val="left"/>
            </w:pPr>
            <w:r>
              <w:rPr>
                <w:rFonts w:ascii="仿宋_GB2312" w:hAnsi="仿宋_GB2312" w:cs="仿宋_GB2312" w:eastAsia="仿宋_GB2312"/>
                <w:sz w:val="20"/>
                <w:color w:val="000000"/>
              </w:rPr>
              <w:t>（六）由于</w:t>
            </w:r>
            <w:r>
              <w:rPr>
                <w:rFonts w:ascii="仿宋_GB2312" w:hAnsi="仿宋_GB2312" w:cs="仿宋_GB2312" w:eastAsia="仿宋_GB2312"/>
                <w:sz w:val="20"/>
                <w:color w:val="000000"/>
              </w:rPr>
              <w:t>108国道及山区道路经常发生滑坡，导致道路中断，供应商须绕道西汉高速，保障甲醇燃料的正常供应。对此供应商不得提出增加运输费、仓储费等相关费用。</w:t>
            </w:r>
          </w:p>
          <w:p>
            <w:pPr>
              <w:pStyle w:val="null3"/>
              <w:ind w:firstLine="400"/>
              <w:jc w:val="left"/>
            </w:pPr>
            <w:r>
              <w:rPr>
                <w:rFonts w:ascii="仿宋_GB2312" w:hAnsi="仿宋_GB2312" w:cs="仿宋_GB2312" w:eastAsia="仿宋_GB2312"/>
                <w:sz w:val="20"/>
                <w:color w:val="000000"/>
              </w:rPr>
              <w:t>（七）为保障甲醇供货品质，采购人将增加对所供燃料进行随机抽检的频次，一旦发现供货方所供产品达不到投标要求参数和标准，采购人将视整批所供燃料为不合格，并拒收本批次燃料。若送货已完成，采购人将对本批次燃料进行直接扣减，供应商应按照采购人要求补供扣减数量的合格燃料，相应检测费用和由此造成的经济损失均由供应商自行承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2026年10月1日至2027年9月30日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陕西周至国家级自然保护区管理局9个基层单位</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进度款，甲醇供货量大于等于130吨后，且前期供货质量可靠，进货渠道正规，达到付款条件，达到付款条件起10个工作日内，支付合同总金额的60.0%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每次供货，若乙方由于非不可抗力原因导致无法按时配送到位，每迟延1天，应按迟延交付货物价款的千分之五向甲方支付违约金（甲方可直接从未付货款中扣除）。逾期超过15日，甲方有权单方解除合同，并要求乙方承担合同总价20%的违约责任并赔偿全部损失。 （三）按合同要求提供产品或产品质量不能满足采购技术要求，乙方必须无条件更换产品，提高技术，完善质量，否则，甲方会同监督机构、采购代理机构有权终止合同并对乙方违约行为进行追究，同时按政府采购供应商管理办法进行相应的处罚。 （四）任何一方因不可抗力原因不能履行协议时，应尽快通知对方，双方均设法补偿。如仍无法履约协议，可协商延缓或撤销协议，双方责任免除。</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工业。2、因系统格式设置无法调整，合同付款支付要求以第八章“拟签订采购合同文本”中体现的内容为准。3、提供相同品牌产品且通过资格审查、符合性审查的不同投标人参加同一合同项下投标活动的，按一家投标人计算，评标后得分最高的同品牌投标人获得中标候选人推荐资格；评标得分相同的，采取随机抽取方式确定，其他同品牌投标人不作为中标候选人。非单一产品采购项目，多家投标人提供的核心产品品牌相同的，按以上规定处理。 4、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 5、采购人应按照磋商文件和成交供应商响应文件，在成交通知书发出之日起25日内签订合同。6、根据《国务院办公厅关于在政府采购中实施本国产品标准及相关政策的通知》（国办发〔2025〕34号）；关于贯彻落实《国务院办公厅关于在政府采购中实施本国产品标准及相关政策的通知》的意见（财库〔2025〕30号）对本国产品的支持政策:①政府采购活动中既有本国产品又有非本国产品参与竞争的，依法对本国产品给予价格评审优惠，对本国产品的报价给予20%的价格扣除，用扣除后的价格参与评审。②当采购项目或者采购包中含有多种产品，供应商为该采购项目或者采购包提供的符合本国产品标准的产品成本之和占该供应商提供的全部产品成本之和的比例达到80%以上时（投标人需在“第六章 响应文件格式”的“投标报价表”中填写比例数值），依法对该供应商提供的全部产品给予价格评审优惠，即对该供应商提供的全部产品的总报价给予20%的价格扣除，用扣除后的价格参与评审。供应商未填写比例数值，或比例数值未达到80%的，将不享受本国产品价格评审优惠。③供应商需按照磋商文件的要求提供《关于符合本国产品标准的声明函》（以下简称《声明函》），如不提供将不享受本国产品价格评审优惠。④供应商需在《声明函》中逐一、准确填写产品名称、厂名、生产厂址三项信息（《声明函》中其余项无需填写），三项信息中任意一项未填写的视为该项产品不符合本国产品标准，不享受本国产品价格评审优惠。⑤评标过程中，如发现供应商在《声明函》内容含义不明确、同类事项与投标（响应）文件表述不一致或者有明显文字错误等情况的，评标委员会应当以书面形式要求供应商作出必要的澄清、说明或者补正。经澄清、说明或者补正的《声明函》仍然不符合《国务院办公厅关于在政府采购中实施本国产品标准及相关政策的通知》（国办发〔2025〕34号）和磋商文件规定的，供应商提供的相关产品视为不符合本国产品标准。7、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①提供2025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 ②其开标前三个月内基本开户银行出具的资信证明； ③信用担保机构出具的投标担保函。</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法定代表人直接参加投标的，须提供法定代表人身份证明；法定代表人授权代表参加投标的，须提供法定代表人授权委托书（提供授权代表社保缴纳证明）。</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供应商应具备有效的《危险化学品经营许可证》。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产品分项报价表.docx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满足“★”项的实施要求，提供承诺书。</w:t>
            </w:r>
          </w:p>
        </w:tc>
        <w:tc>
          <w:tcPr>
            <w:tcW w:type="dxa" w:w="1661"/>
          </w:tcPr>
          <w:p>
            <w:pPr>
              <w:pStyle w:val="null3"/>
            </w:pPr>
            <w:r>
              <w:rPr>
                <w:rFonts w:ascii="仿宋_GB2312" w:hAnsi="仿宋_GB2312" w:cs="仿宋_GB2312" w:eastAsia="仿宋_GB2312"/>
              </w:rPr>
              <w:t>产品技术条款响应偏离表.docx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投标人应对技术要求中的技术参数进行应答且证明材料提供完整得基础分30分，其中“▲”项产品出现负偏离或缺失相关证明材料扣3分。 所投产品技术参数完全复制粘贴磋商文件中的技术要求，无实质性响应，得4分。 评审依据:“▲”项提供技术参数偏离表及相关证明材料（不限于产品技术说明、产品彩页、检测报告、官网功能截图等）。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产品技术条款响应偏离表.docx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针对本项目提供的实施方案，至少包括： ①供货组织安排，包括仓储、运输、交付方案等内容； ②实施步骤、进度计划和保证措施、安全控制方案及质量措施； ③组织机构人员配置、协调能力； ④验收方案。 二、评审标准（评审内容每项3分） 1、完整覆盖全部内容，流程逻辑清晰，贴合项目情况，具备落地执行条件（3分）； 2、内容覆盖不全面，无关键内容缺失，流程轻微缺失，符合项目情况，具备基础落地执行条件（2分）； 3、内容大面积缺失，流程断裂，无法直接用于项目实施（1分）； 4、完全套用通用模板，未结合本项目实际情况，方案与项目需求不匹配或内容仅有标题无内容（0分）。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方案响应说明.docx</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所投产品供应渠道正常，无假货、水货、无产权纠纷，提供相关证明材料，得4分，未提供不得分。 注：生产厂家提供产品制造能力证明，代理商提供产品来源渠道证明材料(包括但不限于厂家授权、代理协议、经销合同等)，未提供证明材料的不得分。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方案响应说明.docx</w:t>
            </w:r>
          </w:p>
        </w:tc>
      </w:tr>
      <w:tr>
        <w:tc>
          <w:tcPr>
            <w:tcW w:type="dxa" w:w="831"/>
            <w:vMerge/>
          </w:tcPr>
          <w:p/>
        </w:tc>
        <w:tc>
          <w:tcPr>
            <w:tcW w:type="dxa" w:w="1661"/>
          </w:tcPr>
          <w:p>
            <w:pPr>
              <w:pStyle w:val="null3"/>
            </w:pPr>
            <w:r>
              <w:rPr>
                <w:rFonts w:ascii="仿宋_GB2312" w:hAnsi="仿宋_GB2312" w:cs="仿宋_GB2312" w:eastAsia="仿宋_GB2312"/>
              </w:rPr>
              <w:t>产品质量保证及承诺</w:t>
            </w:r>
          </w:p>
        </w:tc>
        <w:tc>
          <w:tcPr>
            <w:tcW w:type="dxa" w:w="2492"/>
          </w:tcPr>
          <w:p>
            <w:pPr>
              <w:pStyle w:val="null3"/>
            </w:pPr>
            <w:r>
              <w:rPr>
                <w:rFonts w:ascii="仿宋_GB2312" w:hAnsi="仿宋_GB2312" w:cs="仿宋_GB2312" w:eastAsia="仿宋_GB2312"/>
              </w:rPr>
              <w:t>一、评审内容 针对本项目提供的产品质量保证及承诺至少包括： ①产品质量问题的处理方式和措施； ②产品质量保证承诺等。 二、评审标准 （评审内容每项2分） 1、完整覆盖全部内容，流程逻辑清晰，贴合项目情况，具备落地执行条件（2分）； 2、内容覆盖不全面，无关键内容缺失，流程轻微缺失，符合项目情况，具备基础落地执行条件（1分）； 3、内容大面积缺失，流程断裂，无法直接用于项目实施（0.5分）； 4、完全套用通用模板，未结合本项目实际情况，方案与项目需求不匹配或内容仅有标题无内容（0分）。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方案响应说明.docx</w:t>
            </w:r>
          </w:p>
        </w:tc>
      </w:tr>
      <w:tr>
        <w:tc>
          <w:tcPr>
            <w:tcW w:type="dxa" w:w="831"/>
            <w:vMerge/>
          </w:tcPr>
          <w:p/>
        </w:tc>
        <w:tc>
          <w:tcPr>
            <w:tcW w:type="dxa" w:w="1661"/>
          </w:tcPr>
          <w:p>
            <w:pPr>
              <w:pStyle w:val="null3"/>
            </w:pPr>
            <w:r>
              <w:rPr>
                <w:rFonts w:ascii="仿宋_GB2312" w:hAnsi="仿宋_GB2312" w:cs="仿宋_GB2312" w:eastAsia="仿宋_GB2312"/>
              </w:rPr>
              <w:t>拟投入车辆及运输人员配置</w:t>
            </w:r>
          </w:p>
        </w:tc>
        <w:tc>
          <w:tcPr>
            <w:tcW w:type="dxa" w:w="2492"/>
          </w:tcPr>
          <w:p>
            <w:pPr>
              <w:pStyle w:val="null3"/>
            </w:pPr>
            <w:r>
              <w:rPr>
                <w:rFonts w:ascii="仿宋_GB2312" w:hAnsi="仿宋_GB2312" w:cs="仿宋_GB2312" w:eastAsia="仿宋_GB2312"/>
              </w:rPr>
              <w:t>1.车辆配置 （1）可供本项目调配车辆(均已办理《道路危险货物非营运运输证》)，每提供一辆得1分，最高得2分，未提供或仅标题不得分。(需提供全部车辆《道路危险货物非营运运输证》和供应商名下或者第三方专业运输单位名下的车辆行驶证扫描件)。 （2）全部运输车辆必须在水源地管理部门备案并提供备案承诺书(格式自拟),得2分，未提供或仅标题不得分。 2.运输人员配置 可供本项目调配的驾驶人员(须具有《道路危险货物运输驾驶员从业资格证》)和押运人员(须具备《道路危险货物运输押运人员从业资格证》)，每提供一组得1分，最高得2分，未提供或仅标题不得分。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方案响应说明.docx</w:t>
            </w:r>
          </w:p>
        </w:tc>
      </w:tr>
      <w:tr>
        <w:tc>
          <w:tcPr>
            <w:tcW w:type="dxa" w:w="831"/>
            <w:vMerge/>
          </w:tcPr>
          <w:p/>
        </w:tc>
        <w:tc>
          <w:tcPr>
            <w:tcW w:type="dxa" w:w="1661"/>
          </w:tcPr>
          <w:p>
            <w:pPr>
              <w:pStyle w:val="null3"/>
            </w:pPr>
            <w:r>
              <w:rPr>
                <w:rFonts w:ascii="仿宋_GB2312" w:hAnsi="仿宋_GB2312" w:cs="仿宋_GB2312" w:eastAsia="仿宋_GB2312"/>
              </w:rPr>
              <w:t>应急及售后服务方案</w:t>
            </w:r>
          </w:p>
        </w:tc>
        <w:tc>
          <w:tcPr>
            <w:tcW w:type="dxa" w:w="2492"/>
          </w:tcPr>
          <w:p>
            <w:pPr>
              <w:pStyle w:val="null3"/>
            </w:pPr>
            <w:r>
              <w:rPr>
                <w:rFonts w:ascii="仿宋_GB2312" w:hAnsi="仿宋_GB2312" w:cs="仿宋_GB2312" w:eastAsia="仿宋_GB2312"/>
              </w:rPr>
              <w:t>一、评审内容 针对本项目提供的应急及售后服务方案至少包括： ①应急处置方案； ②售后服务方案。 二、评审标准（评审内容每项2分） 1、完整覆盖全部内容，流程逻辑清晰，贴合项目情况，具备落地执行条件（2分）； 2、内容覆盖不全面，无关键内容缺失，流程轻微缺失，符合项目情况，具备基础落地执行条件（1分）； 3、内容大面积缺失，流程断裂，无法直接用于项目实施（0.5分）； 4、完全套用通用模板，未结合本项目实际情况，方案与项目需求不匹配或内容仅有标题无内容（0分）。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供应商需提供2023年05月01日至今同类项目业绩（以合同签订日期为准），响应文件中提供合同复印件加盖供应商公章，每提供一个计2分，满分10分。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即满足磋商文件要求且投标价格最低的投标报价为评标基准价，其价格分为满分。 其他供应商的价格分统一按照下列公式计算：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详见附件：产品分项报价表.docx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详见附件：产品技术条款响应偏离表.docx</w:t>
      </w:r>
    </w:p>
    <w:p>
      <w:pPr>
        <w:pStyle w:val="null3"/>
        <w:ind w:firstLine="960"/>
      </w:pPr>
      <w:r>
        <w:rPr>
          <w:rFonts w:ascii="仿宋_GB2312" w:hAnsi="仿宋_GB2312" w:cs="仿宋_GB2312" w:eastAsia="仿宋_GB2312"/>
        </w:rPr>
        <w:t>详见附件：方案响应说明.docx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详见附件：拟签订的合同条款文本(1)(1).docx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