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rPr>
          <w:rFonts w:hint="eastAsia" w:ascii="方正小标宋简体" w:hAnsi="方正小标宋简体" w:eastAsia="方正小标宋简体" w:cs="方正小标宋简体"/>
          <w:b w:val="0"/>
          <w:bCs w:val="0"/>
          <w:spacing w:val="-5"/>
          <w:sz w:val="44"/>
          <w:szCs w:val="44"/>
        </w:rPr>
      </w:pPr>
      <w:bookmarkStart w:id="0" w:name="_Hlk107229277"/>
      <w:r>
        <w:rPr>
          <w:rFonts w:hint="eastAsia" w:ascii="方正小标宋简体" w:hAnsi="方正小标宋简体" w:eastAsia="方正小标宋简体" w:cs="方正小标宋简体"/>
          <w:b w:val="0"/>
          <w:bCs w:val="0"/>
          <w:spacing w:val="-5"/>
          <w:sz w:val="44"/>
          <w:szCs w:val="44"/>
        </w:rPr>
        <w:t>拟签订的合同条款文本</w:t>
      </w:r>
    </w:p>
    <w:bookmarkEnd w:id="0"/>
    <w:p w14:paraId="4D3AB981">
      <w:pPr>
        <w:pStyle w:val="7"/>
        <w:numPr>
          <w:ilvl w:val="0"/>
          <w:numId w:val="0"/>
        </w:numPr>
        <w:jc w:val="center"/>
        <w:rPr>
          <w:rFonts w:hint="eastAsia"/>
          <w:highlight w:val="none"/>
          <w:lang w:val="zh-CN"/>
        </w:rPr>
      </w:pPr>
      <w:r>
        <w:rPr>
          <w:rFonts w:hint="eastAsia"/>
          <w:highlight w:val="none"/>
          <w:lang w:val="zh-CN"/>
        </w:rPr>
        <w:t>（具体以实际签订合同文本）</w:t>
      </w:r>
    </w:p>
    <w:p w14:paraId="6AB6D2C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xml:space="preserve">甲方（采购人）： </w:t>
      </w:r>
    </w:p>
    <w:p w14:paraId="0C0C77B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xml:space="preserve">乙方（成交供应商）： </w:t>
      </w:r>
    </w:p>
    <w:p w14:paraId="077C89B6">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u w:val="single"/>
          <w:lang w:eastAsia="zh-CN"/>
        </w:rPr>
        <w:t>清洁能源购置项目</w:t>
      </w:r>
      <w:r>
        <w:rPr>
          <w:rFonts w:hint="eastAsia" w:ascii="仿宋_GB2312" w:hAnsi="仿宋_GB2312" w:eastAsia="仿宋_GB2312" w:cs="仿宋_GB2312"/>
          <w:bCs/>
          <w:sz w:val="20"/>
          <w:szCs w:val="20"/>
          <w:u w:val="single"/>
        </w:rPr>
        <w:t>(项目编号：</w:t>
      </w:r>
      <w:r>
        <w:rPr>
          <w:rFonts w:hint="eastAsia" w:ascii="仿宋_GB2312" w:hAnsi="仿宋_GB2312" w:eastAsia="仿宋_GB2312" w:cs="仿宋_GB2312"/>
          <w:bCs/>
          <w:sz w:val="20"/>
          <w:szCs w:val="20"/>
          <w:u w:val="single"/>
          <w:lang w:eastAsia="zh-CN"/>
        </w:rPr>
        <w:t>SXHC2026-120</w:t>
      </w:r>
      <w:r>
        <w:rPr>
          <w:rFonts w:hint="eastAsia" w:ascii="仿宋_GB2312" w:hAnsi="仿宋_GB2312" w:eastAsia="仿宋_GB2312" w:cs="仿宋_GB2312"/>
          <w:bCs/>
          <w:sz w:val="20"/>
          <w:szCs w:val="20"/>
          <w:u w:val="single"/>
        </w:rPr>
        <w:t>)</w:t>
      </w:r>
      <w:r>
        <w:rPr>
          <w:rFonts w:hint="eastAsia" w:ascii="仿宋_GB2312" w:hAnsi="仿宋_GB2312" w:eastAsia="仿宋_GB2312" w:cs="仿宋_GB2312"/>
          <w:bCs/>
          <w:sz w:val="20"/>
          <w:szCs w:val="20"/>
        </w:rPr>
        <w:t>，由陕西华采招标有限公司组织竞争性磋商，</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(以下简称“甲方”)确定</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（以下简称“乙方”）为该项目的成交供应商。</w:t>
      </w:r>
    </w:p>
    <w:p w14:paraId="532B0C93">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依据《中华人民共和国民法典》和《中华人民共和国政府采购法》之规定，经双方在平等、自愿、互利的基础上，签订本合同，共同信守。</w:t>
      </w:r>
    </w:p>
    <w:p w14:paraId="32C20CC4">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lang w:val="zh-CN"/>
        </w:rPr>
      </w:pPr>
      <w:r>
        <w:rPr>
          <w:rFonts w:hint="eastAsia" w:ascii="仿宋_GB2312" w:hAnsi="仿宋_GB2312" w:eastAsia="仿宋_GB2312" w:cs="仿宋_GB2312"/>
          <w:b/>
          <w:bCs/>
          <w:sz w:val="20"/>
          <w:szCs w:val="20"/>
        </w:rPr>
        <w:t>一、</w:t>
      </w:r>
      <w:r>
        <w:rPr>
          <w:rFonts w:hint="eastAsia" w:ascii="仿宋_GB2312" w:hAnsi="仿宋_GB2312" w:eastAsia="仿宋_GB2312" w:cs="仿宋_GB2312"/>
          <w:b/>
          <w:bCs/>
          <w:sz w:val="20"/>
          <w:szCs w:val="20"/>
          <w:lang w:val="zh-CN"/>
        </w:rPr>
        <w:t>合同标的</w:t>
      </w:r>
      <w:r>
        <w:rPr>
          <w:rFonts w:hint="eastAsia" w:ascii="仿宋_GB2312" w:hAnsi="仿宋_GB2312" w:eastAsia="仿宋_GB2312" w:cs="仿宋_GB2312"/>
          <w:b/>
          <w:bCs/>
          <w:sz w:val="20"/>
          <w:szCs w:val="20"/>
        </w:rPr>
        <w:t>物内容</w:t>
      </w:r>
      <w:r>
        <w:rPr>
          <w:rFonts w:hint="eastAsia" w:ascii="仿宋_GB2312" w:hAnsi="仿宋_GB2312" w:eastAsia="仿宋_GB2312" w:cs="仿宋_GB2312"/>
          <w:b/>
          <w:bCs/>
          <w:sz w:val="20"/>
          <w:szCs w:val="20"/>
          <w:lang w:val="zh-CN"/>
        </w:rPr>
        <w:t>及数量</w:t>
      </w:r>
    </w:p>
    <w:p w14:paraId="19C53B1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zh-CN"/>
        </w:rPr>
      </w:pPr>
      <w:r>
        <w:rPr>
          <w:rFonts w:hint="eastAsia" w:ascii="仿宋_GB2312" w:hAnsi="仿宋_GB2312" w:eastAsia="仿宋_GB2312" w:cs="仿宋_GB2312"/>
          <w:bCs/>
          <w:sz w:val="20"/>
          <w:szCs w:val="20"/>
          <w:lang w:val="zh-CN"/>
        </w:rPr>
        <w:t>乙方向甲方提供下列货物（产品）：</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504BF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4D818EAB">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序号</w:t>
            </w:r>
          </w:p>
        </w:tc>
        <w:tc>
          <w:tcPr>
            <w:tcW w:w="1649" w:type="dxa"/>
            <w:noWrap w:val="0"/>
            <w:vAlign w:val="center"/>
          </w:tcPr>
          <w:p w14:paraId="55F81121">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货物名称</w:t>
            </w:r>
          </w:p>
        </w:tc>
        <w:tc>
          <w:tcPr>
            <w:tcW w:w="1481" w:type="dxa"/>
            <w:noWrap w:val="0"/>
            <w:vAlign w:val="center"/>
          </w:tcPr>
          <w:p w14:paraId="4E36BA22">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品牌/型号</w:t>
            </w:r>
          </w:p>
        </w:tc>
        <w:tc>
          <w:tcPr>
            <w:tcW w:w="531" w:type="dxa"/>
            <w:noWrap w:val="0"/>
            <w:vAlign w:val="center"/>
          </w:tcPr>
          <w:p w14:paraId="1EF33687">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规格</w:t>
            </w:r>
          </w:p>
        </w:tc>
        <w:tc>
          <w:tcPr>
            <w:tcW w:w="717" w:type="dxa"/>
            <w:noWrap w:val="0"/>
            <w:vAlign w:val="center"/>
          </w:tcPr>
          <w:p w14:paraId="059B75DD">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单位</w:t>
            </w:r>
          </w:p>
        </w:tc>
        <w:tc>
          <w:tcPr>
            <w:tcW w:w="730" w:type="dxa"/>
            <w:noWrap w:val="0"/>
            <w:vAlign w:val="center"/>
          </w:tcPr>
          <w:p w14:paraId="08C08A67">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数量</w:t>
            </w:r>
          </w:p>
        </w:tc>
        <w:tc>
          <w:tcPr>
            <w:tcW w:w="1060" w:type="dxa"/>
            <w:noWrap w:val="0"/>
            <w:vAlign w:val="center"/>
          </w:tcPr>
          <w:p w14:paraId="5C0C69AF">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单价</w:t>
            </w:r>
          </w:p>
          <w:p w14:paraId="1B0BD881">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（元）</w:t>
            </w:r>
          </w:p>
        </w:tc>
        <w:tc>
          <w:tcPr>
            <w:tcW w:w="1461" w:type="dxa"/>
            <w:noWrap w:val="0"/>
            <w:vAlign w:val="center"/>
          </w:tcPr>
          <w:p w14:paraId="4E86E8FF">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金额 (元)</w:t>
            </w:r>
          </w:p>
        </w:tc>
      </w:tr>
      <w:tr w14:paraId="3FDFA6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B9F6A76">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649" w:type="dxa"/>
            <w:noWrap w:val="0"/>
            <w:vAlign w:val="top"/>
          </w:tcPr>
          <w:p w14:paraId="2A6F62E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481" w:type="dxa"/>
            <w:noWrap w:val="0"/>
            <w:vAlign w:val="top"/>
          </w:tcPr>
          <w:p w14:paraId="1205E43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531" w:type="dxa"/>
            <w:noWrap w:val="0"/>
            <w:vAlign w:val="top"/>
          </w:tcPr>
          <w:p w14:paraId="5B2B83C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717" w:type="dxa"/>
            <w:noWrap w:val="0"/>
            <w:vAlign w:val="top"/>
          </w:tcPr>
          <w:p w14:paraId="7060CFA5">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730" w:type="dxa"/>
            <w:noWrap w:val="0"/>
            <w:vAlign w:val="top"/>
          </w:tcPr>
          <w:p w14:paraId="77394648">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060" w:type="dxa"/>
            <w:noWrap w:val="0"/>
            <w:vAlign w:val="top"/>
          </w:tcPr>
          <w:p w14:paraId="59704D0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461" w:type="dxa"/>
            <w:noWrap w:val="0"/>
            <w:vAlign w:val="top"/>
          </w:tcPr>
          <w:p w14:paraId="68F7323F">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r>
      <w:tr w14:paraId="395E99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E4EF52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649" w:type="dxa"/>
            <w:noWrap w:val="0"/>
            <w:vAlign w:val="top"/>
          </w:tcPr>
          <w:p w14:paraId="76A76CC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481" w:type="dxa"/>
            <w:noWrap w:val="0"/>
            <w:vAlign w:val="top"/>
          </w:tcPr>
          <w:p w14:paraId="7B3E3B6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531" w:type="dxa"/>
            <w:noWrap w:val="0"/>
            <w:vAlign w:val="top"/>
          </w:tcPr>
          <w:p w14:paraId="48DBB3A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717" w:type="dxa"/>
            <w:noWrap w:val="0"/>
            <w:vAlign w:val="top"/>
          </w:tcPr>
          <w:p w14:paraId="2B8357CA">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730" w:type="dxa"/>
            <w:noWrap w:val="0"/>
            <w:vAlign w:val="top"/>
          </w:tcPr>
          <w:p w14:paraId="0F794EA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060" w:type="dxa"/>
            <w:noWrap w:val="0"/>
            <w:vAlign w:val="top"/>
          </w:tcPr>
          <w:p w14:paraId="0D60A03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c>
          <w:tcPr>
            <w:tcW w:w="1461" w:type="dxa"/>
            <w:noWrap w:val="0"/>
            <w:vAlign w:val="top"/>
          </w:tcPr>
          <w:p w14:paraId="4EBA1AD8">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p>
        </w:tc>
      </w:tr>
      <w:tr w14:paraId="27F4C0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477E3751">
            <w:pPr>
              <w:autoSpaceDE w:val="0"/>
              <w:autoSpaceDN w:val="0"/>
              <w:adjustRightInd w:val="0"/>
              <w:snapToGrid w:val="0"/>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合计</w:t>
            </w:r>
          </w:p>
        </w:tc>
        <w:tc>
          <w:tcPr>
            <w:tcW w:w="3459" w:type="dxa"/>
            <w:gridSpan w:val="4"/>
            <w:noWrap w:val="0"/>
            <w:vAlign w:val="center"/>
          </w:tcPr>
          <w:p w14:paraId="3380755B">
            <w:pPr>
              <w:autoSpaceDE w:val="0"/>
              <w:autoSpaceDN w:val="0"/>
              <w:adjustRightInd w:val="0"/>
              <w:snapToGrid w:val="0"/>
              <w:jc w:val="left"/>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大写</w:t>
            </w:r>
          </w:p>
        </w:tc>
        <w:tc>
          <w:tcPr>
            <w:tcW w:w="2521" w:type="dxa"/>
            <w:gridSpan w:val="2"/>
            <w:noWrap w:val="0"/>
            <w:vAlign w:val="center"/>
          </w:tcPr>
          <w:p w14:paraId="5ED87EC4">
            <w:pPr>
              <w:autoSpaceDE w:val="0"/>
              <w:autoSpaceDN w:val="0"/>
              <w:adjustRightInd w:val="0"/>
              <w:snapToGrid w:val="0"/>
              <w:ind w:firstLine="400" w:firstLineChars="200"/>
              <w:jc w:val="left"/>
              <w:rPr>
                <w:rFonts w:hint="eastAsia" w:ascii="仿宋_GB2312" w:hAnsi="仿宋_GB2312" w:eastAsia="仿宋_GB2312" w:cs="仿宋_GB2312"/>
                <w:bCs/>
                <w:sz w:val="20"/>
                <w:szCs w:val="20"/>
                <w:lang w:eastAsia="zh-CN"/>
              </w:rPr>
            </w:pPr>
            <w:r>
              <w:rPr>
                <w:rFonts w:hint="eastAsia" w:ascii="仿宋_GB2312" w:hAnsi="仿宋_GB2312" w:eastAsia="仿宋_GB2312" w:cs="仿宋_GB2312"/>
                <w:bCs/>
                <w:sz w:val="20"/>
                <w:szCs w:val="20"/>
                <w:lang w:val="en-US" w:eastAsia="zh-CN"/>
              </w:rPr>
              <w:t>¥</w:t>
            </w:r>
          </w:p>
        </w:tc>
      </w:tr>
    </w:tbl>
    <w:p w14:paraId="3093C537">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二、合同价款</w:t>
      </w:r>
    </w:p>
    <w:p w14:paraId="2405BF30">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（一）合同价款（最终磋商报价）为人民币（大写）</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w:t>
      </w:r>
      <w:r>
        <w:rPr>
          <w:rFonts w:hint="eastAsia" w:ascii="仿宋_GB2312" w:hAnsi="仿宋_GB2312" w:eastAsia="仿宋_GB2312" w:cs="仿宋_GB2312"/>
          <w:bCs/>
          <w:sz w:val="20"/>
          <w:szCs w:val="20"/>
          <w:lang w:val="en-US" w:eastAsia="zh-CN"/>
        </w:rPr>
        <w:t>¥</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 xml:space="preserve"> ）。</w:t>
      </w:r>
    </w:p>
    <w:p w14:paraId="17275838">
      <w:pPr>
        <w:shd w:val="clear" w:color="auto" w:fill="auto"/>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（二）合同价款包括但不限于运输费、装卸费、仓储费、保险费及售后等费用。</w:t>
      </w:r>
    </w:p>
    <w:p w14:paraId="5BAA5FC5">
      <w:pPr>
        <w:shd w:val="clear" w:color="auto" w:fill="auto"/>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（三）合同价款一次性包死，不受市场价格变化因素的影响。</w:t>
      </w:r>
    </w:p>
    <w:p w14:paraId="08566253">
      <w:pPr>
        <w:shd w:val="clear" w:color="auto" w:fill="auto"/>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三、款项结算</w:t>
      </w:r>
    </w:p>
    <w:p w14:paraId="17E2BBD8">
      <w:pPr>
        <w:shd w:val="clear" w:color="auto" w:fill="auto"/>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（一）付款比例：合同签订后，达到付款条件起 10日内，支付合同总金额的 40.00%。</w:t>
      </w:r>
    </w:p>
    <w:p w14:paraId="20F52372">
      <w:pPr>
        <w:shd w:val="clear" w:color="auto" w:fill="auto"/>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甲醇供货量大于等于130吨后，且前期供货质量可靠，进货渠道正规，达到付款条件10日内，支付合同总价款的60 %。</w:t>
      </w:r>
    </w:p>
    <w:p w14:paraId="6BAA7F91">
      <w:pPr>
        <w:shd w:val="clear" w:color="auto" w:fill="auto"/>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（二）支付方式：银行转账。</w:t>
      </w:r>
    </w:p>
    <w:p w14:paraId="3EB5161C">
      <w:pPr>
        <w:autoSpaceDE w:val="0"/>
        <w:autoSpaceDN w:val="0"/>
        <w:adjustRightInd w:val="0"/>
        <w:snapToGrid w:val="0"/>
        <w:spacing w:line="360" w:lineRule="auto"/>
        <w:ind w:firstLine="400"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Cs/>
          <w:sz w:val="20"/>
          <w:szCs w:val="20"/>
        </w:rPr>
        <w:t>（三）结算方式：乙方接受甲方付款前，开具等额发票给甲方。</w:t>
      </w:r>
    </w:p>
    <w:p w14:paraId="3D29E119">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四、双方的权利和义务</w:t>
      </w:r>
    </w:p>
    <w:p w14:paraId="4125D0D0">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（一）甲方的权利与义务</w:t>
      </w:r>
    </w:p>
    <w:p w14:paraId="2E5EB173">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1、甲方根据磋商文件的要求对燃料进行验收。</w:t>
      </w:r>
    </w:p>
    <w:p w14:paraId="7125CC12">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2、甲方应按合同约定及时结付服务费用。</w:t>
      </w:r>
    </w:p>
    <w:p w14:paraId="1C7951F6">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（二）乙方的权利与义务</w:t>
      </w:r>
    </w:p>
    <w:p w14:paraId="34F817C9">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1、乙方根据磋商要求，确保燃料如期保质保量交付。</w:t>
      </w:r>
    </w:p>
    <w:p w14:paraId="289D11EB">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2、乙方确保所供燃料供货渠道正规、产地及制造商明确，产品销售记录可追溯</w:t>
      </w:r>
      <w:r>
        <w:rPr>
          <w:rFonts w:hint="eastAsia" w:ascii="仿宋_GB2312" w:hAnsi="仿宋_GB2312" w:eastAsia="仿宋_GB2312" w:cs="仿宋_GB2312"/>
          <w:bCs/>
          <w:sz w:val="20"/>
          <w:szCs w:val="20"/>
          <w:highlight w:val="none"/>
          <w:lang w:eastAsia="zh-CN"/>
        </w:rPr>
        <w:t>。</w:t>
      </w:r>
    </w:p>
    <w:p w14:paraId="3FD69AF8">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3、乙方根据磋商要求提供运输车辆及运输人员，确保运输安全。</w:t>
      </w:r>
    </w:p>
    <w:p w14:paraId="192F454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4、乙方应保证因供货不善而产生的所有风险，并自行承担由此导致的所有法律责</w:t>
      </w:r>
      <w:r>
        <w:rPr>
          <w:rFonts w:hint="eastAsia" w:ascii="仿宋_GB2312" w:hAnsi="仿宋_GB2312" w:eastAsia="仿宋_GB2312" w:cs="仿宋_GB2312"/>
          <w:bCs/>
          <w:sz w:val="20"/>
          <w:szCs w:val="20"/>
          <w:highlight w:val="none"/>
          <w:lang w:val="en-US" w:eastAsia="zh-CN"/>
        </w:rPr>
        <w:t>任。</w:t>
      </w:r>
    </w:p>
    <w:p w14:paraId="73E2C6B4">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五、交货条件</w:t>
      </w:r>
    </w:p>
    <w:p w14:paraId="4BF353A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（一）合同有效期：2026年10月1日至2027年9月30日。</w:t>
      </w:r>
    </w:p>
    <w:p w14:paraId="3EAF18F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（二）供货周期：</w:t>
      </w:r>
    </w:p>
    <w:p w14:paraId="74AEC6A9">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甲醇燃料：分批供货，接到</w:t>
      </w:r>
      <w:r>
        <w:rPr>
          <w:rFonts w:hint="eastAsia" w:ascii="仿宋_GB2312" w:hAnsi="仿宋_GB2312" w:eastAsia="仿宋_GB2312" w:cs="仿宋_GB2312"/>
          <w:bCs/>
          <w:sz w:val="20"/>
          <w:szCs w:val="20"/>
          <w:highlight w:val="none"/>
          <w:lang w:val="en-US" w:eastAsia="zh-CN"/>
        </w:rPr>
        <w:t>甲方</w:t>
      </w:r>
      <w:r>
        <w:rPr>
          <w:rFonts w:hint="eastAsia" w:ascii="仿宋_GB2312" w:hAnsi="仿宋_GB2312" w:eastAsia="仿宋_GB2312" w:cs="仿宋_GB2312"/>
          <w:bCs/>
          <w:sz w:val="20"/>
          <w:szCs w:val="20"/>
          <w:highlight w:val="none"/>
        </w:rPr>
        <w:t>订单通知后的3个日历日内配送到指定基层站点，每次送货量在10吨左右。</w:t>
      </w:r>
    </w:p>
    <w:p w14:paraId="242C9ACA">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w:t>
      </w:r>
      <w:r>
        <w:rPr>
          <w:rFonts w:hint="eastAsia" w:ascii="仿宋_GB2312" w:hAnsi="仿宋_GB2312" w:eastAsia="仿宋_GB2312" w:cs="仿宋_GB2312"/>
          <w:bCs/>
          <w:sz w:val="20"/>
          <w:szCs w:val="20"/>
          <w:highlight w:val="none"/>
          <w:lang w:val="en-US" w:eastAsia="zh-CN"/>
        </w:rPr>
        <w:t>三</w:t>
      </w:r>
      <w:r>
        <w:rPr>
          <w:rFonts w:hint="eastAsia" w:ascii="仿宋_GB2312" w:hAnsi="仿宋_GB2312" w:eastAsia="仿宋_GB2312" w:cs="仿宋_GB2312"/>
          <w:bCs/>
          <w:sz w:val="20"/>
          <w:szCs w:val="20"/>
          <w:highlight w:val="none"/>
        </w:rPr>
        <w:t>）交付地点：陕西周至国家级自然保护区管理局9个基层单位。</w:t>
      </w:r>
    </w:p>
    <w:p w14:paraId="34425AAD">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六、包装和运输</w:t>
      </w:r>
    </w:p>
    <w:p w14:paraId="65D720F0">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(一)产品及其备附件的包装应附有出厂合格证明及其他相关资料。</w:t>
      </w:r>
    </w:p>
    <w:p w14:paraId="6B342C65">
      <w:pPr>
        <w:autoSpaceDE w:val="0"/>
        <w:autoSpaceDN w:val="0"/>
        <w:adjustRightInd w:val="0"/>
        <w:snapToGrid w:val="0"/>
        <w:spacing w:line="360" w:lineRule="auto"/>
        <w:ind w:firstLine="400" w:firstLineChars="200"/>
        <w:rPr>
          <w:rFonts w:hint="default" w:ascii="仿宋_GB2312" w:hAnsi="仿宋_GB2312" w:eastAsia="仿宋_GB2312" w:cs="仿宋_GB2312"/>
          <w:bCs/>
          <w:sz w:val="20"/>
          <w:szCs w:val="20"/>
          <w:highlight w:val="none"/>
          <w:lang w:val="en-US" w:eastAsia="zh-CN"/>
        </w:rPr>
      </w:pPr>
      <w:r>
        <w:rPr>
          <w:rFonts w:hint="eastAsia" w:ascii="仿宋_GB2312" w:hAnsi="仿宋_GB2312" w:eastAsia="仿宋_GB2312" w:cs="仿宋_GB2312"/>
          <w:bCs/>
          <w:sz w:val="20"/>
          <w:szCs w:val="20"/>
          <w:highlight w:val="none"/>
        </w:rPr>
        <w:t>(二)运输由乙方负责，运杂费已包含在合同价款内。</w:t>
      </w:r>
      <w:r>
        <w:rPr>
          <w:rFonts w:hint="eastAsia" w:ascii="仿宋_GB2312" w:hAnsi="仿宋_GB2312" w:eastAsia="仿宋_GB2312" w:cs="仿宋_GB2312"/>
          <w:bCs/>
          <w:sz w:val="20"/>
          <w:szCs w:val="20"/>
          <w:highlight w:val="none"/>
          <w:lang w:val="en-US" w:eastAsia="zh-CN"/>
        </w:rPr>
        <w:t>包括从货物供应地点送至交货地点所含的运输费、装卸费、仓储费、保险费等。</w:t>
      </w:r>
    </w:p>
    <w:p w14:paraId="5E4A651C">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(三)运输方式必须用危险化学品运输专用车辆运送燃料，运输车辆必须具备在水地管理部门备案的条件，并在响应文件中提交备案承诺书，确保按期供货。</w:t>
      </w:r>
    </w:p>
    <w:p w14:paraId="1E978CE2">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(四)产品及其备附件到达甲方指定地点后，乙方应按有关技术规程和甲方要求进存放和保管。</w:t>
      </w:r>
    </w:p>
    <w:p w14:paraId="3F19FF31">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七、质量保证</w:t>
      </w:r>
    </w:p>
    <w:p w14:paraId="0E73CD40">
      <w:pPr>
        <w:autoSpaceDE w:val="0"/>
        <w:autoSpaceDN w:val="0"/>
        <w:adjustRightInd w:val="0"/>
        <w:snapToGrid w:val="0"/>
        <w:spacing w:line="360" w:lineRule="auto"/>
        <w:ind w:firstLine="400" w:firstLineChars="200"/>
        <w:rPr>
          <w:rFonts w:hint="default" w:ascii="仿宋_GB2312" w:hAnsi="仿宋_GB2312" w:eastAsia="仿宋_GB2312" w:cs="仿宋_GB2312"/>
          <w:bCs/>
          <w:sz w:val="20"/>
          <w:szCs w:val="20"/>
          <w:highlight w:val="none"/>
          <w:lang w:val="en-US" w:eastAsia="zh-CN"/>
        </w:rPr>
      </w:pPr>
      <w:r>
        <w:rPr>
          <w:rFonts w:hint="eastAsia" w:ascii="仿宋_GB2312" w:hAnsi="仿宋_GB2312" w:eastAsia="仿宋_GB2312" w:cs="仿宋_GB2312"/>
          <w:bCs/>
          <w:sz w:val="20"/>
          <w:szCs w:val="20"/>
          <w:highlight w:val="none"/>
        </w:rPr>
        <w:t>（一）</w:t>
      </w:r>
      <w:r>
        <w:rPr>
          <w:rFonts w:hint="eastAsia" w:ascii="仿宋_GB2312" w:hAnsi="仿宋_GB2312" w:eastAsia="仿宋_GB2312" w:cs="仿宋_GB2312"/>
          <w:bCs/>
          <w:sz w:val="20"/>
          <w:szCs w:val="20"/>
          <w:highlight w:val="none"/>
          <w:lang w:val="en-US" w:eastAsia="zh-CN"/>
        </w:rPr>
        <w:t>所供燃料必须保证质量可靠</w:t>
      </w:r>
      <w:r>
        <w:rPr>
          <w:rFonts w:hint="eastAsia" w:ascii="仿宋_GB2312" w:hAnsi="仿宋_GB2312" w:eastAsia="仿宋_GB2312" w:cs="仿宋_GB2312"/>
          <w:bCs/>
          <w:sz w:val="20"/>
          <w:szCs w:val="20"/>
          <w:highlight w:val="none"/>
        </w:rPr>
        <w:t>，</w:t>
      </w:r>
      <w:r>
        <w:rPr>
          <w:rFonts w:hint="eastAsia" w:ascii="仿宋_GB2312" w:hAnsi="仿宋_GB2312" w:eastAsia="仿宋_GB2312" w:cs="仿宋_GB2312"/>
          <w:bCs/>
          <w:sz w:val="20"/>
          <w:szCs w:val="20"/>
          <w:highlight w:val="none"/>
          <w:lang w:val="en-US" w:eastAsia="zh-CN"/>
        </w:rPr>
        <w:t>进货渠道正规，符合</w:t>
      </w:r>
      <w:r>
        <w:rPr>
          <w:rFonts w:hint="eastAsia" w:ascii="仿宋_GB2312" w:hAnsi="仿宋_GB2312" w:eastAsia="仿宋_GB2312" w:cs="仿宋_GB2312"/>
          <w:bCs/>
          <w:sz w:val="20"/>
          <w:szCs w:val="20"/>
          <w:highlight w:val="none"/>
        </w:rPr>
        <w:t>国家</w:t>
      </w:r>
      <w:r>
        <w:rPr>
          <w:rFonts w:hint="eastAsia" w:ascii="仿宋_GB2312" w:hAnsi="仿宋_GB2312" w:eastAsia="仿宋_GB2312" w:cs="仿宋_GB2312"/>
          <w:bCs/>
          <w:sz w:val="20"/>
          <w:szCs w:val="20"/>
          <w:highlight w:val="none"/>
          <w:lang w:val="en-US" w:eastAsia="zh-CN"/>
        </w:rPr>
        <w:t>相关</w:t>
      </w:r>
      <w:r>
        <w:rPr>
          <w:rFonts w:hint="eastAsia" w:ascii="仿宋_GB2312" w:hAnsi="仿宋_GB2312" w:eastAsia="仿宋_GB2312" w:cs="仿宋_GB2312"/>
          <w:bCs/>
          <w:sz w:val="20"/>
          <w:szCs w:val="20"/>
          <w:highlight w:val="none"/>
        </w:rPr>
        <w:t>标准，</w:t>
      </w:r>
      <w:r>
        <w:rPr>
          <w:rFonts w:hint="eastAsia" w:ascii="仿宋_GB2312" w:hAnsi="仿宋_GB2312" w:eastAsia="仿宋_GB2312" w:cs="仿宋_GB2312"/>
          <w:bCs/>
          <w:sz w:val="20"/>
          <w:szCs w:val="20"/>
          <w:highlight w:val="none"/>
          <w:lang w:val="en-US" w:eastAsia="zh-CN"/>
        </w:rPr>
        <w:t>并满足磋商文件要求。</w:t>
      </w:r>
    </w:p>
    <w:p w14:paraId="7DD2CB3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lang w:val="en-US" w:eastAsia="zh-CN"/>
        </w:rPr>
      </w:pPr>
      <w:r>
        <w:rPr>
          <w:rFonts w:hint="eastAsia" w:ascii="仿宋_GB2312" w:hAnsi="仿宋_GB2312" w:eastAsia="仿宋_GB2312" w:cs="仿宋_GB2312"/>
          <w:bCs/>
          <w:sz w:val="20"/>
          <w:szCs w:val="20"/>
          <w:highlight w:val="none"/>
        </w:rPr>
        <w:t>（二）</w:t>
      </w:r>
      <w:r>
        <w:rPr>
          <w:rFonts w:hint="eastAsia" w:ascii="仿宋_GB2312" w:hAnsi="仿宋_GB2312" w:eastAsia="仿宋_GB2312" w:cs="仿宋_GB2312"/>
          <w:bCs/>
          <w:sz w:val="20"/>
          <w:szCs w:val="20"/>
          <w:highlight w:val="none"/>
          <w:lang w:val="en-US" w:eastAsia="zh-CN"/>
        </w:rPr>
        <w:t>保证所供燃料在装卸、运输和仓储中有足够的包装保护及安全防护措施，防止燃料泄漏。乙方在完成燃料交付以前所有风险、产生的费用，均由乙方承担。</w:t>
      </w:r>
    </w:p>
    <w:p w14:paraId="2B5C9EDB">
      <w:pPr>
        <w:pStyle w:val="2"/>
        <w:ind w:firstLine="400" w:firstLineChars="200"/>
        <w:rPr>
          <w:rFonts w:hint="default" w:ascii="仿宋_GB2312" w:hAnsi="仿宋_GB2312" w:eastAsia="仿宋_GB2312" w:cs="仿宋_GB2312"/>
          <w:bCs/>
          <w:sz w:val="20"/>
          <w:szCs w:val="20"/>
          <w:highlight w:val="none"/>
          <w:lang w:val="en-US" w:eastAsia="zh-CN"/>
        </w:rPr>
      </w:pPr>
      <w:r>
        <w:rPr>
          <w:rFonts w:hint="eastAsia" w:ascii="仿宋_GB2312" w:hAnsi="仿宋_GB2312" w:eastAsia="仿宋_GB2312" w:cs="仿宋_GB2312"/>
          <w:bCs/>
          <w:sz w:val="20"/>
          <w:szCs w:val="20"/>
          <w:highlight w:val="none"/>
          <w:lang w:val="en-US" w:eastAsia="zh-CN"/>
        </w:rPr>
        <w:t>（三）严格做好甲醇运输安全管理工作。</w:t>
      </w:r>
    </w:p>
    <w:p w14:paraId="79487431">
      <w:pPr>
        <w:autoSpaceDE w:val="0"/>
        <w:autoSpaceDN w:val="0"/>
        <w:adjustRightInd w:val="0"/>
        <w:snapToGrid w:val="0"/>
        <w:spacing w:line="360" w:lineRule="auto"/>
        <w:ind w:firstLine="402"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lang w:val="en-US" w:eastAsia="zh-CN"/>
        </w:rPr>
        <w:t>八</w:t>
      </w:r>
      <w:r>
        <w:rPr>
          <w:rFonts w:hint="eastAsia" w:ascii="仿宋_GB2312" w:hAnsi="仿宋_GB2312" w:eastAsia="仿宋_GB2312" w:cs="仿宋_GB2312"/>
          <w:b/>
          <w:bCs/>
          <w:sz w:val="20"/>
          <w:szCs w:val="20"/>
        </w:rPr>
        <w:t>、验收</w:t>
      </w:r>
    </w:p>
    <w:p w14:paraId="68B1D6B5">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（一）本项目验收费用，由乙方自行承担。</w:t>
      </w:r>
    </w:p>
    <w:p w14:paraId="1118FCC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货物到达甲方指定地点后，甲方根据合同要求，进行验收，确认产地、规格数量。必要时委托具有相关资质的第三方检测机构或邀请行业内专家对货物外观质量进行抽样检验，检验费用由乙方承担。验收合格后，填写政府采购项目验收单(一式</w:t>
      </w:r>
      <w:r>
        <w:rPr>
          <w:rFonts w:hint="eastAsia" w:ascii="仿宋_GB2312" w:hAnsi="仿宋_GB2312" w:eastAsia="仿宋_GB2312" w:cs="仿宋_GB2312"/>
          <w:bCs/>
          <w:sz w:val="20"/>
          <w:szCs w:val="20"/>
          <w:u w:val="single"/>
          <w:lang w:val="en-US" w:eastAsia="zh-CN"/>
        </w:rPr>
        <w:t xml:space="preserve">   </w:t>
      </w:r>
      <w:r>
        <w:rPr>
          <w:rFonts w:hint="eastAsia" w:ascii="仿宋_GB2312" w:hAnsi="仿宋_GB2312" w:eastAsia="仿宋_GB2312" w:cs="仿宋_GB2312"/>
          <w:bCs/>
          <w:sz w:val="20"/>
          <w:szCs w:val="20"/>
        </w:rPr>
        <w:t>份)作为对项目的最终认可。</w:t>
      </w:r>
    </w:p>
    <w:p w14:paraId="695E966B">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w:t>
      </w:r>
      <w:r>
        <w:rPr>
          <w:rFonts w:hint="eastAsia" w:ascii="仿宋_GB2312" w:hAnsi="仿宋_GB2312" w:eastAsia="仿宋_GB2312" w:cs="仿宋_GB2312"/>
          <w:bCs/>
          <w:sz w:val="20"/>
          <w:szCs w:val="20"/>
          <w:lang w:val="en-US" w:eastAsia="zh-CN"/>
        </w:rPr>
        <w:t>三</w:t>
      </w:r>
      <w:r>
        <w:rPr>
          <w:rFonts w:hint="eastAsia" w:ascii="仿宋_GB2312" w:hAnsi="仿宋_GB2312" w:eastAsia="仿宋_GB2312" w:cs="仿宋_GB2312"/>
          <w:bCs/>
          <w:sz w:val="20"/>
          <w:szCs w:val="20"/>
        </w:rPr>
        <w:t>）验收依据：</w:t>
      </w:r>
    </w:p>
    <w:p w14:paraId="6699B29F">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1、本合同及附加文本；</w:t>
      </w:r>
    </w:p>
    <w:p w14:paraId="72857AF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2、磋商文件、成交供应商的响应文件及澄清（承诺）函；</w:t>
      </w:r>
    </w:p>
    <w:p w14:paraId="4E533B6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3、国家相应的标准、规范。</w:t>
      </w:r>
    </w:p>
    <w:p w14:paraId="49A63802">
      <w:pPr>
        <w:autoSpaceDE w:val="0"/>
        <w:autoSpaceDN w:val="0"/>
        <w:adjustRightInd w:val="0"/>
        <w:snapToGrid w:val="0"/>
        <w:spacing w:line="360" w:lineRule="auto"/>
        <w:ind w:firstLine="402" w:firstLineChars="200"/>
        <w:rPr>
          <w:rFonts w:hint="eastAsia" w:ascii="仿宋_GB2312" w:hAnsi="仿宋_GB2312" w:eastAsia="仿宋_GB2312" w:cs="仿宋_GB2312"/>
          <w:b/>
          <w:bCs w:val="0"/>
          <w:sz w:val="20"/>
          <w:szCs w:val="20"/>
          <w:lang w:val="en-US" w:eastAsia="zh-CN"/>
        </w:rPr>
      </w:pPr>
      <w:r>
        <w:rPr>
          <w:rFonts w:hint="eastAsia" w:ascii="仿宋_GB2312" w:hAnsi="仿宋_GB2312" w:eastAsia="仿宋_GB2312" w:cs="仿宋_GB2312"/>
          <w:b/>
          <w:bCs w:val="0"/>
          <w:sz w:val="20"/>
          <w:szCs w:val="20"/>
          <w:lang w:val="en-US" w:eastAsia="zh-CN"/>
        </w:rPr>
        <w:t>九、技术与服务</w:t>
      </w:r>
    </w:p>
    <w:p w14:paraId="38F7C0E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（一）技术资料</w:t>
      </w:r>
    </w:p>
    <w:p w14:paraId="35A687D3">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1、质量合格证；</w:t>
      </w:r>
    </w:p>
    <w:p w14:paraId="1CDD9245">
      <w:pPr>
        <w:autoSpaceDE w:val="0"/>
        <w:autoSpaceDN w:val="0"/>
        <w:adjustRightInd w:val="0"/>
        <w:snapToGrid w:val="0"/>
        <w:spacing w:line="360" w:lineRule="auto"/>
        <w:ind w:firstLine="400" w:firstLineChars="200"/>
        <w:rPr>
          <w:rFonts w:hint="default"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2、燃料成分及检测报告；</w:t>
      </w:r>
    </w:p>
    <w:p w14:paraId="7679FC68">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3、使用说明；</w:t>
      </w:r>
    </w:p>
    <w:p w14:paraId="0BC516CC">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4、其他资料。</w:t>
      </w:r>
    </w:p>
    <w:p w14:paraId="0EA9B61C">
      <w:pPr>
        <w:autoSpaceDE w:val="0"/>
        <w:autoSpaceDN w:val="0"/>
        <w:adjustRightInd w:val="0"/>
        <w:snapToGrid w:val="0"/>
        <w:spacing w:line="360" w:lineRule="auto"/>
        <w:ind w:firstLine="400" w:firstLineChars="200"/>
        <w:rPr>
          <w:rFonts w:hint="default"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（二）服务承诺</w:t>
      </w:r>
    </w:p>
    <w:p w14:paraId="180B0C3D">
      <w:pPr>
        <w:autoSpaceDE w:val="0"/>
        <w:autoSpaceDN w:val="0"/>
        <w:adjustRightInd w:val="0"/>
        <w:snapToGrid w:val="0"/>
        <w:spacing w:line="360" w:lineRule="auto"/>
        <w:ind w:firstLine="400" w:firstLineChars="200"/>
        <w:rPr>
          <w:rFonts w:hint="default"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lang w:val="en-US" w:eastAsia="zh-CN"/>
        </w:rPr>
        <w:t>以响应文件、</w:t>
      </w:r>
      <w:r>
        <w:rPr>
          <w:rFonts w:hint="eastAsia" w:ascii="仿宋_GB2312" w:hAnsi="仿宋_GB2312" w:eastAsia="仿宋_GB2312" w:cs="仿宋_GB2312"/>
          <w:bCs/>
          <w:sz w:val="20"/>
          <w:szCs w:val="20"/>
        </w:rPr>
        <w:t>澄清（承诺）函</w:t>
      </w:r>
      <w:r>
        <w:rPr>
          <w:rFonts w:hint="eastAsia" w:ascii="仿宋_GB2312" w:hAnsi="仿宋_GB2312" w:eastAsia="仿宋_GB2312" w:cs="仿宋_GB2312"/>
          <w:bCs/>
          <w:sz w:val="20"/>
          <w:szCs w:val="20"/>
          <w:lang w:eastAsia="zh-CN"/>
        </w:rPr>
        <w:t>、</w:t>
      </w:r>
      <w:r>
        <w:rPr>
          <w:rFonts w:hint="eastAsia" w:ascii="仿宋_GB2312" w:hAnsi="仿宋_GB2312" w:eastAsia="仿宋_GB2312" w:cs="仿宋_GB2312"/>
          <w:bCs/>
          <w:sz w:val="20"/>
          <w:szCs w:val="20"/>
          <w:lang w:val="en-US" w:eastAsia="zh-CN"/>
        </w:rPr>
        <w:t>合同和货物的相关文件为准。</w:t>
      </w:r>
    </w:p>
    <w:p w14:paraId="5A9FE02E">
      <w:pPr>
        <w:autoSpaceDE w:val="0"/>
        <w:autoSpaceDN w:val="0"/>
        <w:adjustRightInd w:val="0"/>
        <w:snapToGrid w:val="0"/>
        <w:spacing w:line="360" w:lineRule="auto"/>
        <w:ind w:firstLine="402" w:firstLineChars="200"/>
        <w:rPr>
          <w:rFonts w:hint="eastAsia" w:ascii="仿宋_GB2312" w:hAnsi="仿宋_GB2312" w:eastAsia="仿宋_GB2312" w:cs="仿宋_GB2312"/>
          <w:b/>
          <w:bCs w:val="0"/>
          <w:sz w:val="20"/>
          <w:szCs w:val="20"/>
        </w:rPr>
      </w:pPr>
      <w:r>
        <w:rPr>
          <w:rFonts w:hint="eastAsia" w:ascii="仿宋_GB2312" w:hAnsi="仿宋_GB2312" w:eastAsia="仿宋_GB2312" w:cs="仿宋_GB2312"/>
          <w:b/>
          <w:bCs w:val="0"/>
          <w:sz w:val="20"/>
          <w:szCs w:val="20"/>
          <w:lang w:val="en-US" w:eastAsia="zh-CN"/>
        </w:rPr>
        <w:t>十</w:t>
      </w:r>
      <w:r>
        <w:rPr>
          <w:rFonts w:hint="eastAsia" w:ascii="仿宋_GB2312" w:hAnsi="仿宋_GB2312" w:eastAsia="仿宋_GB2312" w:cs="仿宋_GB2312"/>
          <w:b/>
          <w:bCs w:val="0"/>
          <w:sz w:val="20"/>
          <w:szCs w:val="20"/>
        </w:rPr>
        <w:t>、违约责任</w:t>
      </w:r>
    </w:p>
    <w:p w14:paraId="2F7C210B">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（一）按《中华人民共和国民法典》中的相关条款执行。</w:t>
      </w:r>
    </w:p>
    <w:p w14:paraId="189BBDA6">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val="en-US" w:eastAsia="zh-CN"/>
        </w:rPr>
      </w:pPr>
      <w:r>
        <w:rPr>
          <w:rFonts w:hint="eastAsia" w:ascii="仿宋_GB2312" w:hAnsi="仿宋_GB2312" w:eastAsia="仿宋_GB2312" w:cs="仿宋_GB2312"/>
          <w:bCs/>
          <w:sz w:val="20"/>
          <w:szCs w:val="20"/>
        </w:rPr>
        <w:t>（二）每次供货，若</w:t>
      </w:r>
      <w:r>
        <w:rPr>
          <w:rFonts w:hint="eastAsia" w:ascii="仿宋_GB2312" w:hAnsi="仿宋_GB2312" w:eastAsia="仿宋_GB2312" w:cs="仿宋_GB2312"/>
          <w:bCs/>
          <w:sz w:val="20"/>
          <w:szCs w:val="20"/>
          <w:lang w:val="en-US" w:eastAsia="zh-CN"/>
        </w:rPr>
        <w:t>乙方</w:t>
      </w:r>
      <w:r>
        <w:rPr>
          <w:rFonts w:hint="eastAsia" w:ascii="仿宋_GB2312" w:hAnsi="仿宋_GB2312" w:eastAsia="仿宋_GB2312" w:cs="仿宋_GB2312"/>
          <w:bCs/>
          <w:sz w:val="20"/>
          <w:szCs w:val="20"/>
        </w:rPr>
        <w:t>由于非不可抗力原因导致无法按时配送到位，每迟</w:t>
      </w:r>
      <w:r>
        <w:rPr>
          <w:rFonts w:hint="eastAsia" w:ascii="仿宋_GB2312" w:hAnsi="仿宋_GB2312" w:eastAsia="仿宋_GB2312" w:cs="仿宋_GB2312"/>
          <w:bCs/>
          <w:sz w:val="20"/>
          <w:szCs w:val="20"/>
          <w:lang w:val="en-US" w:eastAsia="zh-CN"/>
        </w:rPr>
        <w:t>延</w:t>
      </w:r>
      <w:r>
        <w:rPr>
          <w:rFonts w:hint="eastAsia" w:ascii="仿宋_GB2312" w:hAnsi="仿宋_GB2312" w:eastAsia="仿宋_GB2312" w:cs="仿宋_GB2312"/>
          <w:bCs/>
          <w:sz w:val="20"/>
          <w:szCs w:val="20"/>
        </w:rPr>
        <w:t>1天，应按</w:t>
      </w:r>
      <w:r>
        <w:rPr>
          <w:rFonts w:hint="eastAsia" w:ascii="仿宋_GB2312" w:hAnsi="仿宋_GB2312" w:eastAsia="仿宋_GB2312" w:cs="仿宋_GB2312"/>
          <w:bCs/>
          <w:sz w:val="20"/>
          <w:szCs w:val="20"/>
          <w:lang w:val="en-US" w:eastAsia="zh-CN"/>
        </w:rPr>
        <w:t>迟延</w:t>
      </w:r>
      <w:r>
        <w:rPr>
          <w:rFonts w:hint="eastAsia" w:ascii="仿宋_GB2312" w:hAnsi="仿宋_GB2312" w:eastAsia="仿宋_GB2312" w:cs="仿宋_GB2312"/>
          <w:bCs/>
          <w:sz w:val="20"/>
          <w:szCs w:val="20"/>
        </w:rPr>
        <w:t>交付货物价款的千分之五向甲方支付违约金</w:t>
      </w:r>
      <w:r>
        <w:rPr>
          <w:rFonts w:hint="eastAsia" w:ascii="仿宋_GB2312" w:hAnsi="仿宋_GB2312" w:eastAsia="仿宋_GB2312" w:cs="仿宋_GB2312"/>
          <w:bCs/>
          <w:sz w:val="20"/>
          <w:szCs w:val="20"/>
          <w:lang w:eastAsia="zh-CN"/>
        </w:rPr>
        <w:t>（</w:t>
      </w:r>
      <w:r>
        <w:rPr>
          <w:rFonts w:hint="eastAsia" w:ascii="仿宋_GB2312" w:hAnsi="仿宋_GB2312" w:eastAsia="仿宋_GB2312" w:cs="仿宋_GB2312"/>
          <w:bCs/>
          <w:sz w:val="20"/>
          <w:szCs w:val="20"/>
          <w:lang w:val="en-US" w:eastAsia="zh-CN"/>
        </w:rPr>
        <w:t>甲方可直接从未付货款中扣除</w:t>
      </w:r>
      <w:r>
        <w:rPr>
          <w:rFonts w:hint="eastAsia" w:ascii="仿宋_GB2312" w:hAnsi="仿宋_GB2312" w:eastAsia="仿宋_GB2312" w:cs="仿宋_GB2312"/>
          <w:bCs/>
          <w:sz w:val="20"/>
          <w:szCs w:val="20"/>
          <w:lang w:eastAsia="zh-CN"/>
        </w:rPr>
        <w:t>）</w:t>
      </w:r>
      <w:r>
        <w:rPr>
          <w:rFonts w:hint="eastAsia" w:ascii="仿宋_GB2312" w:hAnsi="仿宋_GB2312" w:eastAsia="仿宋_GB2312" w:cs="仿宋_GB2312"/>
          <w:bCs/>
          <w:sz w:val="20"/>
          <w:szCs w:val="20"/>
        </w:rPr>
        <w:t>。逾期超过15日，甲方有权</w:t>
      </w:r>
      <w:r>
        <w:rPr>
          <w:rFonts w:hint="eastAsia" w:ascii="仿宋_GB2312" w:hAnsi="仿宋_GB2312" w:eastAsia="仿宋_GB2312" w:cs="仿宋_GB2312"/>
          <w:bCs/>
          <w:sz w:val="20"/>
          <w:szCs w:val="20"/>
          <w:lang w:val="en-US" w:eastAsia="zh-CN"/>
        </w:rPr>
        <w:t>单方</w:t>
      </w:r>
      <w:r>
        <w:rPr>
          <w:rFonts w:hint="eastAsia" w:ascii="仿宋_GB2312" w:hAnsi="仿宋_GB2312" w:eastAsia="仿宋_GB2312" w:cs="仿宋_GB2312"/>
          <w:bCs/>
          <w:sz w:val="20"/>
          <w:szCs w:val="20"/>
        </w:rPr>
        <w:t>解除合同，并要求乙方承担合同总价20%的违约责任并赔偿全部损失</w:t>
      </w:r>
      <w:r>
        <w:rPr>
          <w:rFonts w:hint="eastAsia" w:ascii="仿宋_GB2312" w:hAnsi="仿宋_GB2312" w:eastAsia="仿宋_GB2312" w:cs="仿宋_GB2312"/>
          <w:bCs/>
          <w:sz w:val="20"/>
          <w:szCs w:val="20"/>
          <w:lang w:eastAsia="zh-CN"/>
        </w:rPr>
        <w:t>。</w:t>
      </w:r>
    </w:p>
    <w:p w14:paraId="75A6D693">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w:t>
      </w:r>
    </w:p>
    <w:p w14:paraId="4BDFD4F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（四）任何一方因不可抗力原因不能履行协议时，应尽快通知对方，双方均设法补偿。如仍无法履约协议，可协商延缓或撤销协议，双方责任免除。</w:t>
      </w:r>
    </w:p>
    <w:p w14:paraId="40C51441">
      <w:pPr>
        <w:autoSpaceDE w:val="0"/>
        <w:autoSpaceDN w:val="0"/>
        <w:adjustRightInd w:val="0"/>
        <w:snapToGrid w:val="0"/>
        <w:spacing w:line="360" w:lineRule="auto"/>
        <w:ind w:firstLine="402" w:firstLineChars="200"/>
        <w:rPr>
          <w:rFonts w:hint="eastAsia" w:ascii="仿宋_GB2312" w:hAnsi="仿宋_GB2312" w:eastAsia="仿宋_GB2312" w:cs="仿宋_GB2312"/>
          <w:bCs/>
          <w:sz w:val="20"/>
          <w:szCs w:val="20"/>
        </w:rPr>
      </w:pPr>
      <w:r>
        <w:rPr>
          <w:rFonts w:hint="eastAsia" w:ascii="仿宋_GB2312" w:hAnsi="仿宋_GB2312" w:eastAsia="仿宋_GB2312" w:cs="仿宋_GB2312"/>
          <w:b/>
          <w:bCs/>
          <w:sz w:val="20"/>
          <w:szCs w:val="20"/>
        </w:rPr>
        <w:t>十</w:t>
      </w:r>
      <w:r>
        <w:rPr>
          <w:rFonts w:hint="eastAsia" w:ascii="仿宋_GB2312" w:hAnsi="仿宋_GB2312" w:eastAsia="仿宋_GB2312" w:cs="仿宋_GB2312"/>
          <w:b/>
          <w:bCs/>
          <w:sz w:val="20"/>
          <w:szCs w:val="20"/>
          <w:lang w:val="en-US" w:eastAsia="zh-CN"/>
        </w:rPr>
        <w:t>一</w:t>
      </w:r>
      <w:r>
        <w:rPr>
          <w:rFonts w:hint="eastAsia" w:ascii="仿宋_GB2312" w:hAnsi="仿宋_GB2312" w:eastAsia="仿宋_GB2312" w:cs="仿宋_GB2312"/>
          <w:b/>
          <w:bCs/>
          <w:sz w:val="20"/>
          <w:szCs w:val="20"/>
        </w:rPr>
        <w:t>、合同争议解决的方式</w:t>
      </w:r>
    </w:p>
    <w:p w14:paraId="1350BA76">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（一）本合同在履行过程中发生的争议，由甲、乙双方当事人协商解决，协商不成的按下列第</w:t>
      </w:r>
      <w:r>
        <w:rPr>
          <w:rFonts w:hint="eastAsia" w:ascii="仿宋_GB2312" w:hAnsi="仿宋_GB2312" w:eastAsia="仿宋_GB2312" w:cs="仿宋_GB2312"/>
          <w:bCs/>
          <w:sz w:val="20"/>
          <w:szCs w:val="20"/>
          <w:u w:val="single"/>
        </w:rPr>
        <w:t xml:space="preserve"> 2 </w:t>
      </w:r>
      <w:r>
        <w:rPr>
          <w:rFonts w:hint="eastAsia" w:ascii="仿宋_GB2312" w:hAnsi="仿宋_GB2312" w:eastAsia="仿宋_GB2312" w:cs="仿宋_GB2312"/>
          <w:bCs/>
          <w:sz w:val="20"/>
          <w:szCs w:val="20"/>
        </w:rPr>
        <w:t>种方式解决：</w:t>
      </w:r>
    </w:p>
    <w:p w14:paraId="76732C89">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1、提交甲方所在地仲裁委员会仲裁；</w:t>
      </w:r>
    </w:p>
    <w:p w14:paraId="42A57E21">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2、依法向甲方所在地人民法院起诉。</w:t>
      </w:r>
    </w:p>
    <w:p w14:paraId="6C6FD41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（二）因质量问题发生的争议，由国家权威技术单位进行质量鉴定，该鉴定结论为最终结果，甲乙双方应当接受。</w:t>
      </w:r>
    </w:p>
    <w:p w14:paraId="052A848D">
      <w:pPr>
        <w:autoSpaceDE w:val="0"/>
        <w:autoSpaceDN w:val="0"/>
        <w:adjustRightInd w:val="0"/>
        <w:snapToGrid w:val="0"/>
        <w:spacing w:line="360" w:lineRule="auto"/>
        <w:ind w:firstLine="402" w:firstLineChars="200"/>
        <w:rPr>
          <w:rFonts w:hint="default" w:ascii="仿宋_GB2312" w:hAnsi="仿宋_GB2312" w:eastAsia="仿宋_GB2312" w:cs="仿宋_GB2312"/>
          <w:b/>
          <w:bCs/>
          <w:sz w:val="20"/>
          <w:szCs w:val="20"/>
          <w:lang w:val="en-US" w:eastAsia="zh-CN"/>
        </w:rPr>
      </w:pPr>
      <w:r>
        <w:rPr>
          <w:rFonts w:hint="eastAsia" w:ascii="仿宋_GB2312" w:hAnsi="仿宋_GB2312" w:eastAsia="仿宋_GB2312" w:cs="仿宋_GB2312"/>
          <w:b/>
          <w:bCs/>
          <w:sz w:val="20"/>
          <w:szCs w:val="20"/>
        </w:rPr>
        <w:t>十</w:t>
      </w:r>
      <w:r>
        <w:rPr>
          <w:rFonts w:hint="eastAsia" w:ascii="仿宋_GB2312" w:hAnsi="仿宋_GB2312" w:eastAsia="仿宋_GB2312" w:cs="仿宋_GB2312"/>
          <w:b/>
          <w:bCs/>
          <w:sz w:val="20"/>
          <w:szCs w:val="20"/>
          <w:lang w:val="en-US" w:eastAsia="zh-CN"/>
        </w:rPr>
        <w:t>二</w:t>
      </w:r>
      <w:r>
        <w:rPr>
          <w:rFonts w:hint="eastAsia" w:ascii="仿宋_GB2312" w:hAnsi="仿宋_GB2312" w:eastAsia="仿宋_GB2312" w:cs="仿宋_GB2312"/>
          <w:b/>
          <w:bCs/>
          <w:sz w:val="20"/>
          <w:szCs w:val="20"/>
        </w:rPr>
        <w:t>、合同生效</w:t>
      </w:r>
      <w:r>
        <w:rPr>
          <w:rFonts w:hint="eastAsia" w:ascii="仿宋_GB2312" w:hAnsi="仿宋_GB2312" w:eastAsia="仿宋_GB2312" w:cs="仿宋_GB2312"/>
          <w:b/>
          <w:bCs/>
          <w:sz w:val="20"/>
          <w:szCs w:val="20"/>
          <w:lang w:val="en-US" w:eastAsia="zh-CN"/>
        </w:rPr>
        <w:t>与送达</w:t>
      </w:r>
    </w:p>
    <w:p w14:paraId="4EF47EF5">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（一）本合同须经甲、乙双方的法定代表人（授权代理人）在合同书上签字并加盖本单位公章后正式生效。</w:t>
      </w:r>
    </w:p>
    <w:p w14:paraId="3D62B8DB">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（二）合同生效后，甲、乙双方须严格执行本合同条款的规定，全面履行合同，违者按《中华人民共和国民法典》的有关规定承担相应责任。</w:t>
      </w:r>
    </w:p>
    <w:p w14:paraId="11F68BDA">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（三）本合同一式</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份，甲乙双方各执</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份。</w:t>
      </w:r>
    </w:p>
    <w:p w14:paraId="16473B23">
      <w:pPr>
        <w:pStyle w:val="2"/>
        <w:ind w:firstLine="400" w:firstLineChars="200"/>
        <w:rPr>
          <w:rFonts w:hint="eastAsia" w:ascii="仿宋_GB2312" w:hAnsi="仿宋_GB2312" w:eastAsia="仿宋_GB2312" w:cs="仿宋_GB2312"/>
          <w:bCs/>
          <w:snapToGrid w:val="0"/>
          <w:sz w:val="20"/>
          <w:szCs w:val="20"/>
          <w:lang w:eastAsia="en-US"/>
        </w:rPr>
      </w:pPr>
      <w:r>
        <w:rPr>
          <w:rFonts w:hint="eastAsia" w:ascii="仿宋_GB2312" w:hAnsi="仿宋_GB2312" w:eastAsia="仿宋_GB2312" w:cs="仿宋_GB2312"/>
          <w:bCs/>
          <w:snapToGrid w:val="0"/>
          <w:sz w:val="20"/>
          <w:szCs w:val="20"/>
          <w:lang w:eastAsia="en-US"/>
        </w:rPr>
        <w:t>（四）本合同如有未尽事宜，甲、乙双方协商解决。</w:t>
      </w:r>
    </w:p>
    <w:p w14:paraId="14726748">
      <w:pPr>
        <w:pStyle w:val="2"/>
        <w:ind w:firstLine="400" w:firstLineChars="200"/>
        <w:rPr>
          <w:rFonts w:hint="eastAsia" w:ascii="仿宋_GB2312" w:hAnsi="仿宋_GB2312" w:eastAsia="仿宋_GB2312" w:cs="仿宋_GB2312"/>
          <w:bCs/>
          <w:snapToGrid w:val="0"/>
          <w:sz w:val="20"/>
          <w:szCs w:val="20"/>
          <w:lang w:val="en-US" w:eastAsia="en-US"/>
        </w:rPr>
      </w:pPr>
      <w:r>
        <w:rPr>
          <w:rFonts w:hint="eastAsia" w:ascii="仿宋_GB2312" w:hAnsi="仿宋_GB2312" w:eastAsia="仿宋_GB2312" w:cs="仿宋_GB2312"/>
          <w:bCs/>
          <w:snapToGrid w:val="0"/>
          <w:sz w:val="20"/>
          <w:szCs w:val="20"/>
          <w:lang w:eastAsia="en-US"/>
        </w:rPr>
        <w:t>（</w:t>
      </w:r>
      <w:r>
        <w:rPr>
          <w:rFonts w:hint="eastAsia" w:ascii="仿宋_GB2312" w:hAnsi="仿宋_GB2312" w:eastAsia="仿宋_GB2312" w:cs="仿宋_GB2312"/>
          <w:bCs/>
          <w:snapToGrid w:val="0"/>
          <w:sz w:val="20"/>
          <w:szCs w:val="20"/>
          <w:lang w:val="en-US" w:eastAsia="en-US"/>
        </w:rPr>
        <w:t>五</w:t>
      </w:r>
      <w:r>
        <w:rPr>
          <w:rFonts w:hint="eastAsia" w:ascii="仿宋_GB2312" w:hAnsi="仿宋_GB2312" w:eastAsia="仿宋_GB2312" w:cs="仿宋_GB2312"/>
          <w:bCs/>
          <w:snapToGrid w:val="0"/>
          <w:sz w:val="20"/>
          <w:szCs w:val="20"/>
          <w:lang w:eastAsia="en-US"/>
        </w:rPr>
        <w:t>）</w:t>
      </w:r>
      <w:r>
        <w:rPr>
          <w:rFonts w:hint="eastAsia" w:ascii="仿宋_GB2312" w:hAnsi="仿宋_GB2312" w:eastAsia="仿宋_GB2312" w:cs="仿宋_GB2312"/>
          <w:bCs/>
          <w:snapToGrid w:val="0"/>
          <w:sz w:val="20"/>
          <w:szCs w:val="20"/>
          <w:lang w:val="en-US" w:eastAsia="en-US"/>
        </w:rPr>
        <w:t>甲乙双方确认本方的送达地址为合同落款处记载的地址，任何与本合同有关的通知、函件、法律文书按该地址寄送即视为有效送达；变更送达地址应当提前3日书面通知对方，否则按原地址寄送仍视为有效送达。</w:t>
      </w:r>
    </w:p>
    <w:tbl>
      <w:tblPr>
        <w:tblStyle w:val="9"/>
        <w:tblW w:w="0" w:type="auto"/>
        <w:jc w:val="center"/>
        <w:tblLayout w:type="fixed"/>
        <w:tblCellMar>
          <w:top w:w="0" w:type="dxa"/>
          <w:left w:w="108" w:type="dxa"/>
          <w:bottom w:w="0" w:type="dxa"/>
          <w:right w:w="108" w:type="dxa"/>
        </w:tblCellMar>
      </w:tblPr>
      <w:tblGrid>
        <w:gridCol w:w="4201"/>
        <w:gridCol w:w="4202"/>
      </w:tblGrid>
      <w:tr w14:paraId="702CB1D0">
        <w:tblPrEx>
          <w:tblCellMar>
            <w:top w:w="0" w:type="dxa"/>
            <w:left w:w="108" w:type="dxa"/>
            <w:bottom w:w="0" w:type="dxa"/>
            <w:right w:w="108" w:type="dxa"/>
          </w:tblCellMar>
        </w:tblPrEx>
        <w:trPr>
          <w:trHeight w:val="567" w:hRule="exact"/>
          <w:jc w:val="center"/>
        </w:trPr>
        <w:tc>
          <w:tcPr>
            <w:tcW w:w="4201" w:type="dxa"/>
            <w:noWrap w:val="0"/>
            <w:vAlign w:val="center"/>
          </w:tcPr>
          <w:p w14:paraId="11054E37">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甲  方</w:t>
            </w:r>
          </w:p>
        </w:tc>
        <w:tc>
          <w:tcPr>
            <w:tcW w:w="4202" w:type="dxa"/>
            <w:noWrap w:val="0"/>
            <w:vAlign w:val="center"/>
          </w:tcPr>
          <w:p w14:paraId="7DA752F6">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乙  方</w:t>
            </w:r>
          </w:p>
        </w:tc>
      </w:tr>
      <w:tr w14:paraId="7B136016">
        <w:tblPrEx>
          <w:tblCellMar>
            <w:top w:w="0" w:type="dxa"/>
            <w:left w:w="108" w:type="dxa"/>
            <w:bottom w:w="0" w:type="dxa"/>
            <w:right w:w="108" w:type="dxa"/>
          </w:tblCellMar>
        </w:tblPrEx>
        <w:trPr>
          <w:trHeight w:val="567" w:hRule="exact"/>
          <w:jc w:val="center"/>
        </w:trPr>
        <w:tc>
          <w:tcPr>
            <w:tcW w:w="4201" w:type="dxa"/>
            <w:noWrap w:val="0"/>
            <w:vAlign w:val="center"/>
          </w:tcPr>
          <w:p w14:paraId="590FFBE5">
            <w:pPr>
              <w:autoSpaceDE w:val="0"/>
              <w:autoSpaceDN w:val="0"/>
              <w:adjustRightInd w:val="0"/>
              <w:ind w:firstLine="560" w:firstLineChars="35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（盖章）</w:t>
            </w:r>
          </w:p>
        </w:tc>
        <w:tc>
          <w:tcPr>
            <w:tcW w:w="4202" w:type="dxa"/>
            <w:noWrap w:val="0"/>
            <w:vAlign w:val="center"/>
          </w:tcPr>
          <w:p w14:paraId="09B5C120">
            <w:pPr>
              <w:autoSpaceDE w:val="0"/>
              <w:autoSpaceDN w:val="0"/>
              <w:adjustRightInd w:val="0"/>
              <w:ind w:firstLine="640" w:firstLineChars="40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（盖章）</w:t>
            </w:r>
          </w:p>
        </w:tc>
      </w:tr>
      <w:tr w14:paraId="5D84B797">
        <w:tblPrEx>
          <w:tblCellMar>
            <w:top w:w="0" w:type="dxa"/>
            <w:left w:w="108" w:type="dxa"/>
            <w:bottom w:w="0" w:type="dxa"/>
            <w:right w:w="108" w:type="dxa"/>
          </w:tblCellMar>
        </w:tblPrEx>
        <w:trPr>
          <w:trHeight w:val="567" w:hRule="exact"/>
          <w:jc w:val="center"/>
        </w:trPr>
        <w:tc>
          <w:tcPr>
            <w:tcW w:w="4201" w:type="dxa"/>
            <w:noWrap w:val="0"/>
            <w:vAlign w:val="center"/>
          </w:tcPr>
          <w:p w14:paraId="0B28BB48">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 xml:space="preserve">地址： </w:t>
            </w:r>
          </w:p>
        </w:tc>
        <w:tc>
          <w:tcPr>
            <w:tcW w:w="4202" w:type="dxa"/>
            <w:noWrap w:val="0"/>
            <w:vAlign w:val="center"/>
          </w:tcPr>
          <w:p w14:paraId="4B8ED4DA">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地址：</w:t>
            </w:r>
          </w:p>
        </w:tc>
      </w:tr>
      <w:tr w14:paraId="0E280685">
        <w:tblPrEx>
          <w:tblCellMar>
            <w:top w:w="0" w:type="dxa"/>
            <w:left w:w="108" w:type="dxa"/>
            <w:bottom w:w="0" w:type="dxa"/>
            <w:right w:w="108" w:type="dxa"/>
          </w:tblCellMar>
        </w:tblPrEx>
        <w:trPr>
          <w:trHeight w:val="567" w:hRule="exact"/>
          <w:jc w:val="center"/>
        </w:trPr>
        <w:tc>
          <w:tcPr>
            <w:tcW w:w="4201" w:type="dxa"/>
            <w:noWrap w:val="0"/>
            <w:vAlign w:val="center"/>
          </w:tcPr>
          <w:p w14:paraId="5C24BCAF">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 xml:space="preserve">法定代表人： </w:t>
            </w:r>
          </w:p>
        </w:tc>
        <w:tc>
          <w:tcPr>
            <w:tcW w:w="4202" w:type="dxa"/>
            <w:noWrap w:val="0"/>
            <w:vAlign w:val="center"/>
          </w:tcPr>
          <w:p w14:paraId="7F70AE6B">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法定代表人：</w:t>
            </w:r>
          </w:p>
        </w:tc>
      </w:tr>
      <w:tr w14:paraId="33016B2D">
        <w:tblPrEx>
          <w:tblCellMar>
            <w:top w:w="0" w:type="dxa"/>
            <w:left w:w="108" w:type="dxa"/>
            <w:bottom w:w="0" w:type="dxa"/>
            <w:right w:w="108" w:type="dxa"/>
          </w:tblCellMar>
        </w:tblPrEx>
        <w:trPr>
          <w:trHeight w:val="567" w:hRule="exact"/>
          <w:jc w:val="center"/>
        </w:trPr>
        <w:tc>
          <w:tcPr>
            <w:tcW w:w="4201" w:type="dxa"/>
            <w:noWrap w:val="0"/>
            <w:vAlign w:val="center"/>
          </w:tcPr>
          <w:p w14:paraId="539C3490">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被授权代表：</w:t>
            </w:r>
          </w:p>
        </w:tc>
        <w:tc>
          <w:tcPr>
            <w:tcW w:w="4202" w:type="dxa"/>
            <w:noWrap w:val="0"/>
            <w:vAlign w:val="center"/>
          </w:tcPr>
          <w:p w14:paraId="54DE58BB">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被授权代表：</w:t>
            </w:r>
          </w:p>
        </w:tc>
      </w:tr>
      <w:tr w14:paraId="35472646">
        <w:tblPrEx>
          <w:tblCellMar>
            <w:top w:w="0" w:type="dxa"/>
            <w:left w:w="108" w:type="dxa"/>
            <w:bottom w:w="0" w:type="dxa"/>
            <w:right w:w="108" w:type="dxa"/>
          </w:tblCellMar>
        </w:tblPrEx>
        <w:trPr>
          <w:trHeight w:val="567" w:hRule="exact"/>
          <w:jc w:val="center"/>
        </w:trPr>
        <w:tc>
          <w:tcPr>
            <w:tcW w:w="4201" w:type="dxa"/>
            <w:noWrap w:val="0"/>
            <w:vAlign w:val="center"/>
          </w:tcPr>
          <w:p w14:paraId="0AD5BEE4">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电话：</w:t>
            </w:r>
          </w:p>
        </w:tc>
        <w:tc>
          <w:tcPr>
            <w:tcW w:w="4202" w:type="dxa"/>
            <w:noWrap w:val="0"/>
            <w:vAlign w:val="center"/>
          </w:tcPr>
          <w:p w14:paraId="17E38526">
            <w:pPr>
              <w:autoSpaceDE w:val="0"/>
              <w:autoSpaceDN w:val="0"/>
              <w:adjustRightInd w:val="0"/>
              <w:ind w:left="720" w:hanging="480" w:hangingChars="30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电话：</w:t>
            </w:r>
          </w:p>
        </w:tc>
      </w:tr>
      <w:tr w14:paraId="4BD27578">
        <w:tblPrEx>
          <w:tblCellMar>
            <w:top w:w="0" w:type="dxa"/>
            <w:left w:w="108" w:type="dxa"/>
            <w:bottom w:w="0" w:type="dxa"/>
            <w:right w:w="108" w:type="dxa"/>
          </w:tblCellMar>
        </w:tblPrEx>
        <w:trPr>
          <w:trHeight w:val="567" w:hRule="exact"/>
          <w:jc w:val="center"/>
        </w:trPr>
        <w:tc>
          <w:tcPr>
            <w:tcW w:w="4201" w:type="dxa"/>
            <w:noWrap w:val="0"/>
            <w:vAlign w:val="center"/>
          </w:tcPr>
          <w:p w14:paraId="3643011C">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传真：</w:t>
            </w:r>
          </w:p>
        </w:tc>
        <w:tc>
          <w:tcPr>
            <w:tcW w:w="4202" w:type="dxa"/>
            <w:noWrap w:val="0"/>
            <w:vAlign w:val="center"/>
          </w:tcPr>
          <w:p w14:paraId="78FA567C">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传真：</w:t>
            </w:r>
          </w:p>
        </w:tc>
      </w:tr>
      <w:tr w14:paraId="497C0E9C">
        <w:tblPrEx>
          <w:tblCellMar>
            <w:top w:w="0" w:type="dxa"/>
            <w:left w:w="108" w:type="dxa"/>
            <w:bottom w:w="0" w:type="dxa"/>
            <w:right w:w="108" w:type="dxa"/>
          </w:tblCellMar>
        </w:tblPrEx>
        <w:trPr>
          <w:trHeight w:val="567" w:hRule="exact"/>
          <w:jc w:val="center"/>
        </w:trPr>
        <w:tc>
          <w:tcPr>
            <w:tcW w:w="4201" w:type="dxa"/>
            <w:noWrap w:val="0"/>
            <w:vAlign w:val="center"/>
          </w:tcPr>
          <w:p w14:paraId="14586EDE">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开户银行：</w:t>
            </w:r>
          </w:p>
        </w:tc>
        <w:tc>
          <w:tcPr>
            <w:tcW w:w="4202" w:type="dxa"/>
            <w:noWrap w:val="0"/>
            <w:vAlign w:val="center"/>
          </w:tcPr>
          <w:p w14:paraId="2E03DD82">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开户银行：</w:t>
            </w:r>
          </w:p>
        </w:tc>
      </w:tr>
    </w:tbl>
    <w:p w14:paraId="4790238C">
      <w:pPr>
        <w:keepNext w:val="0"/>
        <w:keepLines w:val="0"/>
        <w:pageBreakBefore w:val="0"/>
        <w:widowControl w:val="0"/>
        <w:kinsoku/>
        <w:wordWrap/>
        <w:overflowPunct/>
        <w:topLinePunct w:val="0"/>
        <w:bidi w:val="0"/>
        <w:spacing w:line="560" w:lineRule="exact"/>
        <w:ind w:firstLine="420" w:firstLineChars="200"/>
        <w:textAlignment w:val="auto"/>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汉仪中黑简">
    <w:altName w:val="黑体"/>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3674E6"/>
    <w:rsid w:val="01091F26"/>
    <w:rsid w:val="029C1412"/>
    <w:rsid w:val="047E2BDC"/>
    <w:rsid w:val="04AD7ABA"/>
    <w:rsid w:val="060C64A3"/>
    <w:rsid w:val="07554228"/>
    <w:rsid w:val="088B0AD2"/>
    <w:rsid w:val="08B82EF3"/>
    <w:rsid w:val="0B060E63"/>
    <w:rsid w:val="0CA43C19"/>
    <w:rsid w:val="0E6810FB"/>
    <w:rsid w:val="14B37887"/>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912B72"/>
    <w:rsid w:val="32F94991"/>
    <w:rsid w:val="342B6D4B"/>
    <w:rsid w:val="34335712"/>
    <w:rsid w:val="34651AF2"/>
    <w:rsid w:val="34F00B08"/>
    <w:rsid w:val="34FC549D"/>
    <w:rsid w:val="366E3E9D"/>
    <w:rsid w:val="3A102E54"/>
    <w:rsid w:val="3B6E0E98"/>
    <w:rsid w:val="3DF24001"/>
    <w:rsid w:val="435720D9"/>
    <w:rsid w:val="459B04FB"/>
    <w:rsid w:val="46784A78"/>
    <w:rsid w:val="475F17EC"/>
    <w:rsid w:val="4D6132AA"/>
    <w:rsid w:val="4E0B7D9B"/>
    <w:rsid w:val="50CA2930"/>
    <w:rsid w:val="51F233A7"/>
    <w:rsid w:val="54BA2AE5"/>
    <w:rsid w:val="57BB08A7"/>
    <w:rsid w:val="58907E91"/>
    <w:rsid w:val="58DF3ACC"/>
    <w:rsid w:val="59C3741A"/>
    <w:rsid w:val="5B1E7567"/>
    <w:rsid w:val="5C440896"/>
    <w:rsid w:val="5E496E33"/>
    <w:rsid w:val="623C6124"/>
    <w:rsid w:val="68FC4253"/>
    <w:rsid w:val="690A53D6"/>
    <w:rsid w:val="6AF83D38"/>
    <w:rsid w:val="6E4E7318"/>
    <w:rsid w:val="7312139A"/>
    <w:rsid w:val="773B10EA"/>
    <w:rsid w:val="78571E88"/>
    <w:rsid w:val="78F637DD"/>
    <w:rsid w:val="7B864284"/>
    <w:rsid w:val="7B9C2A4D"/>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3"/>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汉仪中黑简" w:hAnsi="Times New Roman" w:eastAsia="汉仪中黑简" w:cs="汉仪中黑简"/>
      <w:color w:val="000000"/>
      <w:sz w:val="24"/>
      <w:szCs w:val="24"/>
      <w:lang w:val="en-US" w:eastAsia="zh-CN" w:bidi="ar-SA"/>
    </w:r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3">
    <w:name w:val="标题 1 Char"/>
    <w:link w:val="3"/>
    <w:qFormat/>
    <w:uiPriority w:val="0"/>
    <w:rPr>
      <w:rFonts w:ascii="黑体" w:eastAsia="黑体"/>
      <w:sz w:val="28"/>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样式 首行缩进:  2 字符"/>
    <w:basedOn w:val="1"/>
    <w:qFormat/>
    <w:uiPriority w:val="0"/>
    <w:pPr>
      <w:spacing w:line="400" w:lineRule="exact"/>
      <w:ind w:firstLine="200" w:firstLineChars="200"/>
    </w:pPr>
    <w:rPr>
      <w:rFonts w:cs="宋体"/>
      <w:sz w:val="24"/>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2808</Words>
  <Characters>2863</Characters>
  <Lines>0</Lines>
  <Paragraphs>0</Paragraphs>
  <TotalTime>0</TotalTime>
  <ScaleCrop>false</ScaleCrop>
  <LinksUpToDate>false</LinksUpToDate>
  <CharactersWithSpaces>2931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2025-08-06T07:00:00Z</cp:lastPrinted>
  <dcterms:modified xsi:type="dcterms:W3CDTF">2026-06-10T02:06:33Z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0337F0FB1C544A00B5D59602DBF64DAB_13</vt:lpwstr>
  </property>
  <property fmtid="{D5CDD505-2E9C-101B-9397-08002B2CF9AE}" pid="4" name="KSOTemplateDocerSaveRecord">
    <vt:lpwstr>eyJoZGlkIjoiZWMxNWU5MTM1NDJhMzM3NzZlNjAyMmRiMjcyMmY4OWYiLCJ1c2VySWQiOiI5MzY1NjA0ODAifQ==</vt:lpwstr>
  </property>
</Properties>
</file>