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版本号：JJYZ-CG-20260420260506001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商州区2025年度国土变更调查技术服务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JJYZ-CG-202604</w:t>
      </w:r>
      <w:r>
        <w:br/>
      </w:r>
      <w:r>
        <w:br/>
      </w:r>
      <w:r>
        <w:br/>
      </w:r>
    </w:p>
    <w:p>
      <w:pPr>
        <w:pStyle w:val="null3"/>
        <w:jc w:val="center"/>
        <w:outlineLvl w:val="2"/>
      </w:pPr>
      <w:r>
        <w:rPr>
          <w:rFonts w:ascii="仿宋_GB2312" w:hAnsi="仿宋_GB2312" w:cs="仿宋_GB2312" w:eastAsia="仿宋_GB2312"/>
          <w:sz w:val="28"/>
          <w:b/>
        </w:rPr>
        <w:t>商洛市自然资源局商州分局</w:t>
      </w:r>
    </w:p>
    <w:p>
      <w:pPr>
        <w:pStyle w:val="null3"/>
        <w:jc w:val="center"/>
        <w:outlineLvl w:val="2"/>
      </w:pPr>
      <w:r>
        <w:rPr>
          <w:rFonts w:ascii="仿宋_GB2312" w:hAnsi="仿宋_GB2312" w:cs="仿宋_GB2312" w:eastAsia="仿宋_GB2312"/>
          <w:sz w:val="28"/>
          <w:b/>
        </w:rPr>
        <w:t>金景雅筑项目管理咨询有限公司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金景雅筑项目管理咨询有限公司</w:t>
      </w:r>
      <w:r>
        <w:rPr>
          <w:rFonts w:ascii="仿宋_GB2312" w:hAnsi="仿宋_GB2312" w:cs="仿宋_GB2312" w:eastAsia="仿宋_GB2312"/>
        </w:rPr>
        <w:t>（以下简称“代理机构”）受</w:t>
      </w:r>
      <w:r>
        <w:rPr>
          <w:rFonts w:ascii="仿宋_GB2312" w:hAnsi="仿宋_GB2312" w:cs="仿宋_GB2312" w:eastAsia="仿宋_GB2312"/>
        </w:rPr>
        <w:t>商洛市自然资源局商州分局</w:t>
      </w:r>
      <w:r>
        <w:rPr>
          <w:rFonts w:ascii="仿宋_GB2312" w:hAnsi="仿宋_GB2312" w:cs="仿宋_GB2312" w:eastAsia="仿宋_GB2312"/>
        </w:rPr>
        <w:t>委托，拟对</w:t>
      </w:r>
      <w:r>
        <w:rPr>
          <w:rFonts w:ascii="仿宋_GB2312" w:hAnsi="仿宋_GB2312" w:cs="仿宋_GB2312" w:eastAsia="仿宋_GB2312"/>
        </w:rPr>
        <w:t>商州区2025年度国土变更调查技术服务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JJYZ-CG-202604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商州区2025年度国土变更调查技术服务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根据省自然资源厅和省林业局《关于做好2025年度国土变更调查及森林草原湿地荒调查监测工作的 通知》（陕自然资发〔2025〕1425号）安排部署，我局将开展2025年度国土变更调查工作。完成 年度全部地类变化调查，包括外业调查及举证、内业数据整理、数据库建设、报告编制、数据汇总统 计与分析等工作，动态更新各级国土调查及林草湿荒调查监测成果。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采购包1（商州区2025年度国土变更调查技术服务）：属于专门面向中小企业采购。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1、营业执照：有独立承担民事责任能力的法人或其他组织，提供合法有效的统一社会信用代码的营业执照或事业单位法人证书等国家规定的相关证明，自然人参与的提供其身份证明；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2、资质要求：供应商须具有测绘乙级以上（含乙级）资质；</w:t>
      </w:r>
    </w:p>
    <w:p>
      <w:pPr>
        <w:pStyle w:val="null3"/>
      </w:pPr>
      <w:r>
        <w:rPr>
          <w:rFonts w:ascii="仿宋_GB2312" w:hAnsi="仿宋_GB2312" w:cs="仿宋_GB2312" w:eastAsia="仿宋_GB2312"/>
        </w:rPr>
        <w:t>3、税收缴纳证明：提供磋商截止日前近六个月已缴纳的任意一个月的缴税证明，依法免税的投标人应提供相关文件证明；</w:t>
      </w:r>
    </w:p>
    <w:p>
      <w:pPr>
        <w:pStyle w:val="null3"/>
      </w:pPr>
      <w:r>
        <w:rPr>
          <w:rFonts w:ascii="仿宋_GB2312" w:hAnsi="仿宋_GB2312" w:cs="仿宋_GB2312" w:eastAsia="仿宋_GB2312"/>
        </w:rPr>
        <w:t>4、社会保障资金缴纳证明：提供磋商截止日前近六个月已缴纳的任意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5、财务状况报告：提供2024年或2025年度的财务审计报告（成立时间至投标截止时间不足一年的可提供成立后任意时段的资产负债表），或其开标前三个月内基本开户银行出具的资信证明及基本存款账户信息；</w:t>
      </w:r>
    </w:p>
    <w:p>
      <w:pPr>
        <w:pStyle w:val="null3"/>
      </w:pPr>
      <w:r>
        <w:rPr>
          <w:rFonts w:ascii="仿宋_GB2312" w:hAnsi="仿宋_GB2312" w:cs="仿宋_GB2312" w:eastAsia="仿宋_GB2312"/>
        </w:rPr>
        <w:t>6、书面声明：提供具有履行本合同所必需的设备和专业技术能力的声明；</w:t>
      </w:r>
    </w:p>
    <w:p>
      <w:pPr>
        <w:pStyle w:val="null3"/>
      </w:pPr>
      <w:r>
        <w:rPr>
          <w:rFonts w:ascii="仿宋_GB2312" w:hAnsi="仿宋_GB2312" w:cs="仿宋_GB2312" w:eastAsia="仿宋_GB2312"/>
        </w:rPr>
        <w:t>7、书面声明：参加政府采购活动近三年内，在经营活动中无重大违法记录的书面声明；</w:t>
      </w:r>
    </w:p>
    <w:p>
      <w:pPr>
        <w:pStyle w:val="null3"/>
      </w:pPr>
      <w:r>
        <w:rPr>
          <w:rFonts w:ascii="仿宋_GB2312" w:hAnsi="仿宋_GB2312" w:cs="仿宋_GB2312" w:eastAsia="仿宋_GB2312"/>
        </w:rPr>
        <w:t>8、信誉记录：供 应 商 不 得 为 “ 信 用 中 国 ” 网 站 （www.creditchina.gov.cn）中列入重大税收违法失信主体 的当事 人 ， 不 得 为 “ 中 国 执 行 信 息 公 开 网 ”（http://zxgk.court.gov.cn）网站被列为失信被执行人， 不得为“中国政府采购网”（www.ccgp.gov.cn）政府采购严重违法失信行为记录名单中被财政部门禁止参加政府采购活动的供应商（附网站查询截图）；</w:t>
      </w:r>
    </w:p>
    <w:p>
      <w:pPr>
        <w:pStyle w:val="null3"/>
      </w:pPr>
      <w:r>
        <w:rPr>
          <w:rFonts w:ascii="仿宋_GB2312" w:hAnsi="仿宋_GB2312" w:cs="仿宋_GB2312" w:eastAsia="仿宋_GB2312"/>
        </w:rPr>
        <w:t>9、授权委托书：法定代表人(负责人)参加磋商时，提供法定代表人(负责人)证明书及身份证复印件及原件；授权代表参加磋商时，提供法人授权委托书及身份证复印件及原件；</w:t>
      </w:r>
    </w:p>
    <w:p>
      <w:pPr>
        <w:pStyle w:val="null3"/>
      </w:pPr>
      <w:r>
        <w:rPr>
          <w:rFonts w:ascii="仿宋_GB2312" w:hAnsi="仿宋_GB2312" w:cs="仿宋_GB2312" w:eastAsia="仿宋_GB2312"/>
        </w:rPr>
        <w:t>10、本项目不接受联合体磋商：法定代表人（负责人）为同一人或存在直接控股、管理关系的不同单位，不得同时参加本项目；</w:t>
      </w:r>
    </w:p>
    <w:p>
      <w:pPr>
        <w:pStyle w:val="null3"/>
      </w:pPr>
      <w:r>
        <w:rPr>
          <w:rFonts w:ascii="仿宋_GB2312" w:hAnsi="仿宋_GB2312" w:cs="仿宋_GB2312" w:eastAsia="仿宋_GB2312"/>
        </w:rPr>
        <w:t>11、声明函：中小企业声明函。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商洛市自然资源局商州分局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陕西省商洛市商州区文卫路南段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邱毅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13992466005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金景雅筑项目管理咨询有限公司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陕西省商洛市商州区州城街翠湖明珠商铺西侧三楼中户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马秀秀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15609147889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开户名称：金景雅筑项目管理咨询有限公司商洛分公司</w:t>
            </w:r>
          </w:p>
          <w:p>
            <w:pPr>
              <w:pStyle w:val="null3"/>
            </w:pPr>
            <w:r>
              <w:rPr>
                <w:rFonts w:ascii="仿宋_GB2312" w:hAnsi="仿宋_GB2312" w:cs="仿宋_GB2312" w:eastAsia="仿宋_GB2312"/>
              </w:rPr>
              <w:t>开户银行：中国建设银行股份有限公司商洛商州支行</w:t>
            </w:r>
          </w:p>
          <w:p>
            <w:pPr>
              <w:pStyle w:val="null3"/>
            </w:pPr>
            <w:r>
              <w:rPr>
                <w:rFonts w:ascii="仿宋_GB2312" w:hAnsi="仿宋_GB2312" w:cs="仿宋_GB2312" w:eastAsia="仿宋_GB2312"/>
              </w:rPr>
              <w:t>银行账号：61050167410000000933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和改革委员会办公厅颁发的《关于招标代理服务收费有关问题的通知》（发改办价格〔2003〕857号）的有关规定执行。成交单位在领取成交通知书前，须向采购代理机构一次性支付招标代理服务费。 招标代理服务费账户： 户名：金景雅筑项目管理咨询有限公司商洛分公司 开户行：中国建设银行股份有限公司商洛商州支行 账号：61050167410000000933 请成交供应商按照要求将招标代理服务费转入以上指定账户，如因自身原因发生错误，产生的不利后果均由供应商自行承担。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商洛市自然资源局商州分局</w:t>
      </w:r>
      <w:r>
        <w:rPr>
          <w:rFonts w:ascii="仿宋_GB2312" w:hAnsi="仿宋_GB2312" w:cs="仿宋_GB2312" w:eastAsia="仿宋_GB2312"/>
        </w:rPr>
        <w:t>和</w:t>
      </w:r>
      <w:r>
        <w:rPr>
          <w:rFonts w:ascii="仿宋_GB2312" w:hAnsi="仿宋_GB2312" w:cs="仿宋_GB2312" w:eastAsia="仿宋_GB2312"/>
        </w:rPr>
        <w:t>金景雅筑项目管理咨询有限公司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商洛市自然资源局商州分局</w:t>
      </w:r>
      <w:r>
        <w:rPr>
          <w:rFonts w:ascii="仿宋_GB2312" w:hAnsi="仿宋_GB2312" w:cs="仿宋_GB2312" w:eastAsia="仿宋_GB2312"/>
        </w:rPr>
        <w:t>负责解释。除上述磋商文件内容，其他内容由</w:t>
      </w:r>
      <w:r>
        <w:rPr>
          <w:rFonts w:ascii="仿宋_GB2312" w:hAnsi="仿宋_GB2312" w:cs="仿宋_GB2312" w:eastAsia="仿宋_GB2312"/>
        </w:rPr>
        <w:t>金景雅筑项目管理咨询有限公司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商洛市自然资源局商州分局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金景雅筑项目管理咨询有限公司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严格按照国家、省、市自然资源主管部门发布的相关技术标准、验收规范执行，同时满足本项目招标文件、投标文件及合同约定的全部技术与商务要求。成果通过国家级质量核查，视为履约验收通过。</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金景雅筑项目管理咨询有限公司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金景雅筑项目管理咨询有限公司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金景雅筑项目管理咨询有限公司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联系人：马秀秀</w:t>
      </w:r>
    </w:p>
    <w:p>
      <w:pPr>
        <w:pStyle w:val="null3"/>
      </w:pPr>
      <w:r>
        <w:rPr>
          <w:rFonts w:ascii="仿宋_GB2312" w:hAnsi="仿宋_GB2312" w:cs="仿宋_GB2312" w:eastAsia="仿宋_GB2312"/>
        </w:rPr>
        <w:t>联系电话：15609147889</w:t>
      </w:r>
    </w:p>
    <w:p>
      <w:pPr>
        <w:pStyle w:val="null3"/>
      </w:pPr>
      <w:r>
        <w:rPr>
          <w:rFonts w:ascii="仿宋_GB2312" w:hAnsi="仿宋_GB2312" w:cs="仿宋_GB2312" w:eastAsia="仿宋_GB2312"/>
        </w:rPr>
        <w:t>地址：商州区州城街翠湖明珠商铺三楼西侧中户</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省自然资源厅和省林业局《关于做好2025年度国土变更调查及森林草原湿地荒调查监测工作的通知》（陕自然资发〔2025〕1425号）安排部署，我局将开展2025年度国土变更调查工作。完成年度全部地类变化调查，包括外业调查及举证、内业数据整理、数据库建设、报告编制、数据汇总统计与分析等工作，动态更新各级国土调查及林草湿荒调查监测成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920,000.00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商州区2025年度国土变更调查技术服务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标的名称：商州区2025年度国土变更调查技术服务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按照陕西省自然资源厅和省林业局《关于做好</w:t>
            </w:r>
            <w:r>
              <w:rPr>
                <w:rFonts w:ascii="仿宋_GB2312" w:hAnsi="仿宋_GB2312" w:cs="仿宋_GB2312" w:eastAsia="仿宋_GB2312"/>
                <w:sz w:val="24"/>
                <w:color w:val="000000"/>
              </w:rPr>
              <w:t>2025年度国土变更调查及森林草原湿地荒地调查监测工作的通知》（陕自然资发〔2025〕1425号）要求，</w:t>
            </w:r>
            <w:r>
              <w:rPr>
                <w:rFonts w:ascii="仿宋_GB2312" w:hAnsi="仿宋_GB2312" w:cs="仿宋_GB2312" w:eastAsia="仿宋_GB2312"/>
                <w:sz w:val="24"/>
                <w:color w:val="000000"/>
              </w:rPr>
              <w:t>完成年度全部地类变化调查，包括外业调查及举证、内业数据整理、数据库建设、报告编制、数据汇总统计与分析等工作，动态更新各级国土调查及林草湿荒调查监测成果。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根据磋商文件【评分标准】要求及合同约定执行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根据磋商文件【评分标准】要求及合同约定执行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180日历天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验收标准：合同签订时国家及行业现行的标准和技术规范。本项目采用一次性验收方式，供应商完成全部服务内容并提交完整成果，由上级部门按相关技术标准进行验收。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通过采购人阶段性审核</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项目成果通过上级主管部门验收并提交最终成果后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本合同履行过程中发生的争议，双方应首先友好协商解决；协商不成的，任何一方均可向采购人所在地有管辖权的人民法院提起诉讼。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有独立承担民事责任能力的法人或其他组织，提供合法有效的统一社会信用代码的营业执照或事业单位法人证书等国家规定的相关证明，自然人参与的提供其身份证明；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供应商须具有测绘乙级以上（含乙级）资质；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提供磋商截止日前近六个月已缴纳的任意一个月的缴税证明，依法免税的投标人应提供相关文件证明；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近六个月已缴纳的任意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提供2024年或2025年度的财务审计报告（成立时间至投标截止时间不足一年的可提供成立后任意时段的资产负债表），或其开标前三个月内基本开户银行出具的资信证明及基本存款账户信息；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参加政府采购活动近三年内，在经营活动中无重大违法记录的书面声明；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信誉记录</w:t>
            </w:r>
          </w:p>
        </w:tc>
        <w:tc>
          <w:tcPr>
            <w:tcW w:type="dxa" w:w="3322"/>
          </w:tcPr>
          <w:p>
            <w:pPr>
              <w:pStyle w:val="null3"/>
            </w:pPr>
            <w:r>
              <w:rPr>
                <w:rFonts w:ascii="仿宋_GB2312" w:hAnsi="仿宋_GB2312" w:cs="仿宋_GB2312" w:eastAsia="仿宋_GB2312"/>
              </w:rPr>
              <w:t>供 应 商 不 得 为 “ 信 用 中 国 ” 网 站 （www.creditchina.gov.cn）中列入重大税收违法失信主体 的当事 人 ， 不 得 为 “ 中 国 执 行 信 息 公 开 网 ”（http://zxgk.court.gov.cn）网站被列为失信被执行人， 不得为“中国政府采购网”（www.ccgp.gov.cn）政府采购严重违法失信行为记录名单中被财政部门禁止参加政府采购活动的供应商（附网站查询截图）；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法定代表人(负责人)参加磋商时，提供法定代表人(负责人)证明书及身份证复印件及原件；授权代表参加磋商时，提供法人授权委托书及身份证复印件及原件；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法定代表人（负责人）为同一人或存在直接控股、管理关系的不同单位，不得同时参加本项目；</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中小企业声明函。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应满足磋商文件中要求的合同履行期限</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根据供应商提供的①项目前期资料收集、分析；②项目区域现状及问题分析；③工作目标；④工作进度计划；⑤工作流程；⑥编制成果等方面进行综合评分。 评审依据：每一项内容描述详细，切实可行符合项目实际内容得3分，合计得18分。内容①～⑥项任意一项缺项扣3分，扣完为止；内容①～⑥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1、拟派项目负责人具有测绘专业高级职称证书的；计2分；其他不计分； 2、拟派项目人员（除项目负责人外）具备中级或以上规划、测绘专业职称证书每人计1分，计满8分为止。 注：以上内容须提供拟派人员的有效证明材料（含身份证、相关证书,且为本单位人员，并提供相关证明），未提供证明材料或提供不完整的均不计分。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数据管理</w:t>
            </w:r>
          </w:p>
        </w:tc>
        <w:tc>
          <w:tcPr>
            <w:tcW w:type="dxa" w:w="2492"/>
          </w:tcPr>
          <w:p>
            <w:pPr>
              <w:pStyle w:val="null3"/>
            </w:pPr>
            <w:r>
              <w:rPr>
                <w:rFonts w:ascii="仿宋_GB2312" w:hAnsi="仿宋_GB2312" w:cs="仿宋_GB2312" w:eastAsia="仿宋_GB2312"/>
              </w:rPr>
              <w:t>根据供应商提供的①数据资料管理制度；②数据资料管理保存措施；③数据整理措施等方面进行综合评分。 评审依据：每一项内容描述详细，切实可行符合项目实际内容得2分，合计得6分。内容①～③项任意一项缺项扣2分，扣完为止；内容①～③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针对供应商提供的①售后服务流程；②售后服务机构与人员配置；③售后服务范围期限；④服务响应计划；⑤服务管理及质量保证等方面进行综合评分。 评审依据：每一项内容描述详细，切实可行符合项目实际内容得1分，合计得5分。内容①～⑤项任意一项缺项扣1分，扣完为止；内容①～⑤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根据供应商提供的①项目前期控制质量保证措施；②项目实施过程质量保证措施；③项目成果质量保证措施等方面进行综合评分。 评审依据：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投入设备</w:t>
            </w:r>
          </w:p>
        </w:tc>
        <w:tc>
          <w:tcPr>
            <w:tcW w:type="dxa" w:w="2492"/>
          </w:tcPr>
          <w:p>
            <w:pPr>
              <w:pStyle w:val="null3"/>
            </w:pPr>
            <w:r>
              <w:rPr>
                <w:rFonts w:ascii="仿宋_GB2312" w:hAnsi="仿宋_GB2312" w:cs="仿宋_GB2312" w:eastAsia="仿宋_GB2312"/>
              </w:rPr>
              <w:t>根据供应商提供的①相关设备投入计划安排；②投入设备的规格型号或技术指标；③设备保证措施等方面进行综合评分。 评审依据：每一项内容描述详细，切实可行符合项目实际内容得2分，合计得6分。内容①～③项任意一项缺项扣2分，扣完为止；内容①～③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根据供应商提供的①保密承诺和相关措施；②档案管理制度；③数据安全保密措施等方面进行综合评分。 评审依据：每一项内容描述详细，切实可行符合项目实际内容得2分，合计得6分。内容①～③项任意一项缺项扣2分，扣完为止；内容①～③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重难点分析及解决方案</w:t>
            </w:r>
          </w:p>
        </w:tc>
        <w:tc>
          <w:tcPr>
            <w:tcW w:type="dxa" w:w="2492"/>
          </w:tcPr>
          <w:p>
            <w:pPr>
              <w:pStyle w:val="null3"/>
            </w:pPr>
            <w:r>
              <w:rPr>
                <w:rFonts w:ascii="仿宋_GB2312" w:hAnsi="仿宋_GB2312" w:cs="仿宋_GB2312" w:eastAsia="仿宋_GB2312"/>
              </w:rPr>
              <w:t>根据供应商提供的①重难点分析；②合理化建议；③应急措施等方面进行综合评分。 评审依据：每一项内容描述详细，切实可行符合项目实际内容得2分，合计得6分。内容①～③项任意一项缺项扣2分，扣完为止；内容①～③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供应商提供自2023年1月1日以来类似项目业绩（业绩证明以合同的复印件或中标通知书复印件加盖公章为准）。每提供一份得2分，满分4分。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满足磋商文件实质性要求且最终报价最低的供应商的价格为磋商基准价，其价格分为满分30分。3、磋商报价得分=（磋商基准价/最终磋商报价）×30。4、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详见附件：商州区2025年度国土变更调查技术服务合同 .docx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