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AC04E">
      <w:pPr>
        <w:bidi w:val="0"/>
        <w:spacing w:line="360" w:lineRule="auto"/>
        <w:jc w:val="center"/>
        <w:outlineLvl w:val="0"/>
        <w:rPr>
          <w:rFonts w:hint="eastAsia" w:ascii="仿宋" w:hAnsi="仿宋" w:eastAsia="仿宋" w:cs="仿宋"/>
          <w:b/>
          <w:bCs/>
          <w:sz w:val="32"/>
          <w:szCs w:val="40"/>
          <w:highlight w:val="none"/>
          <w:lang w:val="zh-CN"/>
        </w:rPr>
      </w:pPr>
      <w:bookmarkStart w:id="0" w:name="_Toc2149"/>
      <w:bookmarkStart w:id="1" w:name="_Toc16467"/>
      <w:r>
        <w:rPr>
          <w:rFonts w:hint="eastAsia" w:ascii="仿宋" w:hAnsi="仿宋" w:eastAsia="仿宋" w:cs="仿宋"/>
          <w:b/>
          <w:bCs/>
          <w:sz w:val="32"/>
          <w:szCs w:val="40"/>
          <w:highlight w:val="none"/>
          <w:lang w:val="zh-CN"/>
        </w:rPr>
        <w:t>承诺书</w:t>
      </w:r>
    </w:p>
    <w:p w14:paraId="00A023E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1、</w:t>
      </w:r>
      <w:r>
        <w:rPr>
          <w:rFonts w:hint="eastAsia" w:ascii="仿宋" w:hAnsi="仿宋" w:eastAsia="仿宋" w:cs="仿宋"/>
          <w:snapToGrid w:val="0"/>
          <w:sz w:val="24"/>
          <w:highlight w:val="none"/>
          <w:lang w:eastAsia="zh-CN"/>
        </w:rPr>
        <w:t>投标人</w:t>
      </w:r>
      <w:r>
        <w:rPr>
          <w:rFonts w:hint="eastAsia" w:ascii="仿宋" w:hAnsi="仿宋" w:eastAsia="仿宋" w:cs="仿宋"/>
          <w:snapToGrid w:val="0"/>
          <w:sz w:val="24"/>
          <w:highlight w:val="none"/>
        </w:rPr>
        <w:t>与其他投标单位无交叉控股股东、无交叉兼任高级管理人员及涉嫌联合围标、串标行为；</w:t>
      </w:r>
    </w:p>
    <w:p w14:paraId="1A8D941C">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w:t>
      </w:r>
      <w:r>
        <w:rPr>
          <w:rFonts w:hint="eastAsia" w:ascii="仿宋" w:hAnsi="仿宋" w:eastAsia="仿宋" w:cs="仿宋"/>
          <w:snapToGrid w:val="0"/>
          <w:sz w:val="24"/>
          <w:highlight w:val="none"/>
          <w:lang w:eastAsia="zh-CN"/>
        </w:rPr>
        <w:t>投标人</w:t>
      </w:r>
      <w:r>
        <w:rPr>
          <w:rFonts w:hint="eastAsia" w:ascii="仿宋" w:hAnsi="仿宋" w:eastAsia="仿宋" w:cs="仿宋"/>
          <w:snapToGrid w:val="0"/>
          <w:sz w:val="24"/>
          <w:highlight w:val="none"/>
        </w:rPr>
        <w:t>股东和管理人员（法定代表人、董事或监事）之间存在近亲属（指夫妻、直系血亲、三代以内旁系血亲或近姻亲关系）或相互占股等关联关系的其他非国有销售型企业，也未参加同一包采购活动；</w:t>
      </w:r>
    </w:p>
    <w:p w14:paraId="4477A51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w:t>
      </w:r>
      <w:r>
        <w:rPr>
          <w:rFonts w:hint="eastAsia" w:ascii="仿宋" w:hAnsi="仿宋" w:eastAsia="仿宋" w:cs="仿宋"/>
          <w:snapToGrid w:val="0"/>
          <w:sz w:val="24"/>
          <w:highlight w:val="none"/>
          <w:lang w:eastAsia="zh-CN"/>
        </w:rPr>
        <w:t>投标人</w:t>
      </w:r>
      <w:r>
        <w:rPr>
          <w:rFonts w:hint="eastAsia" w:ascii="仿宋" w:hAnsi="仿宋" w:eastAsia="仿宋" w:cs="仿宋"/>
          <w:snapToGrid w:val="0"/>
          <w:sz w:val="24"/>
          <w:highlight w:val="none"/>
        </w:rPr>
        <w:t>单位兼职的情况；</w:t>
      </w:r>
    </w:p>
    <w:p w14:paraId="3D04CA5E">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7BD44F10">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w:t>
      </w:r>
      <w:r>
        <w:rPr>
          <w:rFonts w:hint="eastAsia" w:ascii="仿宋" w:hAnsi="仿宋" w:eastAsia="仿宋" w:cs="仿宋"/>
          <w:snapToGrid w:val="0"/>
          <w:sz w:val="24"/>
          <w:highlight w:val="none"/>
          <w:lang w:eastAsia="zh-CN"/>
        </w:rPr>
        <w:t>投标人</w:t>
      </w:r>
      <w:r>
        <w:rPr>
          <w:rFonts w:hint="eastAsia" w:ascii="仿宋" w:hAnsi="仿宋" w:eastAsia="仿宋" w:cs="仿宋"/>
          <w:snapToGrid w:val="0"/>
          <w:sz w:val="24"/>
          <w:highlight w:val="none"/>
        </w:rPr>
        <w:t>自愿承担与采购人签订的合同无效、采购人有权拒绝支付合同款、</w:t>
      </w:r>
      <w:r>
        <w:rPr>
          <w:rFonts w:hint="eastAsia" w:ascii="仿宋" w:hAnsi="仿宋" w:eastAsia="仿宋" w:cs="仿宋"/>
          <w:snapToGrid w:val="0"/>
          <w:sz w:val="24"/>
          <w:highlight w:val="none"/>
          <w:lang w:eastAsia="zh-CN"/>
        </w:rPr>
        <w:t>投标人</w:t>
      </w:r>
      <w:r>
        <w:rPr>
          <w:rFonts w:hint="eastAsia" w:ascii="仿宋" w:hAnsi="仿宋" w:eastAsia="仿宋" w:cs="仿宋"/>
          <w:snapToGrid w:val="0"/>
          <w:sz w:val="24"/>
          <w:highlight w:val="none"/>
        </w:rPr>
        <w:t>自身损失自己承担并赔偿采购人因此产生的一切损失的民事法律责任及因此产生的刑事责任。</w:t>
      </w:r>
    </w:p>
    <w:p w14:paraId="1AEA0DA1">
      <w:pPr>
        <w:bidi w:val="0"/>
        <w:spacing w:line="360" w:lineRule="auto"/>
        <w:ind w:firstLine="4080" w:firstLineChars="1700"/>
        <w:rPr>
          <w:rFonts w:hint="eastAsia" w:ascii="仿宋" w:hAnsi="仿宋" w:eastAsia="仿宋" w:cs="仿宋"/>
          <w:sz w:val="24"/>
          <w:highlight w:val="none"/>
        </w:rPr>
      </w:pPr>
    </w:p>
    <w:p w14:paraId="201993DC">
      <w:pPr>
        <w:bidi w:val="0"/>
        <w:spacing w:line="360" w:lineRule="auto"/>
        <w:ind w:firstLine="4080" w:firstLineChars="1700"/>
        <w:rPr>
          <w:rFonts w:hint="eastAsia" w:ascii="仿宋" w:hAnsi="仿宋" w:eastAsia="仿宋" w:cs="仿宋"/>
          <w:sz w:val="24"/>
          <w:highlight w:val="none"/>
        </w:rPr>
      </w:pPr>
    </w:p>
    <w:p w14:paraId="104A2582">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rPr>
      </w:pPr>
      <w:r>
        <w:rPr>
          <w:rFonts w:hint="eastAsia" w:ascii="仿宋" w:hAnsi="仿宋" w:eastAsia="仿宋" w:cs="仿宋"/>
          <w:sz w:val="24"/>
          <w:highlight w:val="none"/>
          <w:lang w:eastAsia="zh-CN"/>
        </w:rPr>
        <w:t>投标人</w:t>
      </w:r>
      <w:r>
        <w:rPr>
          <w:rFonts w:hint="eastAsia" w:ascii="仿宋" w:hAnsi="仿宋" w:eastAsia="仿宋" w:cs="仿宋"/>
          <w:sz w:val="24"/>
          <w:highlight w:val="none"/>
        </w:rPr>
        <w:t>（公章）：</w:t>
      </w:r>
      <w:r>
        <w:rPr>
          <w:rFonts w:hint="eastAsia" w:ascii="仿宋" w:hAnsi="仿宋" w:eastAsia="仿宋" w:cs="仿宋"/>
          <w:sz w:val="24"/>
          <w:highlight w:val="none"/>
          <w:u w:val="single"/>
        </w:rPr>
        <w:t xml:space="preserve">                       </w:t>
      </w:r>
    </w:p>
    <w:p w14:paraId="078DA3C1">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BD6D4A5">
      <w:pPr>
        <w:bidi w:val="0"/>
        <w:spacing w:line="360" w:lineRule="auto"/>
        <w:ind w:left="0" w:leftChars="0" w:firstLine="2940" w:firstLineChars="1225"/>
        <w:jc w:val="left"/>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bookmarkEnd w:id="0"/>
      <w:bookmarkEnd w:id="1"/>
      <w:bookmarkStart w:id="2" w:name="_GoBack"/>
      <w:bookmarkEnd w:id="2"/>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B9AAEC">
    <w:pPr>
      <w:tabs>
        <w:tab w:val="right" w:pos="8820"/>
      </w:tabs>
      <w:ind w:right="40"/>
      <w:rPr>
        <w:rFonts w:hint="eastAsia" w:ascii="仿宋" w:hAnsi="仿宋" w:eastAsia="仿宋" w:cs="仿宋"/>
        <w:b/>
        <w:bCs/>
        <w:szCs w:val="21"/>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C11D95">
                          <w:pPr>
                            <w:pStyle w:val="8"/>
                          </w:pPr>
                          <w:r>
                            <w:t xml:space="preserve">第 </w:t>
                          </w:r>
                          <w:r>
                            <w:fldChar w:fldCharType="begin"/>
                          </w:r>
                          <w:r>
                            <w:instrText xml:space="preserve"> PAGE  \* MERGEFORMAT </w:instrText>
                          </w:r>
                          <w:r>
                            <w:fldChar w:fldCharType="separate"/>
                          </w:r>
                          <w:r>
                            <w:t>84</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65C11D95">
                    <w:pPr>
                      <w:pStyle w:val="8"/>
                    </w:pPr>
                    <w:r>
                      <w:t xml:space="preserve">第 </w:t>
                    </w:r>
                    <w:r>
                      <w:fldChar w:fldCharType="begin"/>
                    </w:r>
                    <w:r>
                      <w:instrText xml:space="preserve"> PAGE  \* MERGEFORMAT </w:instrText>
                    </w:r>
                    <w:r>
                      <w:fldChar w:fldCharType="separate"/>
                    </w:r>
                    <w:r>
                      <w:t>84</w:t>
                    </w:r>
                    <w:r>
                      <w:fldChar w:fldCharType="end"/>
                    </w:r>
                    <w:r>
                      <w:t xml:space="preserve"> 页 共 </w:t>
                    </w:r>
                    <w:r>
                      <w:fldChar w:fldCharType="begin"/>
                    </w:r>
                    <w:r>
                      <w:instrText xml:space="preserve"> NUMPAGES  \* MERGEFORMAT </w:instrText>
                    </w:r>
                    <w:r>
                      <w:fldChar w:fldCharType="separate"/>
                    </w:r>
                    <w:r>
                      <w:t>114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DF27E8"/>
    <w:rsid w:val="57482B7E"/>
    <w:rsid w:val="5BD714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6"/>
    <w:unhideWhenUsed/>
    <w:qFormat/>
    <w:uiPriority w:val="9"/>
    <w:pPr>
      <w:spacing w:line="360" w:lineRule="auto"/>
      <w:outlineLvl w:val="1"/>
    </w:pPr>
    <w:rPr>
      <w:rFonts w:ascii="仿宋" w:hAnsi="仿宋" w:eastAsia="仿宋" w:cs="仿宋"/>
      <w:b/>
      <w:kern w:val="2"/>
      <w:sz w:val="28"/>
      <w:szCs w:val="28"/>
      <w:highlight w:val="none"/>
      <w:lang w:val="zh-CN"/>
    </w:rPr>
  </w:style>
  <w:style w:type="character" w:default="1" w:styleId="13">
    <w:name w:val="Default Paragraph Font"/>
    <w:semiHidden/>
    <w:qFormat/>
    <w:uiPriority w:val="0"/>
  </w:style>
  <w:style w:type="table" w:default="1" w:styleId="11">
    <w:name w:val="Normal Table"/>
    <w:semiHidden/>
    <w:uiPriority w:val="0"/>
    <w:tblPr>
      <w:tblCellMar>
        <w:top w:w="0" w:type="dxa"/>
        <w:left w:w="108" w:type="dxa"/>
        <w:bottom w:w="0" w:type="dxa"/>
        <w:right w:w="108" w:type="dxa"/>
      </w:tblCellMar>
    </w:tblPr>
  </w:style>
  <w:style w:type="paragraph" w:styleId="4">
    <w:name w:val="Body Text"/>
    <w:basedOn w:val="1"/>
    <w:next w:val="5"/>
    <w:semiHidden/>
    <w:qFormat/>
    <w:uiPriority w:val="0"/>
    <w:rPr>
      <w:rFonts w:ascii="Arial" w:hAnsi="Arial" w:eastAsia="Arial" w:cs="Arial"/>
      <w:sz w:val="21"/>
      <w:szCs w:val="21"/>
      <w:lang w:val="en-US" w:eastAsia="en-US" w:bidi="ar-SA"/>
    </w:rPr>
  </w:style>
  <w:style w:type="paragraph" w:customStyle="1" w:styleId="5">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Indent"/>
    <w:basedOn w:val="1"/>
    <w:next w:val="7"/>
    <w:qFormat/>
    <w:uiPriority w:val="0"/>
    <w:pPr>
      <w:ind w:firstLine="630"/>
    </w:pPr>
    <w:rPr>
      <w:sz w:val="32"/>
      <w:szCs w:val="20"/>
    </w:rPr>
  </w:style>
  <w:style w:type="paragraph" w:styleId="7">
    <w:name w:val="envelope return"/>
    <w:basedOn w:val="1"/>
    <w:qFormat/>
    <w:uiPriority w:val="99"/>
    <w:pPr>
      <w:snapToGrid w:val="0"/>
    </w:pPr>
    <w:rPr>
      <w:rFonts w:ascii="Arial" w:hAnsi="Arial" w:cs="Arial"/>
    </w:rPr>
  </w:style>
  <w:style w:type="paragraph" w:styleId="8">
    <w:name w:val="footer"/>
    <w:basedOn w:val="1"/>
    <w:qFormat/>
    <w:uiPriority w:val="0"/>
    <w:pPr>
      <w:tabs>
        <w:tab w:val="center" w:pos="4153"/>
        <w:tab w:val="right" w:pos="8306"/>
      </w:tabs>
      <w:snapToGrid w:val="0"/>
      <w:jc w:val="left"/>
    </w:pPr>
    <w:rPr>
      <w:sz w:val="18"/>
    </w:rPr>
  </w:style>
  <w:style w:type="paragraph" w:styleId="9">
    <w:name w:val="Body Text First Indent"/>
    <w:basedOn w:val="4"/>
    <w:next w:val="10"/>
    <w:unhideWhenUsed/>
    <w:qFormat/>
    <w:uiPriority w:val="99"/>
    <w:pPr>
      <w:ind w:firstLine="420" w:firstLineChars="100"/>
    </w:pPr>
  </w:style>
  <w:style w:type="paragraph" w:styleId="10">
    <w:name w:val="Body Text First Indent 2"/>
    <w:basedOn w:val="6"/>
    <w:next w:val="9"/>
    <w:unhideWhenUsed/>
    <w:qFormat/>
    <w:uiPriority w:val="99"/>
    <w:pPr>
      <w:ind w:firstLine="420" w:firstLineChars="200"/>
    </w:p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paragraph" w:customStyle="1" w:styleId="15">
    <w:name w:val="null3"/>
    <w:hidden/>
    <w:qFormat/>
    <w:uiPriority w:val="0"/>
    <w:rPr>
      <w:rFonts w:hint="eastAsia" w:asciiTheme="minorHAnsi" w:hAnsiTheme="minorHAnsi" w:eastAsiaTheme="minorEastAsia" w:cstheme="minorBidi"/>
      <w:lang w:val="en-US" w:eastAsia="zh-Hans"/>
    </w:rPr>
  </w:style>
  <w:style w:type="character" w:customStyle="1" w:styleId="16">
    <w:name w:val="标题 2 Char"/>
    <w:link w:val="3"/>
    <w:qFormat/>
    <w:uiPriority w:val="0"/>
    <w:rPr>
      <w:rFonts w:ascii="仿宋" w:hAnsi="仿宋" w:eastAsia="仿宋" w:cs="仿宋"/>
      <w:b/>
      <w:kern w:val="2"/>
      <w:sz w:val="28"/>
      <w:szCs w:val="28"/>
      <w:highlight w:val="none"/>
      <w:lang w:val="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335</Words>
  <Characters>335</Characters>
  <Lines>0</Lines>
  <Paragraphs>0</Paragraphs>
  <TotalTime>0</TotalTime>
  <ScaleCrop>false</ScaleCrop>
  <LinksUpToDate>false</LinksUpToDate>
  <CharactersWithSpaces>400</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2026-08-13T06:18:00Z</dcterms:created>
  <dc:creator>ASUS</dc:creator>
  <cp:lastModifiedBy>陕西笃信招标有限公司</cp:lastModifiedBy>
  <dcterms:modified xsi:type="dcterms:W3CDTF">2026-08-13T11:02:38Z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2052-12.1.0.26936</vt:lpwstr>
  </property>
  <property fmtid="{D5CDD505-2E9C-101B-9397-08002B2CF9AE}" pid="3" name="KSOTemplateDocerSaveRecord">
    <vt:lpwstr>eyJoZGlkIjoiOTFjZTEyNjYyY2MwMjViNzU3Njg3ZGE3YjEwYjcxNTEiLCJ1c2VySWQiOiI5MTQ3Njg1NjkifQ==</vt:lpwstr>
  </property>
  <property fmtid="{D5CDD505-2E9C-101B-9397-08002B2CF9AE}" pid="4" name="ICV">
    <vt:lpwstr>C2D5BE914737431BA6AFBEB2C0F4B479_13</vt:lpwstr>
  </property>
</Properties>
</file>