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6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8"/>
        <w:gridCol w:w="1249"/>
        <w:gridCol w:w="9800"/>
        <w:gridCol w:w="950"/>
        <w:gridCol w:w="875"/>
        <w:gridCol w:w="1158"/>
      </w:tblGrid>
      <w:tr w14:paraId="11E0F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4620" w:type="dxa"/>
            <w:gridSpan w:val="6"/>
            <w:tcBorders>
              <w:top w:val="nil"/>
              <w:left w:val="nil"/>
              <w:bottom w:val="nil"/>
              <w:right w:val="nil"/>
            </w:tcBorders>
            <w:shd w:val="clear" w:color="auto" w:fill="auto"/>
            <w:noWrap/>
            <w:vAlign w:val="center"/>
          </w:tcPr>
          <w:p w14:paraId="3CCCB7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ascii="微软雅黑" w:hAnsi="微软雅黑" w:eastAsia="微软雅黑" w:cs="微软雅黑"/>
                <w:b/>
                <w:bCs/>
                <w:i w:val="0"/>
                <w:iCs w:val="0"/>
                <w:color w:val="auto"/>
                <w:sz w:val="22"/>
                <w:szCs w:val="22"/>
                <w:highlight w:val="none"/>
                <w:u w:val="none"/>
              </w:rPr>
            </w:pPr>
            <w:r>
              <w:rPr>
                <w:rFonts w:hint="eastAsia" w:ascii="微软雅黑" w:hAnsi="微软雅黑" w:eastAsia="微软雅黑" w:cs="微软雅黑"/>
                <w:b/>
                <w:bCs/>
                <w:i w:val="0"/>
                <w:iCs w:val="0"/>
                <w:color w:val="auto"/>
                <w:kern w:val="0"/>
                <w:sz w:val="22"/>
                <w:szCs w:val="22"/>
                <w:highlight w:val="none"/>
                <w:u w:val="none"/>
                <w:lang w:val="en-US" w:eastAsia="zh-CN" w:bidi="ar"/>
              </w:rPr>
              <w:t>第八学校报告厅建设</w:t>
            </w:r>
          </w:p>
        </w:tc>
      </w:tr>
      <w:tr w14:paraId="55FC0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2"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12BB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序号</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7EE4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分项名称</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AFB7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参数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2207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数量</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0326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单位</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604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b/>
                <w:bCs/>
                <w:i w:val="0"/>
                <w:iCs w:val="0"/>
                <w:color w:val="auto"/>
                <w:sz w:val="20"/>
                <w:szCs w:val="20"/>
                <w:highlight w:val="none"/>
                <w:u w:val="none"/>
                <w:lang w:val="en-US" w:eastAsia="zh-CN"/>
              </w:rPr>
            </w:pPr>
            <w:r>
              <w:rPr>
                <w:rFonts w:hint="eastAsia" w:ascii="微软雅黑" w:hAnsi="微软雅黑" w:eastAsia="微软雅黑" w:cs="微软雅黑"/>
                <w:b/>
                <w:bCs/>
                <w:i w:val="0"/>
                <w:iCs w:val="0"/>
                <w:color w:val="auto"/>
                <w:sz w:val="20"/>
                <w:szCs w:val="20"/>
                <w:highlight w:val="none"/>
                <w:u w:val="none"/>
                <w:lang w:val="en-US" w:eastAsia="zh-CN"/>
              </w:rPr>
              <w:t>备注</w:t>
            </w:r>
          </w:p>
        </w:tc>
      </w:tr>
      <w:tr w14:paraId="68A5B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46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7646F0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1.1.LED显示系统【LED显示屏显示尺寸（4.16+8.64m+4.16m）*4.8m】</w:t>
            </w:r>
          </w:p>
        </w:tc>
      </w:tr>
      <w:tr w14:paraId="409D3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CE8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D6F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LED屏幕</w:t>
            </w:r>
          </w:p>
          <w:p w14:paraId="3E48BA3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（核心产品）</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FAB5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▲1.像素点间距:≤2.5mm；</w:t>
            </w:r>
          </w:p>
          <w:p w14:paraId="2FB48E2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2.像素组成与排列方式:1R1G1B，SMD 表贴三合一，竖向线性排列，铜线封装。</w:t>
            </w:r>
          </w:p>
          <w:p w14:paraId="2BCBBE4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3.亮度：0-2000cd/㎡可调，支持 256 级无灰度等级调节，可设置亮度定时调节，支持通过亮度传感 器自动调节（手动、自动、软件调节）。</w:t>
            </w:r>
          </w:p>
          <w:p w14:paraId="513BEF7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4.亮度均匀性(校正后)：≥99.3%。</w:t>
            </w:r>
          </w:p>
          <w:p w14:paraId="303B30B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5.支持 HDR 高动态光照渲染技术；支持高动态 范围图像技术显示（HDR，High-Dynamic Range），检测项目峰值亮度 1000-1500,、 黑色亮度≤0.05cd/m²、EOTF 曲线拟合度 0.7-1.3、色域覆盖率≥95%（相对于 DCI-P3 色空间）、色域重合度≥93%，达到 HDR3 标准，符合 CESI/TS 008-2019 标准的 HDR3.0 认证。</w:t>
            </w:r>
          </w:p>
          <w:p w14:paraId="7D3B032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6.色度均匀性(校正后)：±0.0005 Cx,Cy 之内。</w:t>
            </w:r>
          </w:p>
          <w:p w14:paraId="321E422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7.可视角度：水平视角≥178°／垂直视角≥178°</w:t>
            </w:r>
          </w:p>
          <w:p w14:paraId="4C9317D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8.具有LED控制系统操控软件著作权证书、LED显示管理软件著作权证书，提供可查询证明材料。（未提供证明材料视同负偏离）</w:t>
            </w:r>
          </w:p>
          <w:p w14:paraId="39E5139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9.为有效保证产品质量，产品需具有3C认证。</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9CF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81.312</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9F8D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平方米</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E9EB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3C7A4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27CF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CD55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bookmarkStart w:id="0" w:name="OLE_LINK1"/>
            <w:r>
              <w:rPr>
                <w:rFonts w:hint="eastAsia" w:ascii="微软雅黑" w:hAnsi="微软雅黑" w:eastAsia="微软雅黑" w:cs="微软雅黑"/>
                <w:i w:val="0"/>
                <w:iCs w:val="0"/>
                <w:color w:val="auto"/>
                <w:kern w:val="0"/>
                <w:sz w:val="20"/>
                <w:szCs w:val="20"/>
                <w:highlight w:val="none"/>
                <w:u w:val="none"/>
                <w:lang w:val="en-US" w:eastAsia="zh-CN" w:bidi="ar"/>
              </w:rPr>
              <w:t>视频处理器</w:t>
            </w:r>
            <w:bookmarkEnd w:id="0"/>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B3B5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1.配置26路千兆网口或3路10G光纤，输出连接LED屏幕；</w:t>
            </w:r>
          </w:p>
          <w:p w14:paraId="69C22D0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2.支持单机最大带载1703万像素点，最宽16384或最高8192像素；</w:t>
            </w:r>
          </w:p>
          <w:p w14:paraId="11F93E2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3.支持1路DP1.2、1路HDMI2.0、2路HDMI1.4、2路DVI视频信号输入；</w:t>
            </w:r>
          </w:p>
          <w:p w14:paraId="7EEE093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4.支持最大输入分辨率4096×2160@60Hz；</w:t>
            </w:r>
          </w:p>
          <w:p w14:paraId="4E7E005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5.支持8bit色深视频源输入；</w:t>
            </w:r>
          </w:p>
          <w:p w14:paraId="1AABA98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6.支持23.976~240Hz输入帧率适应技术；</w:t>
            </w:r>
          </w:p>
          <w:p w14:paraId="42F4A0F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7.支持6画面显示，画面大小和位置可自由调节；</w:t>
            </w:r>
          </w:p>
          <w:p w14:paraId="50E19A2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8.支持视频信号任意裁剪、缩放和无缝切换；</w:t>
            </w:r>
          </w:p>
          <w:p w14:paraId="23A87E7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9.支持128个场景的保存和调用，场景自动定时轮巡；</w:t>
            </w:r>
          </w:p>
          <w:p w14:paraId="1AF9516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10.支持U盘播放图片、视频，以及用于升级设备固件；</w:t>
            </w:r>
          </w:p>
          <w:p w14:paraId="2FFAE9C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11.支持OSD遥控屏幕菜单控制图像、声音、设置等（选配遥控器）；</w:t>
            </w:r>
          </w:p>
          <w:p w14:paraId="16E1A6A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12.支持画面调整，可调节设备输出的对比度、饱和度、色调、亮度补偿；</w:t>
            </w:r>
          </w:p>
          <w:p w14:paraId="0B01E4F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13.支持亮度调节，网口分组亮度调节；</w:t>
            </w:r>
          </w:p>
          <w:p w14:paraId="750076F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14.支持色温调节，精确色温调节和RGB分量调节；</w:t>
            </w:r>
          </w:p>
          <w:p w14:paraId="0A5A3D3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15.支持低亮高灰，有效保证低亮度下的灰阶完整显示；</w:t>
            </w:r>
          </w:p>
          <w:p w14:paraId="78E70E0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16.支持音频传输，通过DP/HDMI音频解析和3.5mm独立音频输入输出；</w:t>
            </w:r>
          </w:p>
          <w:p w14:paraId="76C6296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17.支持精确颜色管理，可调节显示屏色域；</w:t>
            </w:r>
          </w:p>
          <w:p w14:paraId="7B9C88B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18.支持视频同步锁相技术，支持锁定内部Vsync、输入源、自动锁相；</w:t>
            </w:r>
          </w:p>
          <w:p w14:paraId="744E7F7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19.支持亮度自动调节，通过多功能卡配置亮度传感器；</w:t>
            </w:r>
          </w:p>
          <w:p w14:paraId="774D55E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20.支持环境信息实时监测，通过多功能卡配置对应传感器如空气质量、噪音等；</w:t>
            </w:r>
          </w:p>
          <w:p w14:paraId="16267D4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21.支持单机网口冗余备份和双机冗余备份；</w:t>
            </w:r>
          </w:p>
          <w:p w14:paraId="399823F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22.支持HDCP协议的高带宽数字内容保护技术；</w:t>
            </w:r>
          </w:p>
          <w:p w14:paraId="6076F65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23.支持Web端控制，兼容Windows、macOS、Linux等操作系统；</w:t>
            </w:r>
          </w:p>
          <w:p w14:paraId="0F8802A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24.支持双USB接口高速通讯以及用于多台设备级联控制；</w:t>
            </w:r>
          </w:p>
          <w:p w14:paraId="723747D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default" w:ascii="微软雅黑" w:hAnsi="微软雅黑" w:eastAsia="微软雅黑" w:cs="微软雅黑"/>
                <w:i w:val="0"/>
                <w:iCs w:val="0"/>
                <w:color w:val="auto"/>
                <w:sz w:val="20"/>
                <w:szCs w:val="20"/>
                <w:highlight w:val="none"/>
                <w:u w:val="none"/>
                <w:lang w:val="en-US" w:eastAsia="zh-CN"/>
              </w:rPr>
            </w:pPr>
            <w:r>
              <w:rPr>
                <w:rFonts w:hint="eastAsia" w:ascii="微软雅黑" w:hAnsi="微软雅黑" w:eastAsia="微软雅黑" w:cs="微软雅黑"/>
                <w:i w:val="0"/>
                <w:iCs w:val="0"/>
                <w:color w:val="auto"/>
                <w:kern w:val="0"/>
                <w:sz w:val="20"/>
                <w:szCs w:val="20"/>
                <w:highlight w:val="none"/>
                <w:u w:val="none"/>
                <w:lang w:val="en-US" w:eastAsia="zh-CN" w:bidi="ar"/>
              </w:rPr>
              <w:t>25.支持USB、LAN网口和RS232串口控制。</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D3F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2CE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B497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1B086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0742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E3DE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配电柜</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BB3B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1、安全性 内部线材均采用4平方厘米国标纯铜导线；</w:t>
            </w:r>
          </w:p>
          <w:p w14:paraId="276EBB3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2、双重开关控制 具备自动/手动控制设备供电的开启和关闭；</w:t>
            </w:r>
          </w:p>
          <w:p w14:paraId="4E235F6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3、多组输出回路 每组可独立控制，如照明输出、风机/空调输出分路、显示屏输出分路分开控制</w:t>
            </w:r>
          </w:p>
          <w:p w14:paraId="01D9119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4、上电保护功能 具有延时启动、浪涌保护、防雷、过流、短路等保护功能；</w:t>
            </w:r>
          </w:p>
          <w:p w14:paraId="14EB624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5、功能性检测 具有电源状态指示、运行状态指示、风机、空调指示、检修多功能插座及检修照明开关；</w:t>
            </w:r>
          </w:p>
          <w:p w14:paraId="0ECF025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6、额定工作电压 380V/220V</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72B1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1CDB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4F7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628DB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BD7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A4B2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备品备件</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4194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模组10张 电源5台 排线10根 网线2条  接收卡5张</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38F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2EE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套</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DE5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58040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08A8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9F2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屏体辅料</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9FAB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屏体内部专用连接线16P排线/网线/4P电源线线 分流线等辅材</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2EFB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81.312</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032E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平方米</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4BBD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6A4E3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B55D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6</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D4DB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钢结构</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701E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专用定制钢结构及不锈钢黑色哑光包边</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56F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81.312</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6E9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平方米</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B65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201B9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8C69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7</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1FC2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安装调试费</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DE73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人员施工安装集成费用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F92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81.312</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1F6F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平方米</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3BAA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3BC27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4EFE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E243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舞台背景墙（定制）</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7F5A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龙骨规格：Q75 竖向轻钢龙骨 75×40×0.7mm，横向龙骨间距 400mm，热镀锌钢带，双面镀锌量≥120g/㎡，符合 GB/T 11981-2020</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面板：双面12mm 耐火型纸面石膏板，燃烧性能 A2-s1,d0 级</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内部填充：50mm 厚高密度防火岩棉（48kg/m³）</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计权隔声量：≥42dB</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耐火极限：≥0.5h</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导热系数：≤0.18W/(m・K)</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舞台背景墙正面采用阻燃 B1 级 E0 级环保吸音板，通过不同颜色板材拼接及开槽、凹凸等工艺做造型拼色处理，降噪系数 NRC≥0.6，有效优化声场，采用龙骨打底密拼安装，造型规整美观。</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舞台背墙选用白色 A 级不燃高密度硅酸钙护墙板，无石棉、E0 级环保，具备防火防潮、防霉抗变形、耐刮易清洁特性，龙骨干挂密缝施工，墙面平整，满足公共场所消防及使用要求。</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E956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160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F4B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平方米</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C592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21DE0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EE95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9</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54E4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舞台地面（定制）</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CCFF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对舞台区域起拱、开裂、凹陷、磨损、腐朽破损木地板进行局部切割拆除；检查下方承重龙骨、毛地板、防潮层，更换松动、腐朽、变形构件；铺设同规格同材质舞台实木地板，完成固定、调平、补缝、整体打磨、上色、防滑耐磨漆面处理，确保新旧地面平整度、色泽、弹性一致，清理现场建筑垃圾并外运。</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地板系统冲击吸收率≥30%，垂直变形 2.5~4.0mm；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表面摩擦系数 0.4~0.6，防滑不打滑，适合舞蹈、舞台演出使用；</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地面平整度：2m 靠尺偏差≤2mm，拼接缝隙≤2mm；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地板安装牢固，踩踏无空鼓、松动、异响；</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新旧地板无色差，漆面均匀无漏涂、气泡、流挂；</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执行标准：GB/T 20239-2023《体育用木地板》、WH/T 舞台木地板行业规范。</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E888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286</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7D9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平方米</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6E3C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46444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F3F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微软雅黑" w:hAnsi="微软雅黑" w:eastAsia="微软雅黑" w:cs="微软雅黑"/>
                <w:i w:val="0"/>
                <w:iCs w:val="0"/>
                <w:color w:val="auto"/>
                <w:sz w:val="20"/>
                <w:szCs w:val="20"/>
                <w:highlight w:val="none"/>
                <w:u w:val="none"/>
                <w:lang w:val="en-US"/>
              </w:rPr>
            </w:pPr>
            <w:r>
              <w:rPr>
                <w:rFonts w:hint="eastAsia" w:ascii="微软雅黑" w:hAnsi="微软雅黑" w:eastAsia="微软雅黑" w:cs="微软雅黑"/>
                <w:i w:val="0"/>
                <w:iCs w:val="0"/>
                <w:color w:val="auto"/>
                <w:kern w:val="0"/>
                <w:sz w:val="20"/>
                <w:szCs w:val="20"/>
                <w:highlight w:val="none"/>
                <w:u w:val="none"/>
                <w:lang w:val="en-US" w:eastAsia="zh-CN" w:bidi="ar"/>
              </w:rPr>
              <w:t>10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FEC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综合布线、环境处理及修复</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5F61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1、信号线采用六类无氧铜网线铺设，电源线采用低烟无卤进行铺设</w:t>
            </w:r>
          </w:p>
          <w:p w14:paraId="34E7684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2、塑胶地板 吸音墙板等其他室内装修修复（定制）</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4731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E6AE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项</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32D3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3AA15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6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1DEBD7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1.2.专业扩声系统</w:t>
            </w:r>
          </w:p>
        </w:tc>
      </w:tr>
      <w:tr w14:paraId="05902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32D1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A7A4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专业功放</w:t>
            </w:r>
          </w:p>
          <w:p w14:paraId="62CC153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（核心产品）</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02CC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1.标准机柜式设计。</w:t>
            </w:r>
          </w:p>
          <w:p w14:paraId="1563DC5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2.开机软启动功能，软启动过程中电源需求缓慢上升，减少对电网和其他电子设备的电流冲击。</w:t>
            </w:r>
          </w:p>
          <w:p w14:paraId="7FDDE38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▲3.采用数字功放双环路压限保护电路，避免开机瞬间的大电流冲击扬声器，减少对扬声器的损害风险，为功放全方位系统保护。</w:t>
            </w:r>
          </w:p>
          <w:p w14:paraId="2A94DCC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▲4.支持过压保护、欠压保护、过流保护、输出短路保护、温度压限、信号压限、温度自动控风扇等功能，很大程度提高功放稳定性和可靠性。</w:t>
            </w:r>
          </w:p>
          <w:p w14:paraId="6CF55E0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5.XLR平衡式输入/XLR 平衡式LINK输出；SPEAKON音响插座输出。</w:t>
            </w:r>
          </w:p>
          <w:p w14:paraId="5D10141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6.MONO /STEREO/BRIDGE三种模式可选择切换。</w:t>
            </w:r>
          </w:p>
          <w:p w14:paraId="6F2CE51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7.灵敏度1V/2V可选择切换。</w:t>
            </w:r>
          </w:p>
          <w:p w14:paraId="05DCF93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8.带温控风机，开机即转，随着温度长高风扇加速。</w:t>
            </w:r>
          </w:p>
          <w:p w14:paraId="3D9D9A0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9.输出功率（1KHz/THD≤1％）：连续功率：立体声8Ω×2：≥2*1000W；立体声4Ω×2：≥2*1700W；立体声2Ω×2：≥2*2900W；桥接16Ω：≥2000W；桥接8Ω：≥3400W；桥接4Ω：≥5800W。</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DE66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681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DBDF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0E7D3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651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E228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线阵音箱</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1716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1.音箱类型为二分频线性阵列全频音箱，低频扬声器：10" x 2，功率≥600W，标称阻抗：≤8Ω</w:t>
            </w:r>
          </w:p>
          <w:p w14:paraId="3B1737E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2.频率范围等同或优于65Hz-20KHz，灵敏度≥102dB (1M/1W )</w:t>
            </w:r>
          </w:p>
          <w:p w14:paraId="2AB74AA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3.高频扬声器：≥75mm（3"）压缩驱动器*1，水平覆盖角(-6dB)≥90°，垂直覆盖角(-6dB)≥10°。</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A29D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C142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只</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36C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2CF29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0AF3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3A95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专业功放</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E6F4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1.标准机柜式设计。</w:t>
            </w:r>
          </w:p>
          <w:p w14:paraId="18B528B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2.开机软启动功能，软启动过程中电源需求缓慢上升，减少对电网和其他电子设备的电流冲击。</w:t>
            </w:r>
          </w:p>
          <w:p w14:paraId="577C6A6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▲3.支持智能保护模式，具有短路保护、直流保护、电源通断多种保护和告警功能；支持温度补偿技术和低噪声设计，保障良好的通风散热,高温下仍然维持稳定的工作状态；</w:t>
            </w:r>
          </w:p>
          <w:p w14:paraId="128063D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▲4.支持过压保护、欠压保护、过流保护、输出短路保护、温度压限、信号压限、温度自动控风扇等功能，很大程度提高功放稳定性和可靠性。</w:t>
            </w:r>
          </w:p>
          <w:p w14:paraId="4A0C620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5.XLR平衡式输入/XLR 平衡式LINK输出；SPEAKON音响插座输出。</w:t>
            </w:r>
          </w:p>
          <w:p w14:paraId="40440DC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6.MONO /STEREO/BRIDGE三种模式可选择切换。</w:t>
            </w:r>
          </w:p>
          <w:p w14:paraId="3C4BBE7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7.灵敏度1V/2V可选择切换。</w:t>
            </w:r>
          </w:p>
          <w:p w14:paraId="4381D95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8.带温控风机，开机即转，随着温度长高风扇加速。</w:t>
            </w:r>
          </w:p>
          <w:p w14:paraId="70D5407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9.输出功率（1KHz/THD≤1％）：连续功率：立体声8Ω×2：2*1200W；立体声4Ω×2：≥2*1900W；立体声2Ω×2：≥2*3200W；桥接16Ω：≥2400W；桥接8Ω：≥3800W；桥接4Ω：≥6400W；</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C54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78A1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F257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76676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2166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0BA9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线阵音箱</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8131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1.音箱类型为低频音箱，低频扬声器：≥18" x 1。</w:t>
            </w:r>
          </w:p>
          <w:p w14:paraId="6D4472C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2.功率≥800W，标称阻抗：≤8Ω。</w:t>
            </w:r>
          </w:p>
          <w:p w14:paraId="5A1820E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3.频率范围等同或优于40Hz-400Hz，灵敏度≥100dB (1M/1W)。</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678B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9DA2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只</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FAF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2AEE3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9B94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3481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支架X</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D05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线阵音箱支架</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D3DA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16A4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套</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E2D6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442B3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A529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6</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A4E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支架X</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9BA9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定制支架</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B99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EE34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套</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D83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13F21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95C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7</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8BEE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专业功放</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AC3A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1.标准XLR输入接口，和LINK输出口。</w:t>
            </w:r>
          </w:p>
          <w:p w14:paraId="445425B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2.电源采用开关电源技术，效率高，有效的抑制电源谐波。</w:t>
            </w:r>
          </w:p>
          <w:p w14:paraId="7122493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▲3.支持智能保护模式，具有短路保护、直流保护、电源通断多种保护和告警功能；支持温度补偿技术和低噪声设计，保障良好的通风散热,高温下仍然维持稳定的工作状态。</w:t>
            </w:r>
          </w:p>
          <w:p w14:paraId="1B2A7C2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default"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w:t>
            </w:r>
            <w:r>
              <w:rPr>
                <w:rFonts w:hint="eastAsia" w:ascii="微软雅黑" w:hAnsi="微软雅黑" w:eastAsia="微软雅黑" w:cs="微软雅黑"/>
                <w:i w:val="0"/>
                <w:iCs w:val="0"/>
                <w:color w:val="auto"/>
                <w:kern w:val="0"/>
                <w:sz w:val="20"/>
                <w:szCs w:val="20"/>
                <w:u w:val="none"/>
                <w:lang w:val="en-US" w:eastAsia="zh-CN" w:bidi="ar"/>
              </w:rPr>
              <w:t>开机延时接载：保护扬声器免受冲击，无声开机；关机保护：关机时先切断负载，实现无声关机，保护扬声器避免受冲击.</w:t>
            </w:r>
          </w:p>
          <w:p w14:paraId="2188D3A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5.输出功率：立体声8Ω ：350W×2；立体声4Ω：600W×2；桥接16Ω：700W ；桥接8Ω：1200W。</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5F4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F3CB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F3B6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4B4A3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E531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8DE9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专业音箱</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5535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1.阻抗≤8Ω</w:t>
            </w:r>
          </w:p>
          <w:p w14:paraId="504E3BA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2.频响等同或优于70Hz-20KHz</w:t>
            </w:r>
          </w:p>
          <w:p w14:paraId="445B9F2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▲3.额定功率：≥150W</w:t>
            </w:r>
          </w:p>
          <w:p w14:paraId="1574E07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▲4.灵敏度≥104dB/W/M</w:t>
            </w:r>
          </w:p>
          <w:p w14:paraId="2AB6108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5.水平覆盖角≥80°，垂直覆盖角≥60°</w:t>
            </w:r>
          </w:p>
          <w:p w14:paraId="45ECD26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6.高音≥3"锥形高音单元×1</w:t>
            </w:r>
          </w:p>
          <w:p w14:paraId="5FEF2DF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7.低音≥8"低音×1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BA96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AD4F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只</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E0C9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412C3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396D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9</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3159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专业功放</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9DAA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1.标准机柜式设计。</w:t>
            </w:r>
          </w:p>
          <w:p w14:paraId="0394F57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2.开机软启动功能，软启动过程中电源需求缓慢上升，减少对电网和其他电子设备的电流冲击。</w:t>
            </w:r>
          </w:p>
          <w:p w14:paraId="1634503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▲3.支持智能保护模式，具有短路保护、直流保护、电源通断多种保护和告警功能；支持温度补偿技术和低噪声设计，保障良好的通风散热,高温下仍然维持稳定的工作状态；</w:t>
            </w:r>
          </w:p>
          <w:p w14:paraId="15A0B12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▲4.支持过压保护、欠压保护、过流保护、输出短路保护、温度压限、信号压限、温度自动控风扇等功能，很大程度提高功放稳定性和可靠性。</w:t>
            </w:r>
          </w:p>
          <w:p w14:paraId="4C878D2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5.XLR平衡式输入/XLR 平衡式LINK输出；SPEAKON音响插座输出。</w:t>
            </w:r>
          </w:p>
          <w:p w14:paraId="2543672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6.MONO /STEREO/BRIDGE三种模式可选择切换。</w:t>
            </w:r>
          </w:p>
          <w:p w14:paraId="529CE71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7.灵敏度1V/2V可选择切换。</w:t>
            </w:r>
          </w:p>
          <w:p w14:paraId="70DC8AB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8.带温控风机，开机即转，随着温度长高风扇加速。</w:t>
            </w:r>
          </w:p>
          <w:p w14:paraId="6F57B38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9.输出功率（1KHz/THD≤1％）：连续功率：立体声8Ω×2：≥2*1000W；立体声4Ω×2：≥2*1700W；立体声2Ω×2：≥2*2900W；桥接16Ω：≥2000W；桥接8Ω：≥3400W；桥接4Ω：≥5800W。</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A41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71D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A0B7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336E3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73C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10</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0BE1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专业音箱</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0999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1.阻抗：≤8Ω</w:t>
            </w:r>
          </w:p>
          <w:p w14:paraId="18285CE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2.频响等同或优于40Hz~400Hz</w:t>
            </w:r>
          </w:p>
          <w:p w14:paraId="5E86F07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3.额定功率≥600W</w:t>
            </w:r>
          </w:p>
          <w:p w14:paraId="7E44FA8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4.灵敏度≥99dB/W/M</w:t>
            </w:r>
          </w:p>
          <w:p w14:paraId="7C1BBB2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5.低音：≥18"低音×1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3215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28C1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只</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DC5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1B214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35BE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8CA7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专业功放</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7D43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1.≥2通道专业数字功放；功放具有直流、短路、过载、过热保护功能。</w:t>
            </w:r>
          </w:p>
          <w:p w14:paraId="122C894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2.面板具有信号指示灯、保护指示灯等。</w:t>
            </w:r>
          </w:p>
          <w:p w14:paraId="73D068A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3.具备信号、功率、温度压限功能。</w:t>
            </w:r>
          </w:p>
          <w:p w14:paraId="68B68D3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4.灵敏度支持≥1V/2V，可选择切换。</w:t>
            </w:r>
          </w:p>
          <w:p w14:paraId="3AD532B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5.带温控风机，开机即转。</w:t>
            </w:r>
          </w:p>
          <w:p w14:paraId="3E41C85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6.输出功率：立体声8Ω ：500W×2；立体声4Ω：850W×2；桥接16Ω：1000W ；桥接8Ω：1700W</w:t>
            </w:r>
          </w:p>
          <w:p w14:paraId="5D4C014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7.电压增益 (@1KHz) 等同或优于36dB；输入阻抗 ≤10K Ω 非平衡、20KΩ 平衡；THD+N(@1/8功率下） ≤0.01％；信噪比 (A计权) ≥107dB；</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8C4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1A8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5716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5E322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BB9C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12</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ACF3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专业音箱</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2A4A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1.阻抗≤8Ω</w:t>
            </w:r>
          </w:p>
          <w:p w14:paraId="05E55A4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2.频响等同或优于60Hz-20KHz</w:t>
            </w:r>
          </w:p>
          <w:p w14:paraId="1C7CBA5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3.额定功率≥300W</w:t>
            </w:r>
          </w:p>
          <w:p w14:paraId="403A289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4.灵敏度≥98dB/W/M</w:t>
            </w:r>
          </w:p>
          <w:p w14:paraId="38C82CE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5.水平覆盖角≥80°，垂直覆盖角≥60°</w:t>
            </w:r>
          </w:p>
          <w:p w14:paraId="02D20A8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6.高音≤1.4"压缩高音单元×1；低音：10"低音×1</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34B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5876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只</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9A07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0EF1D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6C54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13</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C548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专业功放</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0EC6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1.≥2通道专业数字功放；功放具有直流、短路、过载、过热保护功能。</w:t>
            </w:r>
          </w:p>
          <w:p w14:paraId="5BF52AD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2.面板具有信号指示灯、保护指示灯等。</w:t>
            </w:r>
          </w:p>
          <w:p w14:paraId="55E47CA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3.具备信号、功率、温度压限功能</w:t>
            </w:r>
          </w:p>
          <w:p w14:paraId="73ECE31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4.灵敏度支持≥1V/2V，可选择切换。</w:t>
            </w:r>
          </w:p>
          <w:p w14:paraId="4F825C3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5.带温控风机。</w:t>
            </w:r>
          </w:p>
          <w:p w14:paraId="767120A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6.输出功率：立体声8Ω ：500W×2；立体声4Ω：850W×2；桥接16Ω：1000W ；桥接8Ω：1700W</w:t>
            </w:r>
          </w:p>
          <w:p w14:paraId="7BB3959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7.电压增益 (@1KHz) 等同或优于36dB；输入阻抗 ≤10K Ω 非平衡、20KΩ 平衡；THD+N(@1/8功率下） ≤0.01％；信噪比 (A计权) ≥107dB；</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65A0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C82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2631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12F00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4A6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14</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8B9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专业音箱</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7C7C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1.阻抗≤8Ω</w:t>
            </w:r>
          </w:p>
          <w:p w14:paraId="2D44855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2.频响X等同或优于60Hz-20KHz</w:t>
            </w:r>
          </w:p>
          <w:p w14:paraId="7AFFDCB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3.额定功率≥400W</w:t>
            </w:r>
          </w:p>
          <w:p w14:paraId="01A83AC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4.灵敏度≥98dB/W/M</w:t>
            </w:r>
          </w:p>
          <w:p w14:paraId="2FAFBD5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5.水平覆盖角≥90°，垂直覆盖角≥70°</w:t>
            </w:r>
          </w:p>
          <w:p w14:paraId="6E9B437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6.高音≥1.4"压缩高音单元×1</w:t>
            </w:r>
          </w:p>
          <w:p w14:paraId="3A80065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7.低频单元：≥1x12"/2.6"低音单元</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3DFD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6</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8A49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只</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988F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04E45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6BC3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15</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502E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支架X</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3016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承重约为35kg/只，音箱支架</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F634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6</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7CD7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只</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4CD3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15A7F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B29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16</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EEE6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无线话筒</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D7EF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1.基于数字U段的传输技术，pi/4-DQPSK调制方式，采用国产主控芯片，传输距离≥80米，接收机具有≥2路平衡输出、≥1路非平衡混音输出。</w:t>
            </w:r>
          </w:p>
          <w:p w14:paraId="4154556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2.具有≥1台接收主机、≥2只手持发射机；频率范围等同或优于470MHz-510MHz、540MHz-590MHz、640MHz-690MHz、807MHz-830MHz四个频段使用。</w:t>
            </w:r>
          </w:p>
          <w:p w14:paraId="35BC630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3.接收机前面板具有≥2个显示屏、≥2个编码旋钮或按键、</w:t>
            </w:r>
            <w:r>
              <w:rPr>
                <w:rFonts w:hint="eastAsia" w:ascii="微软雅黑" w:hAnsi="微软雅黑" w:eastAsia="微软雅黑" w:cs="微软雅黑"/>
                <w:i w:val="0"/>
                <w:iCs w:val="0"/>
                <w:color w:val="auto"/>
                <w:kern w:val="0"/>
                <w:sz w:val="20"/>
                <w:szCs w:val="20"/>
                <w:u w:val="none"/>
                <w:lang w:val="en-US" w:eastAsia="zh-CN" w:bidi="ar"/>
              </w:rPr>
              <w:t>≥4个音量控制实体按键、</w:t>
            </w:r>
            <w:r>
              <w:rPr>
                <w:rFonts w:hint="eastAsia" w:ascii="微软雅黑" w:hAnsi="微软雅黑" w:eastAsia="微软雅黑" w:cs="微软雅黑"/>
                <w:i w:val="0"/>
                <w:iCs w:val="0"/>
                <w:color w:val="auto"/>
                <w:kern w:val="0"/>
                <w:sz w:val="20"/>
                <w:szCs w:val="20"/>
                <w:highlight w:val="none"/>
                <w:u w:val="none"/>
                <w:lang w:val="en-US" w:eastAsia="zh-CN" w:bidi="ar"/>
              </w:rPr>
              <w:t>≥2个频率扫描实体按键、≥2个红外对频实体按键、≥1个电源开关按键、≥1个二合一指示灯（红外发射管+对频指示灯）；后面板具有≥1个LINE-OUT接口、≥2个XLR-OUT接口、≥2个BNC接口、≥1个DC接口。发射机具有≥1个OLED 显示屏、≥1个开关机/静音按键、≥2个工作状态指示灯。</w:t>
            </w:r>
          </w:p>
          <w:p w14:paraId="32828B1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4.具有自动静音功能，麦克风跌落、抛掷时，毫秒级自动静音，避免冲击声；实时监测设备姿态，静置≥5秒静音，≥8分钟关机，无需手动干预。</w:t>
            </w:r>
          </w:p>
          <w:p w14:paraId="1AFA8AD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5.具有多档位混响调节功能，混响效果≥15625个，效果占比、回响延时、混响幅度调节，三种音效各具有≥25档调节方式。</w:t>
            </w:r>
          </w:p>
          <w:p w14:paraId="297F215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6.具有多频段均衡调节功能，均衡调节≥2197种，麦克风均衡器调节功能，具有高、中、低音三种调节档位，每种效果支持≥13档调节。</w:t>
            </w:r>
          </w:p>
          <w:p w14:paraId="573012A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7.具有长时间续航，发射机使用时长≥10小时。</w:t>
            </w:r>
          </w:p>
          <w:p w14:paraId="7903DDA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8.具有ID码防串扰功能，采用32位唯一ID码，用于接收和发射配对，收发ID码必须相同才能对码，能够有效防止相同频率的信号相互串台。</w:t>
            </w:r>
          </w:p>
          <w:p w14:paraId="4D39A24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9.接收机具有≥2个2.2英寸的TFT-LCD显示屏；发射机具有≥0.96英寸OLED显示屏。</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CE2F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2982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套</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06AD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48F14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C9A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17</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4F4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无线话筒</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E687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1.基于数字U段的传输技术，pi/4-DQPSK调制方式，采用国产主控芯片，传输距离≥80米，接收机具有≥2路平衡输出、≥1路非平衡混音输出。</w:t>
            </w:r>
          </w:p>
          <w:p w14:paraId="5D6E5C9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2.具有≥1台接收主机、≥2只头戴腰包；频率范围等同或优于470MHz-510MHz、540MHz-590MHz、640MHz-690MHz、807MHz-830MHz四个频段使用。</w:t>
            </w:r>
          </w:p>
          <w:p w14:paraId="016BEB4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接收机前面板具有≥2个TFT-LCD显示屏、≥2个编码旋钮、≥2个频率扫描实体按键、≥2个红外对频实体按键、≥1个电源开关按键、≥1个二合一指示灯（红外发射管+对频指示灯）；后面板具有≥1个LINE-OUT接口、≥2个XLR-OUT接口、≥2个BNC接口、≥1个DC接口。发射机具有≥1个显示屏、≥1个实体拨动键（包括静音、音量减少、音量增加等功能）、≥1个电源状态指示灯、≥1个静音指示灯。</w:t>
            </w:r>
          </w:p>
          <w:p w14:paraId="1BE9CF2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4.具有多档位混响调节功能，混响效果≥15625个，效果占比、回响延时、混响幅度调节，三种音效各具有≥25档调节方式。</w:t>
            </w:r>
          </w:p>
          <w:p w14:paraId="3DD9704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5.具有多频段均衡调节功能，均衡调节≥2197种，麦克风均衡器调节功能，具有高、中、低音三种调节档位，每种效果支持≥13档调节。</w:t>
            </w:r>
          </w:p>
          <w:p w14:paraId="56706FD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6.具有长时间续航，发射机连续使用时长≥10小时。</w:t>
            </w:r>
          </w:p>
          <w:p w14:paraId="61A834D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7.具有ID码防串扰功能，采用32位唯一ID码，用于接收和发射配对，收发ID码必须相同才能对码，能够有效防止相同频率的信号相互串台。</w:t>
            </w:r>
          </w:p>
          <w:p w14:paraId="7E9D69E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8.接收机具有≥2个的TFT-LCD显示屏；发射机具有OLED显示屏。</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6FBD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4884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套</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C40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6A50D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433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18</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A4A4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天线分配器</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40F1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1.具备≥2个天线输入接口，支持接收天线信号，实现分配多路射频信号的效果。</w:t>
            </w:r>
          </w:p>
          <w:p w14:paraId="348D799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2.具备放大射频信号，补偿因信号功率被分配至多个输出而造成的插入损耗。</w:t>
            </w:r>
          </w:p>
          <w:p w14:paraId="73C64D6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3.具备≥2个天线级联接口，支持无限制级联分配器，可实现扩展无线话筒的目的。</w:t>
            </w:r>
          </w:p>
          <w:p w14:paraId="3069168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4.具备≥4个直流电源输出接口，支持给≥4台接收机供电，减少适配器数量和免去繁琐布线。</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8C38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DCA0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套</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30F0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229DA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54B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19</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B53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话筒天线</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11C9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1.天线接收频段广，可接收等同或优于470-950MHZ的频率</w:t>
            </w:r>
          </w:p>
          <w:p w14:paraId="75B9C28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 xml:space="preserve">2.天线极化方式：线极化 </w:t>
            </w:r>
          </w:p>
          <w:p w14:paraId="757A5D3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3.天线驻波比：≤2.0</w:t>
            </w:r>
          </w:p>
          <w:p w14:paraId="1F89D6B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4.放大器增益：四档可调（-6dB/0dB/6dB/12dB)</w:t>
            </w:r>
          </w:p>
          <w:p w14:paraId="34B75E6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5.指向性：≥90度指向</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2D04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1EB2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套</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D918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42415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695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20</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578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话筒</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FDAD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1.采用柱极式电容麦克风设计，具有良好的束状特性。</w:t>
            </w:r>
          </w:p>
          <w:p w14:paraId="5443771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2.接口：平衡式XLR接口；方向特性：束状</w:t>
            </w:r>
          </w:p>
          <w:p w14:paraId="7AED2C3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3.支持单只麦克风或多只麦克风同时使用。</w:t>
            </w:r>
          </w:p>
          <w:p w14:paraId="76F802F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4.幻象供电：≥+48V</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2666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9BFF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支</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5438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5413F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6D15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21</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849B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支架X</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8E5F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话筒支架</w:t>
            </w:r>
          </w:p>
          <w:p w14:paraId="1C5B79C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1.高度调节等同或优于1030-1710mm</w:t>
            </w:r>
          </w:p>
          <w:p w14:paraId="2A51ECF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2.横杠长度≥750mm</w:t>
            </w:r>
          </w:p>
          <w:p w14:paraId="1668D4D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3.重量≥2.85kg</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6204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960E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个</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3F2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16361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C2F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22</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5F76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调音台</w:t>
            </w:r>
          </w:p>
        </w:tc>
        <w:tc>
          <w:tcPr>
            <w:tcW w:w="9800" w:type="dxa"/>
            <w:tcBorders>
              <w:top w:val="single" w:color="000000" w:sz="4" w:space="0"/>
              <w:left w:val="single" w:color="000000" w:sz="4" w:space="0"/>
              <w:bottom w:val="single" w:color="auto" w:sz="4" w:space="0"/>
              <w:right w:val="single" w:color="000000" w:sz="4" w:space="0"/>
            </w:tcBorders>
            <w:shd w:val="clear" w:color="auto" w:fill="auto"/>
            <w:vAlign w:val="center"/>
          </w:tcPr>
          <w:p w14:paraId="3FC5D09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1.支持≥10路MIC输入兼容8路线路输入接口，支持≥2组立体声输入接口，≥4路RCA输入，话筒接口幻象电源：+48V。</w:t>
            </w:r>
          </w:p>
          <w:p w14:paraId="08FF497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2.具有≥2组立体声输出、≥4路编组输出、≥2路辅助输出、≥1个耳机监听输出、≥1个接口双路效果输出、≥1组控制室输出、≥1组主混音断点插入、≥8个断点插入。</w:t>
            </w:r>
          </w:p>
          <w:p w14:paraId="1594B1A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3.内置≥24位DSP效果器，提供≥100种预设效果。</w:t>
            </w:r>
          </w:p>
          <w:p w14:paraId="7C6E221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4.具备≥15个60mm行程的高精密碳膜推子。</w:t>
            </w:r>
          </w:p>
          <w:p w14:paraId="3EECC94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5.内置USB声卡模块，支持连接电脑进行音乐播放和声音录音。</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80C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76A4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0B33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25381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nil"/>
              <w:right w:val="single" w:color="000000" w:sz="4" w:space="0"/>
            </w:tcBorders>
            <w:shd w:val="clear" w:color="auto" w:fill="auto"/>
            <w:noWrap/>
            <w:vAlign w:val="center"/>
          </w:tcPr>
          <w:p w14:paraId="24DCA7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23</w:t>
            </w:r>
          </w:p>
        </w:tc>
        <w:tc>
          <w:tcPr>
            <w:tcW w:w="1249" w:type="dxa"/>
            <w:tcBorders>
              <w:top w:val="single" w:color="000000" w:sz="4" w:space="0"/>
              <w:left w:val="single" w:color="000000" w:sz="4" w:space="0"/>
              <w:bottom w:val="nil"/>
              <w:right w:val="single" w:color="auto" w:sz="4" w:space="0"/>
            </w:tcBorders>
            <w:shd w:val="clear" w:color="auto" w:fill="auto"/>
            <w:noWrap/>
            <w:vAlign w:val="center"/>
          </w:tcPr>
          <w:p w14:paraId="6D0834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音频处理器</w:t>
            </w:r>
          </w:p>
        </w:tc>
        <w:tc>
          <w:tcPr>
            <w:tcW w:w="9800" w:type="dxa"/>
            <w:tcBorders>
              <w:top w:val="single" w:color="auto" w:sz="4" w:space="0"/>
              <w:left w:val="single" w:color="auto" w:sz="4" w:space="0"/>
              <w:bottom w:val="single" w:color="auto" w:sz="4" w:space="0"/>
              <w:right w:val="single" w:color="auto" w:sz="4" w:space="0"/>
            </w:tcBorders>
            <w:shd w:val="clear" w:color="auto" w:fill="auto"/>
            <w:vAlign w:val="center"/>
          </w:tcPr>
          <w:p w14:paraId="02CAADD7">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Chars="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1.处理器≥4核，主频≥2.0GHz。</w:t>
            </w:r>
          </w:p>
          <w:p w14:paraId="636541E5">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Chars="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2.后面板具有≥12路线路音频凤凰端子平衡输入接口（具有48V幻象供电）、≥12路线路音频凤凰端子平衡输出接口、≥1个RJ45接口、≥1个RS232接口、≥1个RS485接口、≥1个接地柱；前面板具有≥2.0英寸 IPS 真彩显示屏、≥1个USB存储设备接口。</w:t>
            </w:r>
          </w:p>
          <w:p w14:paraId="495ECCF5">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Chars="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输入通道支持前级放大、信号发生器、扩展器、压缩器、均衡器（≥12段参量均衡、可选10/15/31段图示均衡器可调，图示均衡器可用于单独调节带宽）、闪避器、AGC自动增益、AM自动混音功能（门限式、增益共享式）、AFC自适应反馈消除、AEC回声消除、ANC噪声消除、音频矩阵；输出通道支持均衡器（≥16段参量均衡、可选10/15/31段图示均衡器可调，图示均衡器可用于单独调节带宽）、延时器、分频器、高低通滤波器、限幅器；基于啸叫检测门限更新法，具有移频+陷波组合反馈抑制，可以使用≥24个可编程陷波点，可自由分配动态/静态点，自动/手动切换。</w:t>
            </w:r>
          </w:p>
          <w:p w14:paraId="109979CE">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Chars="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4.具有矩阵增益调节功能，每个输入通道参与混音的增益可调，增益调节范围等同或优于-72dB到12dB。</w:t>
            </w:r>
          </w:p>
          <w:p w14:paraId="3C8442F7">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Chars="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5.设备具有编码旋钮和IPS屏幕，可用于控制和配置设备静音，增益，场景；IPS屏幕能够显示IP地址，输入和输出通道的实时电平。</w:t>
            </w:r>
          </w:p>
          <w:p w14:paraId="6D020B2F">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Chars="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6.具有设备定位功能，客户端一键定位局域网内同类设备，被定位的设备会显示定位信息。</w:t>
            </w:r>
          </w:p>
          <w:p w14:paraId="696A3296">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Chars="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7.设备具有统一集中控制功能，支持≥65535台设备通过软件集中控制。</w:t>
            </w:r>
          </w:p>
          <w:p w14:paraId="2468E1B9">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240" w:lineRule="auto"/>
              <w:ind w:leftChars="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8.支持双机热备份；当主机出现故障时，备用主机自动承担服务，切换时间≤2s。</w:t>
            </w:r>
          </w:p>
        </w:tc>
        <w:tc>
          <w:tcPr>
            <w:tcW w:w="950" w:type="dxa"/>
            <w:tcBorders>
              <w:top w:val="single" w:color="000000" w:sz="4" w:space="0"/>
              <w:left w:val="single" w:color="auto" w:sz="4" w:space="0"/>
              <w:bottom w:val="nil"/>
              <w:right w:val="single" w:color="000000" w:sz="4" w:space="0"/>
            </w:tcBorders>
            <w:shd w:val="clear" w:color="auto" w:fill="auto"/>
            <w:noWrap/>
            <w:vAlign w:val="center"/>
          </w:tcPr>
          <w:p w14:paraId="45E6C6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nil"/>
              <w:right w:val="single" w:color="000000" w:sz="4" w:space="0"/>
            </w:tcBorders>
            <w:shd w:val="clear" w:color="auto" w:fill="auto"/>
            <w:noWrap/>
            <w:vAlign w:val="center"/>
          </w:tcPr>
          <w:p w14:paraId="38E62E2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nil"/>
              <w:right w:val="single" w:color="000000" w:sz="4" w:space="0"/>
            </w:tcBorders>
            <w:shd w:val="clear" w:color="auto" w:fill="auto"/>
            <w:vAlign w:val="center"/>
          </w:tcPr>
          <w:p w14:paraId="109A2B5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46AE4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4620"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69001B6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1.3.中控系统</w:t>
            </w:r>
          </w:p>
        </w:tc>
      </w:tr>
      <w:tr w14:paraId="599F3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nil"/>
              <w:left w:val="single" w:color="000000" w:sz="4" w:space="0"/>
              <w:bottom w:val="single" w:color="000000" w:sz="4" w:space="0"/>
              <w:right w:val="single" w:color="000000" w:sz="4" w:space="0"/>
            </w:tcBorders>
            <w:shd w:val="clear" w:color="auto" w:fill="auto"/>
            <w:noWrap/>
            <w:vAlign w:val="center"/>
          </w:tcPr>
          <w:p w14:paraId="179418C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1249" w:type="dxa"/>
            <w:tcBorders>
              <w:top w:val="nil"/>
              <w:left w:val="single" w:color="000000" w:sz="4" w:space="0"/>
              <w:bottom w:val="single" w:color="000000" w:sz="4" w:space="0"/>
              <w:right w:val="single" w:color="auto" w:sz="4" w:space="0"/>
            </w:tcBorders>
            <w:shd w:val="clear" w:color="auto" w:fill="auto"/>
            <w:noWrap/>
            <w:vAlign w:val="center"/>
          </w:tcPr>
          <w:p w14:paraId="1C01F07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网络中控主机</w:t>
            </w:r>
          </w:p>
        </w:tc>
        <w:tc>
          <w:tcPr>
            <w:tcW w:w="9800" w:type="dxa"/>
            <w:tcBorders>
              <w:top w:val="single" w:color="auto" w:sz="4" w:space="0"/>
              <w:left w:val="single" w:color="auto" w:sz="4" w:space="0"/>
              <w:bottom w:val="single" w:color="auto" w:sz="4" w:space="0"/>
              <w:right w:val="single" w:color="auto" w:sz="4" w:space="0"/>
            </w:tcBorders>
            <w:shd w:val="clear" w:color="auto" w:fill="auto"/>
            <w:vAlign w:val="center"/>
          </w:tcPr>
          <w:p w14:paraId="2A82750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1.支持X红外控制、RS-232、RS-422、RS-485、UDP、TCP、telnet、http、MQTT以及SNMP等多种协议，兼容性强，可对接第三方设备。</w:t>
            </w:r>
          </w:p>
          <w:p w14:paraId="36028D4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2.主机具备≥4.3英寸彩屏、≥8路独立可编程串口、≥8路独立可编程IR红外发射口、≥8路数字I/0控制口、≥8路弱电继电器控制接口、≥1个NET网络控制接口、≥1路TF卡接口。</w:t>
            </w:r>
          </w:p>
          <w:p w14:paraId="3781942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3.支持双机热备份。当中控主机出现故障时，备用中控主机自动承担服务，从而保证系统在不需要人工干预的情况下能正常运行。</w:t>
            </w:r>
          </w:p>
          <w:p w14:paraId="5D34E3F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4.支持互联网控制。中控主机在连接互联网的情况下，用户可操作手机或平板等移动端通过互联网实现对中控主机远程控制。</w:t>
            </w:r>
          </w:p>
          <w:p w14:paraId="7AB28C3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5.支持扫二维码控制。中控主机在连接互联网的情况下会在云平台自动生成二维码，通过微信或者浏览器扫一扫二维码，即可进入控制界面，实现对中控主机控制。支持密码权限设置。</w:t>
            </w:r>
          </w:p>
          <w:p w14:paraId="60AA004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6.支持视频矩阵可视化控制。用户可通过控制端实时预览、拖动并切换矩阵视频信号，支持设置触碰和投放触发切换方式。</w:t>
            </w:r>
          </w:p>
          <w:p w14:paraId="5C25BE8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7.支持拼接矩阵可视化控制。用户可通过控制端实时预览、放大、缩小、拖动并切换拼接矩阵视频信号，可对输入信号源进行置底、置顶以及一键清屏等操作，支持设置触碰和投放触发切换方式。</w:t>
            </w:r>
          </w:p>
        </w:tc>
        <w:tc>
          <w:tcPr>
            <w:tcW w:w="950" w:type="dxa"/>
            <w:tcBorders>
              <w:top w:val="nil"/>
              <w:left w:val="single" w:color="auto" w:sz="4" w:space="0"/>
              <w:bottom w:val="single" w:color="000000" w:sz="4" w:space="0"/>
              <w:right w:val="single" w:color="000000" w:sz="4" w:space="0"/>
            </w:tcBorders>
            <w:shd w:val="clear" w:color="auto" w:fill="auto"/>
            <w:noWrap/>
            <w:vAlign w:val="center"/>
          </w:tcPr>
          <w:p w14:paraId="4734AE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nil"/>
              <w:left w:val="single" w:color="000000" w:sz="4" w:space="0"/>
              <w:bottom w:val="single" w:color="000000" w:sz="4" w:space="0"/>
              <w:right w:val="single" w:color="000000" w:sz="4" w:space="0"/>
            </w:tcBorders>
            <w:shd w:val="clear" w:color="auto" w:fill="auto"/>
            <w:noWrap/>
            <w:vAlign w:val="center"/>
          </w:tcPr>
          <w:p w14:paraId="1CAD8EE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nil"/>
              <w:left w:val="single" w:color="000000" w:sz="4" w:space="0"/>
              <w:bottom w:val="single" w:color="000000" w:sz="4" w:space="0"/>
              <w:right w:val="single" w:color="000000" w:sz="4" w:space="0"/>
            </w:tcBorders>
            <w:shd w:val="clear" w:color="auto" w:fill="auto"/>
            <w:noWrap/>
            <w:vAlign w:val="center"/>
          </w:tcPr>
          <w:p w14:paraId="23BD358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126FB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A32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B82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触摸屏</w:t>
            </w:r>
          </w:p>
        </w:tc>
        <w:tc>
          <w:tcPr>
            <w:tcW w:w="9800" w:type="dxa"/>
            <w:tcBorders>
              <w:top w:val="single" w:color="auto" w:sz="4" w:space="0"/>
              <w:left w:val="single" w:color="000000" w:sz="4" w:space="0"/>
              <w:bottom w:val="single" w:color="000000" w:sz="4" w:space="0"/>
              <w:right w:val="single" w:color="000000" w:sz="4" w:space="0"/>
            </w:tcBorders>
            <w:shd w:val="clear" w:color="auto" w:fill="auto"/>
            <w:vAlign w:val="top"/>
          </w:tcPr>
          <w:p w14:paraId="0075B02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1.设备采用操作系统等同或优于Android 11，显示器≥10.1 英寸，显示画面≥1920*1200分辨率，显示屏≥10点触控。</w:t>
            </w:r>
          </w:p>
          <w:p w14:paraId="72B472D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w:t>
            </w:r>
            <w:r>
              <w:rPr>
                <w:rFonts w:hint="eastAsia" w:ascii="微软雅黑" w:hAnsi="微软雅黑" w:eastAsia="微软雅黑" w:cs="微软雅黑"/>
                <w:i w:val="0"/>
                <w:iCs w:val="0"/>
                <w:color w:val="auto"/>
                <w:kern w:val="0"/>
                <w:sz w:val="20"/>
                <w:szCs w:val="20"/>
                <w:u w:val="none"/>
                <w:lang w:val="en-US" w:eastAsia="zh-CN" w:bidi="ar"/>
              </w:rPr>
              <w:t>内置３路双向串口；１路RS485、2路RS232，提供脚本串口接收中断函数和串口发送函数，可以自由实现脚本控制程序</w:t>
            </w:r>
            <w:r>
              <w:rPr>
                <w:rFonts w:hint="eastAsia" w:ascii="微软雅黑" w:hAnsi="微软雅黑" w:eastAsia="微软雅黑" w:cs="微软雅黑"/>
                <w:i w:val="0"/>
                <w:iCs w:val="0"/>
                <w:color w:val="auto"/>
                <w:kern w:val="0"/>
                <w:sz w:val="20"/>
                <w:szCs w:val="20"/>
                <w:highlight w:val="none"/>
                <w:u w:val="none"/>
                <w:lang w:val="en-US" w:eastAsia="zh-CN" w:bidi="ar"/>
              </w:rPr>
              <w:t>。</w:t>
            </w:r>
          </w:p>
          <w:p w14:paraId="18704DD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w:t>
            </w:r>
            <w:r>
              <w:rPr>
                <w:rFonts w:hint="eastAsia" w:ascii="微软雅黑" w:hAnsi="微软雅黑" w:eastAsia="微软雅黑" w:cs="微软雅黑"/>
                <w:i w:val="0"/>
                <w:iCs w:val="0"/>
                <w:color w:val="auto"/>
                <w:kern w:val="0"/>
                <w:sz w:val="20"/>
                <w:szCs w:val="20"/>
                <w:u w:val="none"/>
                <w:lang w:val="en-US" w:eastAsia="zh-CN" w:bidi="ar"/>
              </w:rPr>
              <w:t>内置4路红外发射接口</w:t>
            </w:r>
            <w:r>
              <w:rPr>
                <w:rFonts w:hint="eastAsia" w:ascii="微软雅黑" w:hAnsi="微软雅黑" w:eastAsia="微软雅黑" w:cs="微软雅黑"/>
                <w:i w:val="0"/>
                <w:iCs w:val="0"/>
                <w:color w:val="auto"/>
                <w:kern w:val="0"/>
                <w:sz w:val="20"/>
                <w:szCs w:val="20"/>
                <w:highlight w:val="none"/>
                <w:u w:val="none"/>
                <w:lang w:val="en-US" w:eastAsia="zh-CN" w:bidi="ar"/>
              </w:rPr>
              <w:t>。</w:t>
            </w:r>
          </w:p>
          <w:p w14:paraId="724C2A3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w:t>
            </w:r>
            <w:r>
              <w:rPr>
                <w:rFonts w:hint="eastAsia" w:ascii="微软雅黑" w:hAnsi="微软雅黑" w:eastAsia="微软雅黑" w:cs="微软雅黑"/>
                <w:i w:val="0"/>
                <w:iCs w:val="0"/>
                <w:color w:val="auto"/>
                <w:kern w:val="0"/>
                <w:sz w:val="20"/>
                <w:szCs w:val="20"/>
                <w:u w:val="none"/>
                <w:lang w:val="en-US" w:eastAsia="zh-CN" w:bidi="ar"/>
              </w:rPr>
              <w:t>内置2路IO；提供脚本 IO中断函数，可以自由开发实现脚本控制程序</w:t>
            </w:r>
            <w:r>
              <w:rPr>
                <w:rFonts w:hint="eastAsia" w:ascii="微软雅黑" w:hAnsi="微软雅黑" w:eastAsia="微软雅黑" w:cs="微软雅黑"/>
                <w:i w:val="0"/>
                <w:iCs w:val="0"/>
                <w:color w:val="auto"/>
                <w:kern w:val="0"/>
                <w:sz w:val="20"/>
                <w:szCs w:val="20"/>
                <w:highlight w:val="none"/>
                <w:u w:val="none"/>
                <w:lang w:val="en-US" w:eastAsia="zh-CN" w:bidi="ar"/>
              </w:rPr>
              <w:t>。</w:t>
            </w:r>
          </w:p>
          <w:p w14:paraId="68243B0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w:t>
            </w:r>
            <w:r>
              <w:rPr>
                <w:rFonts w:hint="eastAsia" w:ascii="微软雅黑" w:hAnsi="微软雅黑" w:eastAsia="微软雅黑" w:cs="微软雅黑"/>
                <w:i w:val="0"/>
                <w:iCs w:val="0"/>
                <w:color w:val="auto"/>
                <w:kern w:val="0"/>
                <w:sz w:val="20"/>
                <w:szCs w:val="20"/>
                <w:u w:val="none"/>
                <w:lang w:val="en-US" w:eastAsia="zh-CN" w:bidi="ar"/>
              </w:rPr>
              <w:t>内置万能网络接口；可以同时控制多个TCP和UDP设备，提供脚本网络接收中断函数和网络发送函数，可以自由实现脚本控制程序</w:t>
            </w:r>
            <w:r>
              <w:rPr>
                <w:rFonts w:hint="eastAsia" w:ascii="微软雅黑" w:hAnsi="微软雅黑" w:eastAsia="微软雅黑" w:cs="微软雅黑"/>
                <w:i w:val="0"/>
                <w:iCs w:val="0"/>
                <w:color w:val="auto"/>
                <w:kern w:val="0"/>
                <w:sz w:val="20"/>
                <w:szCs w:val="20"/>
                <w:highlight w:val="none"/>
                <w:u w:val="none"/>
                <w:lang w:val="en-US" w:eastAsia="zh-CN" w:bidi="ar"/>
              </w:rPr>
              <w:t>。</w:t>
            </w:r>
          </w:p>
          <w:p w14:paraId="3882504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6.</w:t>
            </w:r>
            <w:r>
              <w:rPr>
                <w:rFonts w:hint="eastAsia" w:ascii="微软雅黑" w:hAnsi="微软雅黑" w:eastAsia="微软雅黑" w:cs="微软雅黑"/>
                <w:i w:val="0"/>
                <w:iCs w:val="0"/>
                <w:color w:val="auto"/>
                <w:kern w:val="0"/>
                <w:sz w:val="20"/>
                <w:szCs w:val="20"/>
                <w:u w:val="none"/>
                <w:lang w:val="en-US" w:eastAsia="zh-CN" w:bidi="ar"/>
              </w:rPr>
              <w:t>内置系统按钮（点击左上角或在空白处长按5秒可以弹出），可对背光调节、蜂鸣器开关、串口参数设置、RTC时间设置</w:t>
            </w:r>
            <w:r>
              <w:rPr>
                <w:rFonts w:hint="eastAsia" w:ascii="微软雅黑" w:hAnsi="微软雅黑" w:eastAsia="微软雅黑" w:cs="微软雅黑"/>
                <w:i w:val="0"/>
                <w:iCs w:val="0"/>
                <w:color w:val="auto"/>
                <w:kern w:val="0"/>
                <w:sz w:val="20"/>
                <w:szCs w:val="20"/>
                <w:highlight w:val="none"/>
                <w:u w:val="none"/>
                <w:lang w:val="en-US" w:eastAsia="zh-CN" w:bidi="ar"/>
              </w:rPr>
              <w:t>。</w:t>
            </w:r>
          </w:p>
          <w:p w14:paraId="490E6BC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7.支持对接会务管理系统；搭配中控主机，可通过手机APP或WEB端预约会议室，设置情景类型以及开始/结束时间；会议开始前，系统会自动调用场景，设备背光灯条自动亮起，同时联动开启室内空调、照明灯具；会议结束后设备联动关闭会议室空调、灯光等设备。</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9B6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2B8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848E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0AC54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60AA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0931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控制器</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C548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1.具有≥8路自动、手动电源控制器，内置≥8个20A继电器，负载能力≥4400W/单路；配合中控主机使用，用于控制灯光、电动投影幕、电动窗帘等会议室周边设备。</w:t>
            </w:r>
          </w:p>
          <w:p w14:paraId="026D0A0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2.每路继电器都有三连接点的接线柱,具有常开与常闭的功能。</w:t>
            </w:r>
          </w:p>
          <w:p w14:paraId="60E7498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3.具有复位按键，支持恢复到出厂的默认设置。具有1路网络接口，支持通过网络实现远程控制。</w:t>
            </w:r>
          </w:p>
          <w:p w14:paraId="7C6B761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4.具有设备运行状态指示灯及≥8个继电器的开关状态指示灯。</w:t>
            </w:r>
          </w:p>
          <w:p w14:paraId="00162CB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5.具有键盘锁（LOCK）功能。</w:t>
            </w:r>
          </w:p>
          <w:p w14:paraId="40AC056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6.机器具备ID识别，通过中控主机网络控制多台时，可通过ID识别。</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43C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9C70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1F41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6BA6D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6442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42E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平板电脑</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top"/>
          </w:tcPr>
          <w:p w14:paraId="2CB89E5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1.处理器：高通骁龙</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2.运行内存：8G</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3.硬盘存储：256G</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4.屏幕尺寸：11英寸</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5.系统：HarmonyOS</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12F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1F9E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90A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4F9FD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nil"/>
              <w:right w:val="single" w:color="000000" w:sz="4" w:space="0"/>
            </w:tcBorders>
            <w:shd w:val="clear" w:color="auto" w:fill="auto"/>
            <w:noWrap/>
            <w:vAlign w:val="center"/>
          </w:tcPr>
          <w:p w14:paraId="083E97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w:t>
            </w:r>
          </w:p>
        </w:tc>
        <w:tc>
          <w:tcPr>
            <w:tcW w:w="1249" w:type="dxa"/>
            <w:tcBorders>
              <w:top w:val="single" w:color="000000" w:sz="4" w:space="0"/>
              <w:left w:val="single" w:color="000000" w:sz="4" w:space="0"/>
              <w:bottom w:val="nil"/>
              <w:right w:val="single" w:color="000000" w:sz="4" w:space="0"/>
            </w:tcBorders>
            <w:shd w:val="clear" w:color="auto" w:fill="auto"/>
            <w:noWrap/>
            <w:vAlign w:val="center"/>
          </w:tcPr>
          <w:p w14:paraId="5B56B6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路由器</w:t>
            </w:r>
          </w:p>
        </w:tc>
        <w:tc>
          <w:tcPr>
            <w:tcW w:w="9800" w:type="dxa"/>
            <w:tcBorders>
              <w:top w:val="single" w:color="000000" w:sz="4" w:space="0"/>
              <w:left w:val="single" w:color="000000" w:sz="4" w:space="0"/>
              <w:bottom w:val="nil"/>
              <w:right w:val="single" w:color="000000" w:sz="4" w:space="0"/>
            </w:tcBorders>
            <w:shd w:val="clear" w:color="auto" w:fill="auto"/>
            <w:vAlign w:val="top"/>
          </w:tcPr>
          <w:p w14:paraId="796FCCC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11AC无线技术，2.4G/5G 双频并发，无线速率高达1900Mbps</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全新壳体，外观优雅</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802.3af/at标准PoE网线供电，无需外接电源</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频谱导航，引导双频客户端优先连接到5GHz 频段上，使2.4GHz 和5GHz 两个频段负载更均衡，保障网络性能</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FIT模式支持自动射频调优</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FIT模式支持智能漫游</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支持弱信号剔除、禁止弱信号设备接入功能</w:t>
            </w:r>
          </w:p>
        </w:tc>
        <w:tc>
          <w:tcPr>
            <w:tcW w:w="950" w:type="dxa"/>
            <w:tcBorders>
              <w:top w:val="single" w:color="000000" w:sz="4" w:space="0"/>
              <w:left w:val="single" w:color="000000" w:sz="4" w:space="0"/>
              <w:bottom w:val="nil"/>
              <w:right w:val="single" w:color="000000" w:sz="4" w:space="0"/>
            </w:tcBorders>
            <w:shd w:val="clear" w:color="auto" w:fill="auto"/>
            <w:noWrap/>
            <w:vAlign w:val="center"/>
          </w:tcPr>
          <w:p w14:paraId="1012A8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nil"/>
              <w:right w:val="single" w:color="000000" w:sz="4" w:space="0"/>
            </w:tcBorders>
            <w:shd w:val="clear" w:color="auto" w:fill="auto"/>
            <w:noWrap/>
            <w:vAlign w:val="center"/>
          </w:tcPr>
          <w:p w14:paraId="594AB3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nil"/>
              <w:right w:val="single" w:color="000000" w:sz="4" w:space="0"/>
            </w:tcBorders>
            <w:shd w:val="clear" w:color="auto" w:fill="auto"/>
            <w:noWrap/>
            <w:vAlign w:val="center"/>
          </w:tcPr>
          <w:p w14:paraId="2E0E5B1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6B7B4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EE46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6</w:t>
            </w: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0A1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交换机</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top"/>
          </w:tcPr>
          <w:p w14:paraId="3C67E4C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1、端口描述：24个10/100/1000Base-T以太网端口</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2、传输速率：10/100/1000Mbp</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CE4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0132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DD8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1D802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62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B9B8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1.4.辅助材料</w:t>
            </w:r>
          </w:p>
        </w:tc>
      </w:tr>
      <w:tr w14:paraId="2CB8E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E7D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5971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音频连接线</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CFE81">
            <w:pPr>
              <w:keepNext w:val="0"/>
              <w:keepLines w:val="0"/>
              <w:pageBreakBefore w:val="0"/>
              <w:kinsoku/>
              <w:wordWrap/>
              <w:overflowPunct/>
              <w:topLinePunct w:val="0"/>
              <w:autoSpaceDE/>
              <w:autoSpaceDN/>
              <w:bidi w:val="0"/>
              <w:adjustRightInd/>
              <w:snapToGrid w:val="0"/>
              <w:spacing w:line="240" w:lineRule="auto"/>
              <w:jc w:val="left"/>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sz w:val="20"/>
                <w:szCs w:val="20"/>
                <w:highlight w:val="none"/>
                <w:u w:val="none"/>
              </w:rPr>
              <w:t>5米音频连接线：卡侬头（母）-卡侬头（公）</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7633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073B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F4A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5B3CA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3336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CF82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音频连接线</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79A5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1.8米音频连接线：卡侬头（母）-卡侬头（公）</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38F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4530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D519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729F8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7DF3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05E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音频连接线</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2115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5米音频连接线：3.5（耳机插头）-6.35话筒插头</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C02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57DC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F106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2920F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641E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065F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音频连接线</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3A47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5米音频连接线：卡农头（母）-空</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64B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083E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212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0ACAC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B403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59E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音频连接线</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E730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1.8米音频连接线：卡农头（公）-空</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140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16</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3027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1DEC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792CA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10BF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6</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5ED1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音频连接线</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5872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5米音频连接线：3.5（耳机插头）-双6.35话筒插头</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DFCD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2A78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根</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A0E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2DFFD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9E7A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7</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8575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机柜</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4242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1.尺寸:600X800X1610mm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2.容量:32U</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3.配置:风扇2组、8位10A PDU、托盘1个、重型脚轮4只、扳手1个、支脚4个、螺母钉20套</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2321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0796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vMerge w:val="restart"/>
            <w:tcBorders>
              <w:top w:val="single" w:color="000000" w:sz="4" w:space="0"/>
              <w:left w:val="single" w:color="000000" w:sz="4" w:space="0"/>
              <w:right w:val="single" w:color="000000" w:sz="4" w:space="0"/>
            </w:tcBorders>
            <w:shd w:val="clear" w:color="auto" w:fill="auto"/>
            <w:vAlign w:val="center"/>
          </w:tcPr>
          <w:p w14:paraId="434FB7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6C27B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E618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9D6C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多功能插座</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62D0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1个电源，1个HDMI，1个音频，1个网口</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C7D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08A3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只</w:t>
            </w:r>
          </w:p>
        </w:tc>
        <w:tc>
          <w:tcPr>
            <w:tcW w:w="1158" w:type="dxa"/>
            <w:vMerge w:val="continue"/>
            <w:tcBorders>
              <w:left w:val="single" w:color="000000" w:sz="4" w:space="0"/>
              <w:right w:val="single" w:color="000000" w:sz="4" w:space="0"/>
            </w:tcBorders>
            <w:shd w:val="clear" w:color="auto" w:fill="auto"/>
            <w:vAlign w:val="center"/>
          </w:tcPr>
          <w:p w14:paraId="10E85735">
            <w:pPr>
              <w:keepNext w:val="0"/>
              <w:keepLines w:val="0"/>
              <w:pageBreakBefore w:val="0"/>
              <w:kinsoku/>
              <w:wordWrap/>
              <w:overflowPunct/>
              <w:topLinePunct w:val="0"/>
              <w:autoSpaceDE/>
              <w:autoSpaceDN/>
              <w:bidi w:val="0"/>
              <w:adjustRightInd/>
              <w:snapToGrid w:val="0"/>
              <w:spacing w:line="240" w:lineRule="auto"/>
              <w:jc w:val="center"/>
              <w:rPr>
                <w:rFonts w:hint="eastAsia" w:ascii="微软雅黑" w:hAnsi="微软雅黑" w:eastAsia="微软雅黑" w:cs="微软雅黑"/>
                <w:i w:val="0"/>
                <w:iCs w:val="0"/>
                <w:color w:val="auto"/>
                <w:sz w:val="20"/>
                <w:szCs w:val="20"/>
                <w:highlight w:val="none"/>
                <w:u w:val="none"/>
              </w:rPr>
            </w:pPr>
          </w:p>
        </w:tc>
      </w:tr>
      <w:tr w14:paraId="09661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91F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9</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E6D6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话筒地插盒</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2916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弹起式/2个卡侬口</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4B88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3107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个</w:t>
            </w:r>
          </w:p>
        </w:tc>
        <w:tc>
          <w:tcPr>
            <w:tcW w:w="1158" w:type="dxa"/>
            <w:vMerge w:val="continue"/>
            <w:tcBorders>
              <w:left w:val="single" w:color="000000" w:sz="4" w:space="0"/>
              <w:right w:val="single" w:color="000000" w:sz="4" w:space="0"/>
            </w:tcBorders>
            <w:shd w:val="clear" w:color="auto" w:fill="auto"/>
            <w:vAlign w:val="center"/>
          </w:tcPr>
          <w:p w14:paraId="0B7F9878">
            <w:pPr>
              <w:keepNext w:val="0"/>
              <w:keepLines w:val="0"/>
              <w:pageBreakBefore w:val="0"/>
              <w:kinsoku/>
              <w:wordWrap/>
              <w:overflowPunct/>
              <w:topLinePunct w:val="0"/>
              <w:autoSpaceDE/>
              <w:autoSpaceDN/>
              <w:bidi w:val="0"/>
              <w:adjustRightInd/>
              <w:snapToGrid w:val="0"/>
              <w:spacing w:line="240" w:lineRule="auto"/>
              <w:jc w:val="center"/>
              <w:rPr>
                <w:rFonts w:hint="eastAsia" w:ascii="微软雅黑" w:hAnsi="微软雅黑" w:eastAsia="微软雅黑" w:cs="微软雅黑"/>
                <w:i w:val="0"/>
                <w:iCs w:val="0"/>
                <w:color w:val="auto"/>
                <w:sz w:val="20"/>
                <w:szCs w:val="20"/>
                <w:highlight w:val="none"/>
                <w:u w:val="none"/>
              </w:rPr>
            </w:pPr>
          </w:p>
        </w:tc>
      </w:tr>
      <w:tr w14:paraId="28DF4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97C3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8D4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音箱地插</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6B6D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120型银边(六位),128模块 尺寸120x120mm：音箱插口(弹起式/欧姆头)*2</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89A3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6965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套</w:t>
            </w:r>
          </w:p>
        </w:tc>
        <w:tc>
          <w:tcPr>
            <w:tcW w:w="1158" w:type="dxa"/>
            <w:vMerge w:val="continue"/>
            <w:tcBorders>
              <w:left w:val="single" w:color="000000" w:sz="4" w:space="0"/>
              <w:right w:val="single" w:color="000000" w:sz="4" w:space="0"/>
            </w:tcBorders>
            <w:shd w:val="clear" w:color="auto" w:fill="auto"/>
            <w:vAlign w:val="center"/>
          </w:tcPr>
          <w:p w14:paraId="5D37C64E">
            <w:pPr>
              <w:keepNext w:val="0"/>
              <w:keepLines w:val="0"/>
              <w:pageBreakBefore w:val="0"/>
              <w:kinsoku/>
              <w:wordWrap/>
              <w:overflowPunct/>
              <w:topLinePunct w:val="0"/>
              <w:autoSpaceDE/>
              <w:autoSpaceDN/>
              <w:bidi w:val="0"/>
              <w:adjustRightInd/>
              <w:snapToGrid w:val="0"/>
              <w:spacing w:line="240" w:lineRule="auto"/>
              <w:jc w:val="center"/>
              <w:rPr>
                <w:rFonts w:hint="eastAsia" w:ascii="微软雅黑" w:hAnsi="微软雅黑" w:eastAsia="微软雅黑" w:cs="微软雅黑"/>
                <w:i w:val="0"/>
                <w:iCs w:val="0"/>
                <w:color w:val="auto"/>
                <w:sz w:val="20"/>
                <w:szCs w:val="20"/>
                <w:highlight w:val="none"/>
                <w:u w:val="none"/>
              </w:rPr>
            </w:pPr>
          </w:p>
        </w:tc>
      </w:tr>
      <w:tr w14:paraId="376DD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8415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F56A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钢丝绳</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BBE0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1.Φ10mm*1米（7*19）</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2.参考重量：100米/Kg=40</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3.最小破断拉力：52.12KN</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4.最大承重：5300Kg</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D12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16</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FD1A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米</w:t>
            </w:r>
          </w:p>
        </w:tc>
        <w:tc>
          <w:tcPr>
            <w:tcW w:w="1158" w:type="dxa"/>
            <w:vMerge w:val="continue"/>
            <w:tcBorders>
              <w:left w:val="single" w:color="000000" w:sz="4" w:space="0"/>
              <w:right w:val="single" w:color="000000" w:sz="4" w:space="0"/>
            </w:tcBorders>
            <w:shd w:val="clear" w:color="auto" w:fill="auto"/>
            <w:vAlign w:val="center"/>
          </w:tcPr>
          <w:p w14:paraId="0E5CAFF7">
            <w:pPr>
              <w:keepNext w:val="0"/>
              <w:keepLines w:val="0"/>
              <w:pageBreakBefore w:val="0"/>
              <w:kinsoku/>
              <w:wordWrap/>
              <w:overflowPunct/>
              <w:topLinePunct w:val="0"/>
              <w:autoSpaceDE/>
              <w:autoSpaceDN/>
              <w:bidi w:val="0"/>
              <w:adjustRightInd/>
              <w:snapToGrid w:val="0"/>
              <w:spacing w:line="240" w:lineRule="auto"/>
              <w:jc w:val="center"/>
              <w:rPr>
                <w:rFonts w:hint="eastAsia" w:ascii="微软雅黑" w:hAnsi="微软雅黑" w:eastAsia="微软雅黑" w:cs="微软雅黑"/>
                <w:i w:val="0"/>
                <w:iCs w:val="0"/>
                <w:color w:val="auto"/>
                <w:sz w:val="20"/>
                <w:szCs w:val="20"/>
                <w:highlight w:val="none"/>
                <w:u w:val="none"/>
              </w:rPr>
            </w:pPr>
          </w:p>
        </w:tc>
      </w:tr>
      <w:tr w14:paraId="2B43A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5368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12</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1076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钢丝绳锁扣</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5693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1.材质：304不锈钢</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2.防水防潮</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C168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3756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粒</w:t>
            </w:r>
          </w:p>
        </w:tc>
        <w:tc>
          <w:tcPr>
            <w:tcW w:w="1158" w:type="dxa"/>
            <w:vMerge w:val="continue"/>
            <w:tcBorders>
              <w:left w:val="single" w:color="000000" w:sz="4" w:space="0"/>
              <w:right w:val="single" w:color="000000" w:sz="4" w:space="0"/>
            </w:tcBorders>
            <w:shd w:val="clear" w:color="auto" w:fill="auto"/>
            <w:vAlign w:val="center"/>
          </w:tcPr>
          <w:p w14:paraId="5A7AB742">
            <w:pPr>
              <w:keepNext w:val="0"/>
              <w:keepLines w:val="0"/>
              <w:pageBreakBefore w:val="0"/>
              <w:kinsoku/>
              <w:wordWrap/>
              <w:overflowPunct/>
              <w:topLinePunct w:val="0"/>
              <w:autoSpaceDE/>
              <w:autoSpaceDN/>
              <w:bidi w:val="0"/>
              <w:adjustRightInd/>
              <w:snapToGrid w:val="0"/>
              <w:spacing w:line="240" w:lineRule="auto"/>
              <w:jc w:val="center"/>
              <w:rPr>
                <w:rFonts w:hint="eastAsia" w:ascii="微软雅黑" w:hAnsi="微软雅黑" w:eastAsia="微软雅黑" w:cs="微软雅黑"/>
                <w:i w:val="0"/>
                <w:iCs w:val="0"/>
                <w:color w:val="auto"/>
                <w:sz w:val="20"/>
                <w:szCs w:val="20"/>
                <w:highlight w:val="none"/>
                <w:u w:val="none"/>
              </w:rPr>
            </w:pPr>
          </w:p>
        </w:tc>
      </w:tr>
      <w:tr w14:paraId="37B71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8E99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13</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5DF5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配套辅材</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BC10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现场定制</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AFB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596D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项</w:t>
            </w:r>
          </w:p>
        </w:tc>
        <w:tc>
          <w:tcPr>
            <w:tcW w:w="1158" w:type="dxa"/>
            <w:vMerge w:val="continue"/>
            <w:tcBorders>
              <w:left w:val="single" w:color="000000" w:sz="4" w:space="0"/>
              <w:bottom w:val="single" w:color="000000" w:sz="4" w:space="0"/>
              <w:right w:val="single" w:color="000000" w:sz="4" w:space="0"/>
            </w:tcBorders>
            <w:shd w:val="clear" w:color="auto" w:fill="auto"/>
            <w:vAlign w:val="center"/>
          </w:tcPr>
          <w:p w14:paraId="0284B02C">
            <w:pPr>
              <w:keepNext w:val="0"/>
              <w:keepLines w:val="0"/>
              <w:pageBreakBefore w:val="0"/>
              <w:kinsoku/>
              <w:wordWrap/>
              <w:overflowPunct/>
              <w:topLinePunct w:val="0"/>
              <w:autoSpaceDE/>
              <w:autoSpaceDN/>
              <w:bidi w:val="0"/>
              <w:adjustRightInd/>
              <w:snapToGrid w:val="0"/>
              <w:spacing w:line="240" w:lineRule="auto"/>
              <w:jc w:val="center"/>
              <w:rPr>
                <w:rFonts w:hint="eastAsia" w:ascii="微软雅黑" w:hAnsi="微软雅黑" w:eastAsia="微软雅黑" w:cs="微软雅黑"/>
                <w:i w:val="0"/>
                <w:iCs w:val="0"/>
                <w:color w:val="auto"/>
                <w:sz w:val="20"/>
                <w:szCs w:val="20"/>
                <w:highlight w:val="none"/>
                <w:u w:val="none"/>
              </w:rPr>
            </w:pPr>
          </w:p>
        </w:tc>
      </w:tr>
      <w:tr w14:paraId="5923D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62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916D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1.5.礼堂椅</w:t>
            </w:r>
          </w:p>
        </w:tc>
      </w:tr>
      <w:tr w14:paraId="1AE33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70A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61B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礼堂椅</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top"/>
          </w:tcPr>
          <w:p w14:paraId="239C474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规格：中心距580mm，背高1010mm，座高450mm，为保证走道顺畅，总深度不大于840mm。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背外板：基材采用桦木皮热压成型，表层为榉木皮,经过打磨,批灰处理之后,使用环保PE透明底油打底,采用全自动数控UV线喷涂底油，喷涂烘干后再次打磨,反复三次以上，最后表面喷二层环保面油,最后再喷一次收光固化清漆，全部用全自动UV线喷涂，环保,不褪色，抗变型 ,外板规格：尺寸为760 mm*500mm*15mm，背外板弧度R1500mm。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背海绵：外形根据人机工程学人体曲线设计，采用高密度聚氨脂定型海棉，确保座背的舒适柔软，外覆优质麻绒面料，表观密度为40±5Kg/m³，背海棉尺寸规格：背海棉尺寸为730mm*480mm*135mm。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扶手盖：原木实木扶手盖，经数控锣机锣型，表面采用五底三面工艺，喷环保聚氨酯油漆，尺寸为410mm*80mm*25mm，美观典雅，造型优美。</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座海绵：外形根据人体工程学人体曲线设计，采用高密度聚氨脂定型海棉，确保座背的舒适柔软，外覆优质麻绒面料，使坐感更加舒适，表观密度为55±5Kg /m³，座海棉尺寸规格：海棉尺寸为490mm*460mm*150mm。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座外板：基材优质桦木皮热压成型，表层为榉木皮,经过打磨,批灰处理之后,使用环保PE透明底油打底,采用全自动数控UV线喷涂底油，喷涂烘干后再次打磨,反复三次以上，最后表面喷二层环保面油,最后再喷一次收光固化清漆，全部用全自动UV线喷涂，环保,不褪色，抗变型，座板规格：尺寸为460 mm*430mm*15mm，座板上的吸音孔数量达到120个以上，具有大空间完美吸音功能，使座椅的吸声量在不同的上座率尽可能保持一致。</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回复装置：座椅的回复采用弹簧加阻尼自动回位系统，全部置入钢制座框内，钢制座框采用1.5mm厚度冷轧钢板激光切割成型，数控焊接，尺寸为420mm*420mm*55mm，定位精确，座垫回位速度级可调（2-6秒），噪音低至A声级（≤25dB）,故障率低，使用寿命≥20万次。回复速度可根据现场需要进行调节，并能随使用年限对回位机构进行维护，方法简单、可靠，可大幅提升座椅的使用寿命。</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扶手站脚：扶手框部件采用数控激光切割成型，外观尺寸为400mm*350mm*80mm*2.0mm，立管为矩形管40mm*80mm*2.0mm，底脚板采用2.0mm冷轧钢板液压成型，长度320mm，前后螺丝孔距225mm，扶手框架两侧采用优质纤维板覆薄棉包布装饰，美观而坚实可靠，所有五金件表面经除锈、酸洗、磷化、静电喷涂处理，美观而坚实可靠。</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写字板机构：隐藏式写字板, 支架机构采用直径14mm实心圆钢车床铣出，两种角度可调，方便阅读绘画等需求，托盘及U型机构激光切割而成，写字板托盘120mm*70mm*3.0mm,焊接采用数控机器手自动焊接而成，承重不低于60KG。</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写字板面：写字板基材采用高密度板数控锣型，经模具一体式注塑封边，规格：270mm*240mm*15mm。</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D3DC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600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3726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位</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FB71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6BFD7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62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F250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1.6.舞台灯光</w:t>
            </w:r>
          </w:p>
        </w:tc>
      </w:tr>
      <w:tr w14:paraId="58E6F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nil"/>
              <w:left w:val="single" w:color="000000" w:sz="4" w:space="0"/>
              <w:bottom w:val="single" w:color="000000" w:sz="4" w:space="0"/>
              <w:right w:val="single" w:color="000000" w:sz="4" w:space="0"/>
            </w:tcBorders>
            <w:shd w:val="clear" w:color="auto" w:fill="auto"/>
            <w:noWrap/>
            <w:vAlign w:val="center"/>
          </w:tcPr>
          <w:p w14:paraId="01C5C1C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1249" w:type="dxa"/>
            <w:tcBorders>
              <w:top w:val="nil"/>
              <w:left w:val="single" w:color="000000" w:sz="4" w:space="0"/>
              <w:bottom w:val="single" w:color="000000" w:sz="4" w:space="0"/>
              <w:right w:val="single" w:color="000000" w:sz="4" w:space="0"/>
            </w:tcBorders>
            <w:shd w:val="clear" w:color="auto" w:fill="auto"/>
            <w:vAlign w:val="center"/>
          </w:tcPr>
          <w:p w14:paraId="3397AA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影视灯</w:t>
            </w:r>
          </w:p>
        </w:tc>
        <w:tc>
          <w:tcPr>
            <w:tcW w:w="9800" w:type="dxa"/>
            <w:tcBorders>
              <w:top w:val="nil"/>
              <w:left w:val="single" w:color="000000" w:sz="4" w:space="0"/>
              <w:bottom w:val="single" w:color="000000" w:sz="4" w:space="0"/>
              <w:right w:val="single" w:color="000000" w:sz="4" w:space="0"/>
            </w:tcBorders>
            <w:shd w:val="clear" w:color="auto" w:fill="auto"/>
            <w:vAlign w:val="top"/>
          </w:tcPr>
          <w:p w14:paraId="0FDB9ED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1.采用≥200W 白光LED COB光源。</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2.具备光束角度≤19°。</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3.采用≥φ100mm口径出光镜头。</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4.具备Ra≥90，R9≥60，R15≥91。</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5.支持0-25次/秒电子频闪，速度可调节，内置随机频闪或脉冲频闪。</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6.支持0-100%电子线性调光。</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7.具备图形切割盘，具备≥4片独立手动切割片。</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8.采用≥1.8英寸蓝屏LCD显示屏，配置≥4个机械按键。</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9.支持DMX512协议，RDM协议，内置主从模式、手动控制模式。</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10.通道模式：标准模式≥2CH。</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11.配置≥1个电源输入接口，≥1个电源输出接口，≥1个DMX512输入接口，≥1个DMX512输出接口。</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12.支持DMX信号更新、云端服务器远程在线更新。</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13.内置NTC温度控测功能，当LED工作过热时，智能降低LED的输出功率。</w:t>
            </w:r>
          </w:p>
        </w:tc>
        <w:tc>
          <w:tcPr>
            <w:tcW w:w="950" w:type="dxa"/>
            <w:tcBorders>
              <w:top w:val="nil"/>
              <w:left w:val="single" w:color="000000" w:sz="4" w:space="0"/>
              <w:bottom w:val="single" w:color="000000" w:sz="4" w:space="0"/>
              <w:right w:val="single" w:color="000000" w:sz="4" w:space="0"/>
            </w:tcBorders>
            <w:shd w:val="clear" w:color="auto" w:fill="auto"/>
            <w:vAlign w:val="center"/>
          </w:tcPr>
          <w:p w14:paraId="4597276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19</w:t>
            </w:r>
          </w:p>
        </w:tc>
        <w:tc>
          <w:tcPr>
            <w:tcW w:w="875" w:type="dxa"/>
            <w:tcBorders>
              <w:top w:val="nil"/>
              <w:left w:val="single" w:color="000000" w:sz="4" w:space="0"/>
              <w:bottom w:val="single" w:color="000000" w:sz="4" w:space="0"/>
              <w:right w:val="single" w:color="000000" w:sz="4" w:space="0"/>
            </w:tcBorders>
            <w:shd w:val="clear" w:color="auto" w:fill="auto"/>
            <w:vAlign w:val="center"/>
          </w:tcPr>
          <w:p w14:paraId="73476F0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nil"/>
              <w:left w:val="single" w:color="000000" w:sz="4" w:space="0"/>
              <w:bottom w:val="single" w:color="000000" w:sz="4" w:space="0"/>
              <w:right w:val="single" w:color="000000" w:sz="4" w:space="0"/>
            </w:tcBorders>
            <w:shd w:val="clear" w:color="auto" w:fill="auto"/>
            <w:noWrap/>
            <w:vAlign w:val="center"/>
          </w:tcPr>
          <w:p w14:paraId="3786F60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6A1A2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676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7576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固定染色灯</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top"/>
          </w:tcPr>
          <w:p w14:paraId="22860EB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1.采用≥61×3W LED光源，光源平均寿命≥50000H。</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2.具备光束角度≥12°，光斑角度≥25°。</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3.支持0-25次/秒电子频闪，速度可调节，内置随机频闪或脉冲频闪；支持0-100%电子线性调光。</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4.具备RGBW(红绿蓝白)线性混色系统，内置宏功能，支持3200K-7200K色温线性调节。</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5.支持DMX信号更新、云端服务器远程在线更新。</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6.采用数码管显示，配置≥4个机械按键。</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7.内置NTC温度控测功能，当LED工作过热时，智能降低LED的输出功率。</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8.支持DMX512协议，RDM协议，内置主从模式、自走模式、声控模式、手动控制模式。</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9.具备≥3种通道模式，由精简模式≥4CH，标准模式≥6CH，拓展模式≥8CH组成。</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10.配置≥1个电源输入接口，≥1个电源输出接口，≥1个DMX512输入接口，≥1个DMX512输出接口。</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8F98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F23A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B068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3251B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48FE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9C18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影视灯</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top"/>
          </w:tcPr>
          <w:p w14:paraId="281DC12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1.采用≥630*0.5W LED光源，光源平均寿命≥50000H。</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2.具备光斑角度≥100°。</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3.支持0-25次/秒电子频闪，速度可调节，内置随机频闪或脉冲频闪；支持0-100%电子线性调光。</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4.支持DMX信号更新、云端服务器远程在线更新。</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5.采用≥1.8英寸蓝屏LCD显示屏，配置≥4个机械按键。</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6.内置NTC温度控测功能，当LED工作过热时，智能降低LED的输出功率。</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7.支持DMX512协议，RDM协议，内置主从模式、自走模式、手动控制模式。</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8.具备≥3种通道模式，由精简模式≥2CH，标准模式≥6CH，拓展模式≥7CH组成。</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9.配置≥1个电源输入接口，≥1个电源输出接口，≥1个DMX512输入接口，≥1个DMX512输出接口。</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10.具备Ra≥95。</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11.支持3000K-6500K色温线性调节。</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E8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9</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584F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8683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312C4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C454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9707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固定染色灯</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top"/>
          </w:tcPr>
          <w:p w14:paraId="2C700BC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1.采用≥61×3W LED光源，光源平均寿命≥50000H。</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2.具备光束角度≥12°，光斑角度≥25°。</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3.支持0-25次/秒电子频闪，速度可调节，内置随机频闪或脉冲频闪；支持0-100%电子线性调光。</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4.具备RGBW(红绿蓝白)线性混色系统，内置宏功能，支持3200K-7200K色温线性调节。</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5.支持DMX信号更新、云端服务器远程在线更新。</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6.采用数码管显示，配置≥4个机械按键。</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7.内置NTC温度控测功能，当LED工作过热时，智能降低LED的输出功率。</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8.支持DMX512协议，RDM协议，内置主从模式、自走模式、声控模式、手动控制模式。</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9.具备≥3种通道模式，由精简模式≥4CH，标准模式≥6CH，拓展模式≥8CH组成。</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10.配置≥1个电源输入接口，≥1个电源输出接口，≥1个DMX512输入接口，≥1个DMX512输出接口。</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0597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0394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0A4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473C7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D0C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AA12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影视灯</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top"/>
          </w:tcPr>
          <w:p w14:paraId="6F7B17C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1.采用≥630*0.5W LED光源，光源平均寿命≥50000H。</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2.具备光斑角度≥100°。</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3.支持0-25次/秒电子频闪，速度可调节，内置随机频闪或脉冲频闪；支持0-100%电子线性调光。</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4.支持DMX信号更新、云端服务器远程在线更新。</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5.采用≥1.8英寸蓝屏LCD显示屏，配置≥4个机械按键。</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6.内置NTC温度控测功能，当LED工作过热时，智能降低LED的输出功率。</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7.支持DMX512协议，RDM协议，内置主从模式、自走模式、手动控制模式。</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8.具备≥3种通道模式，由精简模式≥2CH，标准模式≥6CH，拓展模式≥7CH组成。</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9.配置≥1个电源输入接口，≥1个电源输出接口，≥1个DMX512输入接口，≥1个DMX512输出接口。</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10.具备Ra≥95。</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11.支持3000K-6500K色温线性调节。</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3F9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9</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8C53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2472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363C6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7BF3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6</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C4D4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固定染色灯</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top"/>
          </w:tcPr>
          <w:p w14:paraId="7560B90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1.采用≥61×3W LED光源，光源平均寿命≥50000H。</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2.具备光束角度≥12°，光斑角度≥25°。</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3.支持0-25次/秒电子频闪，速度可调节，内置随机频闪或脉冲频闪；支持0-100%电子线性调光。</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4.具备RGBW(红绿蓝白)线性混色系统，内置宏功能，支持3200K-7200K色温线性调节。</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5.支持DMX信号更新、云端服务器远程在线更新。</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6.采用数码管显示，配置≥4个机械按键。</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7.内置NTC温度控测功能，当LED工作过热时，智能降低LED的输出功率。</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8.支持DMX512协议，RDM协议，内置主从模式、自走模式、声控模式、手动控制模式。</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9.具备≥3种通道模式，由精简模式≥4CH，标准模式≥6CH，拓展模式≥8CH组成。</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10.配置≥1个电源输入接口，≥1个电源输出接口，≥1个DMX512输入接口，≥1个DMX512输出接口。</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95C0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9FC2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747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7A6E2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551B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7</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C44D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摇头灯</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top"/>
          </w:tcPr>
          <w:p w14:paraId="6B46364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1.采用≥230W灯泡,光源平均寿命≥1500H。</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2.配置≥φ145mm口径出光镜头，光束角度≤2.5°。</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3.支持0-15次/秒单片式频闪，速度可调节，内置随机频闪或脉冲频闪；支持0-100%线性调光，具备≥4种调光曲线（平方曲线、反曲线、直线和S曲线）。</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4.配置≥1个颜色盘，由≥14个颜色+≥1个白光组成，双向彩虹效果，速度可调，任意定位功能。</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5.配置≥1个固定图案盘，由≥16个固定图案+≥1个白光组成，单向流水，速度可调，任意定位功能。</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6.配置≥2个棱镜，由≥1个八棱镜+≥1个二十四棱镜组成，可正反旋转，速度可调，任意定位，棱镜叠加功能。</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7.配置≥1个独立的雾化片，实现柔光雾化效果。</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8.支持DMX信号更新、云端服务器远程在线更新。</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9.采用≥2.4英寸LCD液晶显示界面，配置≥5个机械按键。</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10.配备≥20个独立可编辑场景，单机编程录制出多变的场景灯光效果。</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11.支持弹窗式预警功能，在设备运行出现故障或其他问题时自动弹出一个警告窗口。</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12.支持≥6种屏保模式，当显示屏在一段时间内没有活动时，将自动进入屏保模式。</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13.支持RDM协议，单机编程控制模式；具备≥2种通道模式，由精简模式≥12CH，标准模式≥14CH组成。</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14.配置≥1个电源输入接口，≥1个电源输出接口，≥1个DMX512输入接口，≥1个DMX512输出接口。</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C56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38F3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2170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513C6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29F6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010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固定染色灯</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top"/>
          </w:tcPr>
          <w:p w14:paraId="4791401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1.采用≥61×3W LED光源，光源平均寿命≥50000H。</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2.具备光束角度≥12°，光斑角度≥25°。</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3.支持0-25次/秒电子频闪，速度可调节，内置随机频闪或脉冲频闪；支持0-100%电子线性调光。</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4.具备RGBW(红绿蓝白)线性混色系统，内置宏功能，支持3200K-7200K色温线性调节。</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5.支持DMX信号更新、云端服务器远程在线更新。</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6.采用数码管显示，配置≥4个机械按键。</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7.内置NTC温度控测功能，当LED工作过热时，智能降低LED的输出功率。</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8.支持DMX512协议，RDM协议，内置主从模式、自走模式、声控模式、手动控制模式。</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9.具备≥3种通道模式，由精简模式≥4CH，标准模式≥6CH，拓展模式≥8CH组成。</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10.配置≥1个电源输入接口，≥1个电源输出接口，≥1个DMX512输入接口，≥1个DMX512输出接口。</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743F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D39C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5F39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3C5A9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F798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9</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CA98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摇头灯</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top"/>
          </w:tcPr>
          <w:p w14:paraId="081227E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top"/>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1.采用≥230W灯泡,光源平均寿命≥1500H。</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2.配置≥φ145mm口径出光镜头，光束角度≤2.5°。</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3.支持0-15次/秒单片式频闪，速度可调节，内置随机频闪或脉冲频闪；支持0-100%线性调光，具备≥4种调光曲线（平方曲线、反曲线、直线和S曲线）。</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4.配置≥1个颜色盘，由≥14个颜色+≥1个白光组成，双向彩虹效果，速度可调，任意定位功能。</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5.配置≥1个固定图案盘，由≥16个固定图案+≥1个白光组成，单向流水，速度可调，任意定位功能。</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6.配置≥2个棱镜，由≥1个八棱镜+≥1个二十四棱镜组成，可正反旋转，速度可调，任意定位，棱镜叠加功能。</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7.配置≥1个独立的雾化片，实现柔光雾化效果。</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8.支持DMX信号更新、云端服务器远程在线更新。</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9.采用≥2.4英寸LCD液晶显示界面，配置≥5个机械按键。</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10.配备≥20个独立可编辑场景，单机编程录制出多变的场景灯光效果。</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11.支持弹窗式预警功能，在设备运行出现故障或其他问题时自动弹出一个警告窗口。</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12.支持≥6种屏保模式，当显示屏在一段时间内没有活动时，将自动进入屏保模式。</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13.支持RDM协议，单机编程控制模式；具备≥2种通道模式，由精简模式≥12CH，标准模式≥14CH组成。</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14.配置≥1个电源输入接口，≥1个电源输出接口，≥1个DMX512输入接口，≥1个DMX512输出接口。</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38C9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DB8C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940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72018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18AD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A02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控台</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A65D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1.物理固定输出≥1024个DMX512控制通道，可使用ART-NET拓展到≥4个输出口，共≥2048个DMX512通道。</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2.支持≥96台电脑灯的配接数量。</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3.支持电脑灯重新配接地址码，支持灯具水平垂直交换，支持灯具通道反相输出。</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4.支持灯具通道滑步模式切换，支持≥40主通道+≥40微调通道控制，支持R20灯库。</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5.具备≥60个可保存的场景，具备≥10个可同时运行的场景，具备≥600步场景的总步数。</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6.具备淡入、淡出、LTP滑步场景时间控制。</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7.支持推杆启动场景并进行调光，支持互锁场景，支持点控场景。</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8.具备图形生成器，每个场景可存储≥5个图形。</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9.具备≥10个可同时运行图形数量。</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10.具备全局、重演、灯具主控推杆。</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11.支持立即黑场。</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12.支持转盘调整通道数值，支持推杆调整通道数值，支持推杆调光。</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13.支持FAT32格式U盘读取。</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14.支持Art-net协议与RDM协议。</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B7F8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638C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DD5A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36F75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FB29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A9B0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直通箱</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EAAF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1.具备过载与短路双重保护高分断空气开关。</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2.具备≥12路×4KW功率输出。</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3.支持A.B.C三相工作指示灯。</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4.支持两脚和三脚万能用插座。</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5F1C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8D68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C4B8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4B457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9C5B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12</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15B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信号放大器</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6473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1.支持DMX512公母接口输入。</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2.支持输入输出光电隔离。</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3.支持≥8路独立放大驱动输出。</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4.具备信号放大整形功能，延长信号传输距离。</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5.具备增强数据总线接入设备数量的能力。</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6.具备独立的LED信号指示。</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C63E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D91A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6B87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311D4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47A6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13</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848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大灯勾</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B31E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1.规格：厚度≥28mm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2.承重：≥50kg</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3.卡管：40mm-58mm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4.配套：外六角螺栓M10*30（GB5783，≥4.8级）</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5.材质：拉伸铝</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AF7F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40</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FD3D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个</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75E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25F23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092C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14</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0F48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多功能灯勾</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D694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1.规格：厚度≥30mm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2.承重：≥150kg</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3.卡管：44mm-52mm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4.配套：外六角螺栓M10*40（GB5783，≥4.8级）</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5.材质：拉伸铝</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DFC1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69</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A879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个</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CCCB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6C835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0D95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15</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3255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安全绳</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9078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1.规格：直径≥4.0mm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2.长度：总长≥845mm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3.材质：铁+包胶</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4.承重：≥100kg</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备注：配1个5号扣，铝套</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EB18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93</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505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条</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CA6A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38A45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091F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16</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7833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灯杆</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9A0A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定制</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039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1B0E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批</w:t>
            </w:r>
          </w:p>
        </w:tc>
        <w:tc>
          <w:tcPr>
            <w:tcW w:w="1158" w:type="dxa"/>
            <w:vMerge w:val="restart"/>
            <w:tcBorders>
              <w:top w:val="single" w:color="000000" w:sz="4" w:space="0"/>
              <w:left w:val="single" w:color="000000" w:sz="4" w:space="0"/>
              <w:right w:val="single" w:color="000000" w:sz="4" w:space="0"/>
            </w:tcBorders>
            <w:shd w:val="clear" w:color="auto" w:fill="auto"/>
            <w:noWrap/>
            <w:vAlign w:val="center"/>
          </w:tcPr>
          <w:p w14:paraId="330EA8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7EC37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6C8F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17</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2BAB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电源线</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D22D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RVV电线电缆 国标纯铜环保 RVV3*2.5 200米</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5D2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C64C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批</w:t>
            </w:r>
          </w:p>
        </w:tc>
        <w:tc>
          <w:tcPr>
            <w:tcW w:w="1158" w:type="dxa"/>
            <w:vMerge w:val="continue"/>
            <w:tcBorders>
              <w:left w:val="single" w:color="000000" w:sz="4" w:space="0"/>
              <w:right w:val="single" w:color="000000" w:sz="4" w:space="0"/>
            </w:tcBorders>
            <w:shd w:val="clear" w:color="auto" w:fill="auto"/>
            <w:noWrap/>
            <w:vAlign w:val="center"/>
          </w:tcPr>
          <w:p w14:paraId="56F5858E">
            <w:pPr>
              <w:keepNext w:val="0"/>
              <w:keepLines w:val="0"/>
              <w:pageBreakBefore w:val="0"/>
              <w:kinsoku/>
              <w:wordWrap/>
              <w:overflowPunct/>
              <w:topLinePunct w:val="0"/>
              <w:autoSpaceDE/>
              <w:autoSpaceDN/>
              <w:bidi w:val="0"/>
              <w:adjustRightInd/>
              <w:snapToGrid w:val="0"/>
              <w:spacing w:line="240" w:lineRule="auto"/>
              <w:jc w:val="center"/>
              <w:rPr>
                <w:rFonts w:hint="eastAsia" w:ascii="微软雅黑" w:hAnsi="微软雅黑" w:eastAsia="微软雅黑" w:cs="微软雅黑"/>
                <w:i w:val="0"/>
                <w:iCs w:val="0"/>
                <w:color w:val="auto"/>
                <w:sz w:val="20"/>
                <w:szCs w:val="20"/>
                <w:highlight w:val="none"/>
                <w:u w:val="none"/>
              </w:rPr>
            </w:pPr>
          </w:p>
        </w:tc>
      </w:tr>
      <w:tr w14:paraId="0E192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F4A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18</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5846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信号线</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5AAB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电源线RVVP电线电缆 音频音箱音响线国标纯无氧铜环保信号传输 带屏蔽RVVP2*0.5平方 200米</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69E3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5ED9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批</w:t>
            </w:r>
          </w:p>
        </w:tc>
        <w:tc>
          <w:tcPr>
            <w:tcW w:w="1158" w:type="dxa"/>
            <w:vMerge w:val="continue"/>
            <w:tcBorders>
              <w:left w:val="single" w:color="000000" w:sz="4" w:space="0"/>
              <w:right w:val="single" w:color="000000" w:sz="4" w:space="0"/>
            </w:tcBorders>
            <w:shd w:val="clear" w:color="auto" w:fill="auto"/>
            <w:noWrap/>
            <w:vAlign w:val="center"/>
          </w:tcPr>
          <w:p w14:paraId="416095D1">
            <w:pPr>
              <w:keepNext w:val="0"/>
              <w:keepLines w:val="0"/>
              <w:pageBreakBefore w:val="0"/>
              <w:kinsoku/>
              <w:wordWrap/>
              <w:overflowPunct/>
              <w:topLinePunct w:val="0"/>
              <w:autoSpaceDE/>
              <w:autoSpaceDN/>
              <w:bidi w:val="0"/>
              <w:adjustRightInd/>
              <w:snapToGrid w:val="0"/>
              <w:spacing w:line="240" w:lineRule="auto"/>
              <w:jc w:val="center"/>
              <w:rPr>
                <w:rFonts w:hint="eastAsia" w:ascii="微软雅黑" w:hAnsi="微软雅黑" w:eastAsia="微软雅黑" w:cs="微软雅黑"/>
                <w:i w:val="0"/>
                <w:iCs w:val="0"/>
                <w:color w:val="auto"/>
                <w:sz w:val="20"/>
                <w:szCs w:val="20"/>
                <w:highlight w:val="none"/>
                <w:u w:val="none"/>
              </w:rPr>
            </w:pPr>
          </w:p>
        </w:tc>
      </w:tr>
      <w:tr w14:paraId="18059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nil"/>
              <w:right w:val="single" w:color="000000" w:sz="4" w:space="0"/>
            </w:tcBorders>
            <w:shd w:val="clear" w:color="auto" w:fill="auto"/>
            <w:noWrap/>
            <w:vAlign w:val="center"/>
          </w:tcPr>
          <w:p w14:paraId="7B439E2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19</w:t>
            </w:r>
          </w:p>
        </w:tc>
        <w:tc>
          <w:tcPr>
            <w:tcW w:w="1249" w:type="dxa"/>
            <w:tcBorders>
              <w:top w:val="single" w:color="000000" w:sz="4" w:space="0"/>
              <w:left w:val="single" w:color="000000" w:sz="4" w:space="0"/>
              <w:bottom w:val="nil"/>
              <w:right w:val="single" w:color="000000" w:sz="4" w:space="0"/>
            </w:tcBorders>
            <w:shd w:val="clear" w:color="auto" w:fill="auto"/>
            <w:vAlign w:val="center"/>
          </w:tcPr>
          <w:p w14:paraId="5FD7068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辅材（卡农座，胶木插）</w:t>
            </w:r>
          </w:p>
        </w:tc>
        <w:tc>
          <w:tcPr>
            <w:tcW w:w="9800" w:type="dxa"/>
            <w:tcBorders>
              <w:top w:val="single" w:color="000000" w:sz="4" w:space="0"/>
              <w:left w:val="single" w:color="000000" w:sz="4" w:space="0"/>
              <w:bottom w:val="nil"/>
              <w:right w:val="single" w:color="000000" w:sz="4" w:space="0"/>
            </w:tcBorders>
            <w:shd w:val="clear" w:color="auto" w:fill="auto"/>
            <w:vAlign w:val="center"/>
          </w:tcPr>
          <w:p w14:paraId="245C584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卡农,128模块 尺寸23x36mm</w:t>
            </w:r>
          </w:p>
        </w:tc>
        <w:tc>
          <w:tcPr>
            <w:tcW w:w="950" w:type="dxa"/>
            <w:tcBorders>
              <w:top w:val="single" w:color="000000" w:sz="4" w:space="0"/>
              <w:left w:val="single" w:color="000000" w:sz="4" w:space="0"/>
              <w:bottom w:val="nil"/>
              <w:right w:val="single" w:color="000000" w:sz="4" w:space="0"/>
            </w:tcBorders>
            <w:shd w:val="clear" w:color="auto" w:fill="auto"/>
            <w:noWrap/>
            <w:vAlign w:val="center"/>
          </w:tcPr>
          <w:p w14:paraId="1134C91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nil"/>
              <w:right w:val="single" w:color="000000" w:sz="4" w:space="0"/>
            </w:tcBorders>
            <w:shd w:val="clear" w:color="auto" w:fill="auto"/>
            <w:noWrap/>
            <w:vAlign w:val="center"/>
          </w:tcPr>
          <w:p w14:paraId="699F844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批</w:t>
            </w:r>
          </w:p>
        </w:tc>
        <w:tc>
          <w:tcPr>
            <w:tcW w:w="1158" w:type="dxa"/>
            <w:vMerge w:val="continue"/>
            <w:tcBorders>
              <w:left w:val="single" w:color="000000" w:sz="4" w:space="0"/>
              <w:bottom w:val="nil"/>
              <w:right w:val="single" w:color="000000" w:sz="4" w:space="0"/>
            </w:tcBorders>
            <w:shd w:val="clear" w:color="auto" w:fill="auto"/>
            <w:noWrap/>
            <w:vAlign w:val="center"/>
          </w:tcPr>
          <w:p w14:paraId="71880F6D">
            <w:pPr>
              <w:keepNext w:val="0"/>
              <w:keepLines w:val="0"/>
              <w:pageBreakBefore w:val="0"/>
              <w:kinsoku/>
              <w:wordWrap/>
              <w:overflowPunct/>
              <w:topLinePunct w:val="0"/>
              <w:autoSpaceDE/>
              <w:autoSpaceDN/>
              <w:bidi w:val="0"/>
              <w:adjustRightInd/>
              <w:snapToGrid w:val="0"/>
              <w:spacing w:line="240" w:lineRule="auto"/>
              <w:jc w:val="center"/>
              <w:rPr>
                <w:rFonts w:hint="eastAsia" w:ascii="微软雅黑" w:hAnsi="微软雅黑" w:eastAsia="微软雅黑" w:cs="微软雅黑"/>
                <w:i w:val="0"/>
                <w:iCs w:val="0"/>
                <w:color w:val="auto"/>
                <w:sz w:val="20"/>
                <w:szCs w:val="20"/>
                <w:highlight w:val="none"/>
                <w:u w:val="none"/>
              </w:rPr>
            </w:pPr>
          </w:p>
        </w:tc>
      </w:tr>
      <w:tr w14:paraId="5C508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62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2F37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b/>
                <w:bCs/>
                <w:i w:val="0"/>
                <w:iCs w:val="0"/>
                <w:color w:val="auto"/>
                <w:sz w:val="20"/>
                <w:szCs w:val="20"/>
                <w:highlight w:val="none"/>
                <w:u w:val="none"/>
              </w:rPr>
            </w:pPr>
            <w:r>
              <w:rPr>
                <w:rFonts w:hint="eastAsia" w:ascii="微软雅黑" w:hAnsi="微软雅黑" w:eastAsia="微软雅黑" w:cs="微软雅黑"/>
                <w:b/>
                <w:bCs/>
                <w:i w:val="0"/>
                <w:iCs w:val="0"/>
                <w:color w:val="auto"/>
                <w:kern w:val="0"/>
                <w:sz w:val="20"/>
                <w:szCs w:val="20"/>
                <w:highlight w:val="none"/>
                <w:u w:val="none"/>
                <w:lang w:val="en-US" w:eastAsia="zh-CN" w:bidi="ar"/>
              </w:rPr>
              <w:t>1.7.舞台机械</w:t>
            </w:r>
          </w:p>
        </w:tc>
      </w:tr>
      <w:tr w14:paraId="4A646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CF0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7BF2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拉幕机</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3F06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1.具备≥1.0m/s对开速度X；减速比1:15</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2.具备≤50dB(A) 运行噪音</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3.具备行程限位和机械限位双重保护</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F16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AB2D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5A91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08582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C22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25A2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轨道</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A91F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1.配备拼接式三角桁架结构，吊拉间距＜5m，居中集中荷载≥150kg，每米吊拉均布荷载≥100kg/m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2.具备开合限位、安全板安全保护功能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6E1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21.5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4F50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米</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313C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2E0F9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CAF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3</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0B90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拉幕机</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97B9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1.具备≥0.5m/s对开速度；减速比1:30</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2.具备≤50dB(A) 运行噪音</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3.具备行程限位和机械限位双重保护</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A2F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416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685C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65A7D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FF08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4</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1941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轨道</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4D36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1.配备拼接式三角桁架结构，吊拉间距＜5m，居中集中荷载≥150kg，每米吊拉均布荷载≥100kg/m</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2.具备开合限位、安全板安全保护功能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BC5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21.5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C09B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米</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1BB9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75A05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67B9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03F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控制设备</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9785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1.具备电机信号线-管型冷压端子接线方式；</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2.具备≥1个AC380V电源输入，级数-3P+N+E；带黄绿红三色电源输入指示灯；≥1个AC380V电源输出，级数-3P+E；</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3.具备≥2*1.1KW功率输出；</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4.具备≥1个DC24V电机限位线接口；≥1个DC24V遥控接口；</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5.支持≥100米内无障碍控制，≥4个DC24V控制按钮，≥1个DC24V急停按钮，≥1个DC24V切换开关；</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6.具备≥1个12点输入/8点数出可编程控制器(PLC)I/O；</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7.支持≥6个可编程控制器(PLC)I/O扩展模块；</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8.具备≥10/100 Mbit/s数据传输速率；</w:t>
            </w:r>
            <w:r>
              <w:rPr>
                <w:rFonts w:hint="eastAsia" w:ascii="微软雅黑" w:hAnsi="微软雅黑" w:eastAsia="微软雅黑" w:cs="微软雅黑"/>
                <w:i w:val="0"/>
                <w:iCs w:val="0"/>
                <w:color w:val="auto"/>
                <w:kern w:val="0"/>
                <w:sz w:val="20"/>
                <w:szCs w:val="20"/>
                <w:highlight w:val="none"/>
                <w:u w:val="none"/>
                <w:lang w:val="en-US" w:eastAsia="zh-CN" w:bidi="ar"/>
              </w:rPr>
              <w:br w:type="textWrapping"/>
            </w:r>
            <w:r>
              <w:rPr>
                <w:rFonts w:hint="eastAsia" w:ascii="微软雅黑" w:hAnsi="微软雅黑" w:eastAsia="微软雅黑" w:cs="微软雅黑"/>
                <w:i w:val="0"/>
                <w:iCs w:val="0"/>
                <w:color w:val="auto"/>
                <w:kern w:val="0"/>
                <w:sz w:val="20"/>
                <w:szCs w:val="20"/>
                <w:highlight w:val="none"/>
                <w:u w:val="none"/>
                <w:lang w:val="en-US" w:eastAsia="zh-CN" w:bidi="ar"/>
              </w:rPr>
              <w:t>9.具备≥1路变频控制输出，≥1路电源回路输出。</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4D73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101E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台</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8183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37782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7A0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6</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3F8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幕布</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3F00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(长×高×折比3×块)B1级阻燃处理，金丝绒250g/㎡</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6ED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528.75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10B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平方米</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754E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5B745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6292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7</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D3A3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幕布</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0A5B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(长×高×折比3×块)B1级阻燃处理，金丝绒250g/㎡</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6989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176.25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6167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平方米</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2E8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27F45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E7C4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8</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9B51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幕布</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1EBE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(长×高×折比3×块)B1级阻燃处理，金丝绒250g/㎡</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6DE1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528.75</w:t>
            </w:r>
            <w:bookmarkStart w:id="1" w:name="_GoBack"/>
            <w:bookmarkEnd w:id="1"/>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022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平方米</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A60E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353FC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7512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9</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AC14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安装辅材</w:t>
            </w:r>
          </w:p>
        </w:tc>
        <w:tc>
          <w:tcPr>
            <w:tcW w:w="9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0AA7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固定杆体紧固件、线缆、线缆桥架等</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5C0D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D1B1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项</w:t>
            </w:r>
          </w:p>
        </w:tc>
        <w:tc>
          <w:tcPr>
            <w:tcW w:w="1158" w:type="dxa"/>
            <w:vMerge w:val="restart"/>
            <w:tcBorders>
              <w:top w:val="single" w:color="000000" w:sz="4" w:space="0"/>
              <w:left w:val="single" w:color="000000" w:sz="4" w:space="0"/>
              <w:right w:val="single" w:color="000000" w:sz="4" w:space="0"/>
            </w:tcBorders>
            <w:shd w:val="clear" w:color="auto" w:fill="auto"/>
            <w:vAlign w:val="center"/>
          </w:tcPr>
          <w:p w14:paraId="68952B4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p>
        </w:tc>
      </w:tr>
      <w:tr w14:paraId="1ADB2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CA1B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10</w:t>
            </w:r>
          </w:p>
        </w:tc>
        <w:tc>
          <w:tcPr>
            <w:tcW w:w="12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185BC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线材（就近舞台区域取电）</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1D7B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电源线：RVV4*2.5mm2，根据实际情况提供</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FFEF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C60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项</w:t>
            </w:r>
          </w:p>
        </w:tc>
        <w:tc>
          <w:tcPr>
            <w:tcW w:w="1158" w:type="dxa"/>
            <w:vMerge w:val="continue"/>
            <w:tcBorders>
              <w:left w:val="single" w:color="000000" w:sz="4" w:space="0"/>
              <w:right w:val="single" w:color="000000" w:sz="4" w:space="0"/>
            </w:tcBorders>
            <w:shd w:val="clear" w:color="auto" w:fill="auto"/>
            <w:vAlign w:val="center"/>
          </w:tcPr>
          <w:p w14:paraId="27A5C8A8">
            <w:pPr>
              <w:keepNext w:val="0"/>
              <w:keepLines w:val="0"/>
              <w:pageBreakBefore w:val="0"/>
              <w:kinsoku/>
              <w:wordWrap/>
              <w:overflowPunct/>
              <w:topLinePunct w:val="0"/>
              <w:autoSpaceDE/>
              <w:autoSpaceDN/>
              <w:bidi w:val="0"/>
              <w:adjustRightInd/>
              <w:snapToGrid w:val="0"/>
              <w:spacing w:line="240" w:lineRule="auto"/>
              <w:jc w:val="center"/>
              <w:rPr>
                <w:rFonts w:hint="eastAsia" w:ascii="微软雅黑" w:hAnsi="微软雅黑" w:eastAsia="微软雅黑" w:cs="微软雅黑"/>
                <w:i w:val="0"/>
                <w:iCs w:val="0"/>
                <w:color w:val="auto"/>
                <w:sz w:val="20"/>
                <w:szCs w:val="20"/>
                <w:highlight w:val="none"/>
                <w:u w:val="none"/>
              </w:rPr>
            </w:pPr>
          </w:p>
        </w:tc>
      </w:tr>
      <w:tr w14:paraId="34D12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9338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11</w:t>
            </w: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67620">
            <w:pPr>
              <w:keepNext w:val="0"/>
              <w:keepLines w:val="0"/>
              <w:pageBreakBefore w:val="0"/>
              <w:kinsoku/>
              <w:wordWrap/>
              <w:overflowPunct/>
              <w:topLinePunct w:val="0"/>
              <w:autoSpaceDE/>
              <w:autoSpaceDN/>
              <w:bidi w:val="0"/>
              <w:adjustRightInd/>
              <w:snapToGrid w:val="0"/>
              <w:spacing w:line="240" w:lineRule="auto"/>
              <w:jc w:val="center"/>
              <w:rPr>
                <w:rFonts w:hint="eastAsia" w:ascii="微软雅黑" w:hAnsi="微软雅黑" w:eastAsia="微软雅黑" w:cs="微软雅黑"/>
                <w:i w:val="0"/>
                <w:iCs w:val="0"/>
                <w:color w:val="auto"/>
                <w:sz w:val="20"/>
                <w:szCs w:val="20"/>
                <w:highlight w:val="none"/>
                <w:u w:val="none"/>
              </w:rPr>
            </w:pP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D100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信号线：RVVP3*0.75mm2，根据实际情况提供</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7F3D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124A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项</w:t>
            </w:r>
          </w:p>
        </w:tc>
        <w:tc>
          <w:tcPr>
            <w:tcW w:w="1158" w:type="dxa"/>
            <w:vMerge w:val="continue"/>
            <w:tcBorders>
              <w:left w:val="single" w:color="000000" w:sz="4" w:space="0"/>
              <w:right w:val="single" w:color="000000" w:sz="4" w:space="0"/>
            </w:tcBorders>
            <w:shd w:val="clear" w:color="auto" w:fill="auto"/>
            <w:vAlign w:val="center"/>
          </w:tcPr>
          <w:p w14:paraId="06196F40">
            <w:pPr>
              <w:keepNext w:val="0"/>
              <w:keepLines w:val="0"/>
              <w:pageBreakBefore w:val="0"/>
              <w:kinsoku/>
              <w:wordWrap/>
              <w:overflowPunct/>
              <w:topLinePunct w:val="0"/>
              <w:autoSpaceDE/>
              <w:autoSpaceDN/>
              <w:bidi w:val="0"/>
              <w:adjustRightInd/>
              <w:snapToGrid w:val="0"/>
              <w:spacing w:line="240" w:lineRule="auto"/>
              <w:jc w:val="center"/>
              <w:rPr>
                <w:rFonts w:hint="eastAsia" w:ascii="微软雅黑" w:hAnsi="微软雅黑" w:eastAsia="微软雅黑" w:cs="微软雅黑"/>
                <w:i w:val="0"/>
                <w:iCs w:val="0"/>
                <w:color w:val="auto"/>
                <w:sz w:val="20"/>
                <w:szCs w:val="20"/>
                <w:highlight w:val="none"/>
                <w:u w:val="none"/>
              </w:rPr>
            </w:pPr>
          </w:p>
        </w:tc>
      </w:tr>
      <w:tr w14:paraId="37288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A6C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12</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655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高空作业费</w:t>
            </w:r>
          </w:p>
        </w:tc>
        <w:tc>
          <w:tcPr>
            <w:tcW w:w="9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69C3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脚手架/满堂架搭建</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CBF1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1</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87AF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微软雅黑" w:hAnsi="微软雅黑" w:eastAsia="微软雅黑" w:cs="微软雅黑"/>
                <w:i w:val="0"/>
                <w:iCs w:val="0"/>
                <w:color w:val="auto"/>
                <w:sz w:val="20"/>
                <w:szCs w:val="20"/>
                <w:highlight w:val="none"/>
                <w:u w:val="none"/>
              </w:rPr>
            </w:pPr>
            <w:r>
              <w:rPr>
                <w:rFonts w:hint="eastAsia" w:ascii="微软雅黑" w:hAnsi="微软雅黑" w:eastAsia="微软雅黑" w:cs="微软雅黑"/>
                <w:i w:val="0"/>
                <w:iCs w:val="0"/>
                <w:color w:val="auto"/>
                <w:kern w:val="0"/>
                <w:sz w:val="20"/>
                <w:szCs w:val="20"/>
                <w:highlight w:val="none"/>
                <w:u w:val="none"/>
                <w:lang w:val="en-US" w:eastAsia="zh-CN" w:bidi="ar"/>
              </w:rPr>
              <w:t>项</w:t>
            </w:r>
          </w:p>
        </w:tc>
        <w:tc>
          <w:tcPr>
            <w:tcW w:w="1158" w:type="dxa"/>
            <w:vMerge w:val="continue"/>
            <w:tcBorders>
              <w:left w:val="single" w:color="000000" w:sz="4" w:space="0"/>
              <w:bottom w:val="single" w:color="000000" w:sz="4" w:space="0"/>
              <w:right w:val="single" w:color="000000" w:sz="4" w:space="0"/>
            </w:tcBorders>
            <w:shd w:val="clear" w:color="auto" w:fill="auto"/>
            <w:vAlign w:val="center"/>
          </w:tcPr>
          <w:p w14:paraId="77DC50B2">
            <w:pPr>
              <w:keepNext w:val="0"/>
              <w:keepLines w:val="0"/>
              <w:pageBreakBefore w:val="0"/>
              <w:kinsoku/>
              <w:wordWrap/>
              <w:overflowPunct/>
              <w:topLinePunct w:val="0"/>
              <w:autoSpaceDE/>
              <w:autoSpaceDN/>
              <w:bidi w:val="0"/>
              <w:adjustRightInd/>
              <w:snapToGrid w:val="0"/>
              <w:spacing w:line="240" w:lineRule="auto"/>
              <w:jc w:val="center"/>
              <w:rPr>
                <w:rFonts w:hint="eastAsia" w:ascii="微软雅黑" w:hAnsi="微软雅黑" w:eastAsia="微软雅黑" w:cs="微软雅黑"/>
                <w:i w:val="0"/>
                <w:iCs w:val="0"/>
                <w:color w:val="auto"/>
                <w:sz w:val="20"/>
                <w:szCs w:val="20"/>
                <w:highlight w:val="none"/>
                <w:u w:val="none"/>
              </w:rPr>
            </w:pPr>
          </w:p>
        </w:tc>
      </w:tr>
    </w:tbl>
    <w:p w14:paraId="195E2155">
      <w:pPr>
        <w:jc w:val="center"/>
        <w:rPr>
          <w:rFonts w:hint="eastAsia"/>
          <w:sz w:val="36"/>
          <w:szCs w:val="44"/>
          <w:highlight w:val="none"/>
          <w:lang w:val="en-US" w:eastAsia="zh-CN"/>
        </w:rPr>
      </w:pPr>
    </w:p>
    <w:sectPr>
      <w:footerReference r:id="rId3" w:type="default"/>
      <w:pgSz w:w="16838" w:h="11906" w:orient="landscape"/>
      <w:pgMar w:top="1134" w:right="1134" w:bottom="1134" w:left="1134"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B97F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ADBC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0ADBC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zMjI1YzM3OWM3YjFkZjQzY2Y0NmFlZDliMjU1MTQifQ=="/>
  </w:docVars>
  <w:rsids>
    <w:rsidRoot w:val="00000000"/>
    <w:rsid w:val="00FD3DC4"/>
    <w:rsid w:val="04DC4690"/>
    <w:rsid w:val="09491BC8"/>
    <w:rsid w:val="13421B62"/>
    <w:rsid w:val="13494432"/>
    <w:rsid w:val="16287735"/>
    <w:rsid w:val="164E4CC1"/>
    <w:rsid w:val="16FE0496"/>
    <w:rsid w:val="185E4CCC"/>
    <w:rsid w:val="22E70F35"/>
    <w:rsid w:val="24B959FC"/>
    <w:rsid w:val="25115E9C"/>
    <w:rsid w:val="2F271A0B"/>
    <w:rsid w:val="35933B45"/>
    <w:rsid w:val="3745035D"/>
    <w:rsid w:val="38E77747"/>
    <w:rsid w:val="445663BE"/>
    <w:rsid w:val="49757DBE"/>
    <w:rsid w:val="4DA05398"/>
    <w:rsid w:val="50AF5D81"/>
    <w:rsid w:val="5A2A22E9"/>
    <w:rsid w:val="613932AF"/>
    <w:rsid w:val="63913AA5"/>
    <w:rsid w:val="79CD4D53"/>
    <w:rsid w:val="7A765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7"/>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标题 2 Char1"/>
    <w:basedOn w:val="6"/>
    <w:link w:val="2"/>
    <w:qFormat/>
    <w:uiPriority w:val="9"/>
    <w:rPr>
      <w:rFonts w:ascii="楷体" w:hAnsi="楷体" w:eastAsia="仿宋" w:cs="Times New Roman"/>
      <w:b/>
      <w:sz w:val="24"/>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13133</Words>
  <Characters>16273</Characters>
  <Lines>0</Lines>
  <Paragraphs>0</Paragraphs>
  <TotalTime>2</TotalTime>
  <ScaleCrop>false</ScaleCrop>
  <LinksUpToDate>false</LinksUpToDate>
  <CharactersWithSpaces>16404</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陕西笃信招标有限公司</cp:lastModifiedBy>
  <cp:lastPrinted>2026-08-13T01:55:00Z</cp:lastPrinted>
  <dcterms:modified xsi:type="dcterms:W3CDTF">2026-08-13T09:59:58Z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F6688E883AB5484DB01F9B70EA583C74_13</vt:lpwstr>
  </property>
  <property fmtid="{D5CDD505-2E9C-101B-9397-08002B2CF9AE}" pid="4" name="KSOTemplateDocerSaveRecord">
    <vt:lpwstr>eyJoZGlkIjoiOTFjZTEyNjYyY2MwMjViNzU3Njg3ZGE3YjEwYjcxNTEiLCJ1c2VySWQiOiI5MTQ3Njg1NjkifQ==</vt:lpwstr>
  </property>
</Properties>
</file>