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版本号：GHZC2026-05-00520260522001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2026年陕西省公安交管数据中台运维服务项目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GHZC2026-05-005</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陕西国华项目管理有限公司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2026年陕西省公安交管数据中台运维服务项目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GHZC2026-05-005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2026年陕西省公安交管数据中台运维服务项目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2026年陕西省公安交管数据中台运维服务项目，具体详见采购文件第三章。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2、财务状况报告：提供2024年或2025年度经审计的财务报告（成立时间至提交投标文件截止时间不足一年的可提供成立后任意时段的资产负债表），或其基本存款账户开户银行出具的三个月内的资信证明；</w:t>
      </w:r>
    </w:p>
    <w:p>
      <w:pPr>
        <w:pStyle w:val="null3"/>
      </w:pPr>
      <w:r>
        <w:rPr>
          <w:rFonts w:ascii="仿宋_GB2312" w:hAnsi="仿宋_GB2312" w:cs="仿宋_GB2312" w:eastAsia="仿宋_GB2312"/>
        </w:rPr>
        <w:t>3、税收缴纳证明：税收缴纳证明：2025年1月以来不少于1个月依法缴纳税收的相关材料，如依法免税或不需要纳税的，则应提供相应证明材料复印件；</w:t>
      </w:r>
    </w:p>
    <w:p>
      <w:pPr>
        <w:pStyle w:val="null3"/>
      </w:pPr>
      <w:r>
        <w:rPr>
          <w:rFonts w:ascii="仿宋_GB2312" w:hAnsi="仿宋_GB2312" w:cs="仿宋_GB2312" w:eastAsia="仿宋_GB2312"/>
        </w:rPr>
        <w:t>4、社会保障资金缴纳证明：提供2025年1月以来不少于1个月的依法缴纳社会保障资金的相关材料，如依法不需要缴纳社会保障资金的，则应提供相应证明材料复印件；</w:t>
      </w:r>
    </w:p>
    <w:p>
      <w:pPr>
        <w:pStyle w:val="null3"/>
      </w:pPr>
      <w:r>
        <w:rPr>
          <w:rFonts w:ascii="仿宋_GB2312" w:hAnsi="仿宋_GB2312" w:cs="仿宋_GB2312" w:eastAsia="仿宋_GB2312"/>
        </w:rPr>
        <w:t>5、无重大违法记录声明：参加政府采购活动近3年内，在经营活动中没有重大违法记录的书面声明；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委托授权书\身份证明：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陕西省西安市经济技术开发区凤城七路长和国际A座26楼02-01室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赵仲康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开户名称：陕西国华项目管理有限公司</w:t>
            </w:r>
          </w:p>
          <w:p>
            <w:pPr>
              <w:pStyle w:val="null3"/>
            </w:pPr>
            <w:r>
              <w:rPr>
                <w:rFonts w:ascii="仿宋_GB2312" w:hAnsi="仿宋_GB2312" w:cs="仿宋_GB2312" w:eastAsia="仿宋_GB2312"/>
              </w:rPr>
              <w:t>开户银行：陕西秦农农村商业银行股份有限公司丈八支行</w:t>
            </w:r>
          </w:p>
          <w:p>
            <w:pPr>
              <w:pStyle w:val="null3"/>
            </w:pPr>
            <w:r>
              <w:rPr>
                <w:rFonts w:ascii="仿宋_GB2312" w:hAnsi="仿宋_GB2312" w:cs="仿宋_GB2312" w:eastAsia="仿宋_GB2312"/>
              </w:rPr>
              <w:t>银行账号：2701020201201000091385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陕西国华项目管理有限公司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联系人：赵仲康</w:t>
      </w:r>
    </w:p>
    <w:p>
      <w:pPr>
        <w:pStyle w:val="null3"/>
      </w:pPr>
      <w:r>
        <w:rPr>
          <w:rFonts w:ascii="仿宋_GB2312" w:hAnsi="仿宋_GB2312" w:cs="仿宋_GB2312" w:eastAsia="仿宋_GB2312"/>
        </w:rPr>
        <w:t>联系电话：029-86269925</w:t>
      </w:r>
    </w:p>
    <w:p>
      <w:pPr>
        <w:pStyle w:val="null3"/>
      </w:pPr>
      <w:r>
        <w:rPr>
          <w:rFonts w:ascii="仿宋_GB2312" w:hAnsi="仿宋_GB2312" w:cs="仿宋_GB2312" w:eastAsia="仿宋_GB2312"/>
        </w:rPr>
        <w:t>地址：陕西省西安市经济技术开发区凤城七路长和国际A座26楼02-01室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2026年陕西省公安交管数据中台运维服务项目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756,000.00</w:t>
      </w:r>
    </w:p>
    <w:p>
      <w:pPr>
        <w:pStyle w:val="null3"/>
      </w:pPr>
      <w:r>
        <w:rPr>
          <w:rFonts w:ascii="仿宋_GB2312" w:hAnsi="仿宋_GB2312" w:cs="仿宋_GB2312" w:eastAsia="仿宋_GB2312"/>
        </w:rPr>
        <w:t>采购包最高限价（元）: 756,000.00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2026年陕西省公安交管数据中台运维服务项目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标的名称：2026年陕西省公安交管数据中台运维服务项目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1"/>
                      <w:numId w:val="1"/>
                    </w:numPr>
                  </w:pPr>
                  <w:r>
                    <w:rPr>
                      <w:rFonts w:ascii="仿宋_GB2312" w:hAnsi="仿宋_GB2312" w:cs="仿宋_GB2312" w:eastAsia="仿宋_GB2312"/>
                      <w:sz w:val="24"/>
                    </w:rPr>
                    <w:t>运维目标、范围、内容、周期</w:t>
                  </w:r>
                </w:p>
                <w:p>
                  <w:pPr>
                    <w:pStyle w:val="null3"/>
                    <w:numPr>
                      <w:ilvl w:val="2"/>
                      <w:numId w:val="1"/>
                    </w:numPr>
                    <w:spacing w:before="120" w:after="120"/>
                    <w:jc w:val="left"/>
                  </w:pPr>
                  <w:r>
                    <w:rPr>
                      <w:rFonts w:ascii="仿宋_GB2312" w:hAnsi="仿宋_GB2312" w:cs="仿宋_GB2312" w:eastAsia="仿宋_GB2312"/>
                      <w:sz w:val="24"/>
                    </w:rPr>
                    <w:t>运维目标</w:t>
                  </w:r>
                </w:p>
                <w:p>
                  <w:pPr>
                    <w:pStyle w:val="null3"/>
                  </w:pPr>
                  <w:r>
                    <w:rPr>
                      <w:rFonts w:ascii="仿宋_GB2312" w:hAnsi="仿宋_GB2312" w:cs="仿宋_GB2312" w:eastAsia="仿宋_GB2312"/>
                      <w:sz w:val="24"/>
                    </w:rPr>
                    <w:t>从保障陕西省公安交管数据中台稳定运行、提升数据服务支撑能力、助力公安交管业务高效开展的角度出发，明确以下可量化的运维目标：</w:t>
                  </w:r>
                </w:p>
                <w:p>
                  <w:pPr>
                    <w:pStyle w:val="null3"/>
                  </w:pPr>
                  <w:r>
                    <w:rPr>
                      <w:rFonts w:ascii="仿宋_GB2312" w:hAnsi="仿宋_GB2312" w:cs="仿宋_GB2312" w:eastAsia="仿宋_GB2312"/>
                      <w:sz w:val="24"/>
                    </w:rPr>
                    <w:t>1.系统可用性</w:t>
                  </w:r>
                </w:p>
                <w:p>
                  <w:pPr>
                    <w:pStyle w:val="null3"/>
                  </w:pPr>
                  <w:r>
                    <w:rPr>
                      <w:rFonts w:ascii="仿宋_GB2312" w:hAnsi="仿宋_GB2312" w:cs="仿宋_GB2312" w:eastAsia="仿宋_GB2312"/>
                      <w:sz w:val="24"/>
                    </w:rPr>
                    <w:t>系统可用率不低于</w:t>
                  </w:r>
                  <w:r>
                    <w:rPr>
                      <w:rFonts w:ascii="仿宋_GB2312" w:hAnsi="仿宋_GB2312" w:cs="仿宋_GB2312" w:eastAsia="仿宋_GB2312"/>
                      <w:sz w:val="24"/>
                    </w:rPr>
                    <w:t>99%，即年度故障累计时间不超过80小时。</w:t>
                  </w:r>
                </w:p>
                <w:p>
                  <w:pPr>
                    <w:pStyle w:val="null3"/>
                  </w:pPr>
                  <w:r>
                    <w:rPr>
                      <w:rFonts w:ascii="仿宋_GB2312" w:hAnsi="仿宋_GB2312" w:cs="仿宋_GB2312" w:eastAsia="仿宋_GB2312"/>
                      <w:sz w:val="24"/>
                    </w:rPr>
                    <w:t>2.服务响应效率</w:t>
                  </w:r>
                </w:p>
                <w:p>
                  <w:pPr>
                    <w:pStyle w:val="null3"/>
                  </w:pPr>
                  <w:r>
                    <w:rPr>
                      <w:rFonts w:ascii="仿宋_GB2312" w:hAnsi="仿宋_GB2312" w:cs="仿宋_GB2312" w:eastAsia="仿宋_GB2312"/>
                      <w:sz w:val="24"/>
                    </w:rPr>
                    <w:t>针对用户提出的智能问数需求，简单查询需求</w:t>
                  </w:r>
                  <w:r>
                    <w:rPr>
                      <w:rFonts w:ascii="仿宋_GB2312" w:hAnsi="仿宋_GB2312" w:cs="仿宋_GB2312" w:eastAsia="仿宋_GB2312"/>
                      <w:sz w:val="24"/>
                    </w:rPr>
                    <w:t>1小时内响应并反馈结果，复杂分析需求4小时内响应、24小时内反馈结果；人脸接口调用故障，远程响应时间不超过15分钟，现场响应时间不超过2小时，故障解决时间不超过4小时；数据治理与建模相关问题，2小时内响应，一般问题24小时内解决，复杂问题48小时内解决。</w:t>
                  </w:r>
                </w:p>
                <w:p>
                  <w:pPr>
                    <w:pStyle w:val="null3"/>
                  </w:pPr>
                  <w:r>
                    <w:rPr>
                      <w:rFonts w:ascii="仿宋_GB2312" w:hAnsi="仿宋_GB2312" w:cs="仿宋_GB2312" w:eastAsia="仿宋_GB2312"/>
                      <w:sz w:val="24"/>
                    </w:rPr>
                    <w:t>3.用户满意度</w:t>
                  </w:r>
                </w:p>
                <w:p>
                  <w:pPr>
                    <w:pStyle w:val="null3"/>
                  </w:pPr>
                  <w:r>
                    <w:rPr>
                      <w:rFonts w:ascii="仿宋_GB2312" w:hAnsi="仿宋_GB2312" w:cs="仿宋_GB2312" w:eastAsia="仿宋_GB2312"/>
                      <w:sz w:val="24"/>
                    </w:rPr>
                    <w:t>通过定期问卷调查与现场访谈，确保公安交管业务部门对运维服务的整体满意度不低于</w:t>
                  </w:r>
                  <w:r>
                    <w:rPr>
                      <w:rFonts w:ascii="仿宋_GB2312" w:hAnsi="仿宋_GB2312" w:cs="仿宋_GB2312" w:eastAsia="仿宋_GB2312"/>
                      <w:sz w:val="24"/>
                    </w:rPr>
                    <w:t>90分，其中对智能问数服务、系统应用及培训服务的满意度不低于92分。</w:t>
                  </w:r>
                </w:p>
                <w:p>
                  <w:pPr>
                    <w:pStyle w:val="null3"/>
                    <w:numPr>
                      <w:ilvl w:val="2"/>
                      <w:numId w:val="1"/>
                    </w:numPr>
                  </w:pPr>
                  <w:r>
                    <w:rPr>
                      <w:rFonts w:ascii="仿宋_GB2312" w:hAnsi="仿宋_GB2312" w:cs="仿宋_GB2312" w:eastAsia="仿宋_GB2312"/>
                      <w:sz w:val="24"/>
                    </w:rPr>
                    <w:t>服务范围</w:t>
                  </w:r>
                </w:p>
                <w:p>
                  <w:pPr>
                    <w:pStyle w:val="null3"/>
                    <w:ind w:firstLine="480"/>
                    <w:jc w:val="left"/>
                  </w:pPr>
                  <w:r>
                    <w:rPr>
                      <w:rFonts w:ascii="仿宋_GB2312" w:hAnsi="仿宋_GB2312" w:cs="仿宋_GB2312" w:eastAsia="仿宋_GB2312"/>
                      <w:sz w:val="24"/>
                    </w:rPr>
                    <w:t>数据运维服务，覆盖数据生命周期内流转运行任务的维护管理，包括新增数据实施服务、数据运行保障服务、技术培训等技术支持服务。数据实施服务是指在运维期间为新增数据提供数据调研、接入、治理、质量检测、数据管理的实施服务。数据运行保障服务，是指为平台内数据资源提供数据共享服务、数据变更管理、故障事件处理等服务。为陕西省公安厅交通管理总队指定项目负责人和技术人员提供专项技术培训服务，完成数据运维技术能力的传递。</w:t>
                  </w:r>
                </w:p>
                <w:p>
                  <w:pPr>
                    <w:pStyle w:val="null3"/>
                    <w:numPr>
                      <w:ilvl w:val="2"/>
                      <w:numId w:val="1"/>
                    </w:numPr>
                  </w:pPr>
                  <w:r>
                    <w:rPr>
                      <w:rFonts w:ascii="仿宋_GB2312" w:hAnsi="仿宋_GB2312" w:cs="仿宋_GB2312" w:eastAsia="仿宋_GB2312"/>
                      <w:sz w:val="24"/>
                    </w:rPr>
                    <w:t>服务内容</w:t>
                  </w:r>
                </w:p>
                <w:p>
                  <w:pPr>
                    <w:pStyle w:val="null3"/>
                    <w:ind w:firstLine="480"/>
                    <w:jc w:val="left"/>
                  </w:pPr>
                  <w:r>
                    <w:rPr>
                      <w:rFonts w:ascii="仿宋_GB2312" w:hAnsi="仿宋_GB2312" w:cs="仿宋_GB2312" w:eastAsia="仿宋_GB2312"/>
                      <w:sz w:val="24"/>
                    </w:rPr>
                    <w:t>数据实施服务，数据调研，数据接入，数据治理，质量检测，数据管理，数据共享服务，数据变更管理，故障事件处理，硬件运维服务，安全运维服务，技术培训服务。</w:t>
                  </w:r>
                </w:p>
                <w:p>
                  <w:pPr>
                    <w:pStyle w:val="null3"/>
                    <w:ind w:firstLine="480"/>
                    <w:jc w:val="left"/>
                  </w:pPr>
                  <w:r>
                    <w:rPr>
                      <w:rFonts w:ascii="仿宋_GB2312" w:hAnsi="仿宋_GB2312" w:cs="仿宋_GB2312" w:eastAsia="仿宋_GB2312"/>
                      <w:sz w:val="24"/>
                    </w:rPr>
                    <w:t>针对用户提出的智能问数需求，简单查询需求</w:t>
                  </w:r>
                  <w:r>
                    <w:rPr>
                      <w:rFonts w:ascii="仿宋_GB2312" w:hAnsi="仿宋_GB2312" w:cs="仿宋_GB2312" w:eastAsia="仿宋_GB2312"/>
                      <w:sz w:val="24"/>
                    </w:rPr>
                    <w:t>1小时内响应并反馈结果，复杂分析需求4小时内响应、24小时内反馈结果；人脸接口调用故障，远程响应时间不超过15分钟，现场响应时间不超过2小时，故障解决时间不超过4小时；数据治理与建模相关问题，2小时内响应，一般问题24小时内解决，复杂问题48小时内解决。</w:t>
                  </w:r>
                </w:p>
                <w:p>
                  <w:pPr>
                    <w:pStyle w:val="null3"/>
                    <w:numPr>
                      <w:ilvl w:val="2"/>
                      <w:numId w:val="1"/>
                    </w:numPr>
                  </w:pPr>
                  <w:r>
                    <w:rPr>
                      <w:rFonts w:ascii="仿宋_GB2312" w:hAnsi="仿宋_GB2312" w:cs="仿宋_GB2312" w:eastAsia="仿宋_GB2312"/>
                      <w:sz w:val="24"/>
                    </w:rPr>
                    <w:t>运维周期</w:t>
                  </w:r>
                </w:p>
                <w:p>
                  <w:pPr>
                    <w:pStyle w:val="null3"/>
                    <w:ind w:firstLine="480"/>
                  </w:pPr>
                  <w:r>
                    <w:rPr>
                      <w:rFonts w:ascii="仿宋_GB2312" w:hAnsi="仿宋_GB2312" w:cs="仿宋_GB2312" w:eastAsia="仿宋_GB2312"/>
                      <w:sz w:val="24"/>
                    </w:rPr>
                    <w:t>本项目运维周期为</w:t>
                  </w:r>
                  <w:r>
                    <w:rPr>
                      <w:rFonts w:ascii="仿宋_GB2312" w:hAnsi="仿宋_GB2312" w:cs="仿宋_GB2312" w:eastAsia="仿宋_GB2312"/>
                      <w:sz w:val="24"/>
                    </w:rPr>
                    <w:t>365个日历日，自2026年8月1日起至2027年7月31日止。运维周期内，编制单位按照实施方案要求提供持续、稳定的运维服务，确保各项服务模块正常运行。运维周期结束前1个月，编制单位需提交运维工作总结报告，包含运维工作开展情况、目标完成情况、问题与改进建议等内容，配合建设单位开展运维服务验收工作。</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验收时间：项目完成后 质量标准：符合国家及行业有关现行规范、标准的要求 验收合格条件：符合国家标准和技术规格书及合同要求，符合招标文件、乙方的投标文件、澄清文件和中标通知书的要求等,乙方应严格按照上述及采购人要求实施项目服务，甲方有权对乙方服务质量进行评估，当乙方出现较为严重的服务质量问题时，从乙方服务费中扣除合同总价的10%。 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进度款，所有驻场服务人员全部到岗，正式开始运维服务后，达到付款条件起15个工作日内，支付合同总金额的40.0%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进度款，项目通过验收并完成结算审计后，达到付款条件起15个工作日内，支付合同总金额的10.0%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2.未按合同或招标文件要求提供服务，质量不能满足采购方技术要求，甲方有权终止合同，甚至对乙方违约行为进行追究。 3.乙方由于自身过错，延误按本合同规定的服务成果交付时间，每延误一天，应减收本合同总额的2‰作为延误违约金。 十四、合同争议和解决办法 因本合同产生纠纷，如协商无法解决，双方均有权向有管辖权的人民法院提起诉讼。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要求：符合国家及行业有关现行规范、标准的要求，（2）投标人需要在线提交所有通过电子化交易平台实施的政府采购项目的响应文件，同时，线下提交响应文件正本壹份、副本贰套、电子版壹套（U盘一套标明供应商名称）。 线下纸质文件递交截止时间：同在线递交电子响应文件截止时间一致；线下纸质文件递交地点： 陕西省西安市经济技术开发区凤城七路长和国际A座26楼02-01室。 （3）根据《陕西省财政厅关于进一步优化政府采购营商环境有关事项的通知》（陕财办采〔2023〕4号）规定，采购人应在成交通知书发出之日起25日与成交供应商签订采购合同，因采购系统文件编制有所限制，文件前后不一致以此处为准。（4）投标保证金退还： A．未中标供应商：自中标通知书发出之日起5个工作日内退还未中标供应商的投标保证金，无需亲自前来办理； B.中标供应商：自采购合同签订之日起5个工作日内退还中标供应商的投标保证金。（须携带或邮寄合同原件或合同复印件（加盖单位鲜章）各一份，同时将合同扫描件发送至联系人邮箱），但因中标供应商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提供2024年或2025年度经审计的财务报告（成立时间至提交投标文件截止时间不足一年的可提供成立后任意时段的资产负债表），或其基本存款账户开户银行出具的三个月内的资信证明；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税收缴纳证明：2025年1月以来不少于1个月依法缴纳税收的相关材料，如依法免税或不需要纳税的，则应提供相应证明材料复印件；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提供2025年1月以来不少于1个月的依法缴纳社会保障资金的相关材料，如依法不需要缴纳社会保障资金的，则应提供相应证明材料复印件；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技术指标响应偏差表.docx 服务方案.docx 商务条款响应说明.docx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响应文件封面 服务方案.docx 技术指标响应偏差表.docx 投标人承诺书.docx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中小企业声明函 残疾人福利性单位声明函 标的清单 投标人资格证明文件.docx 报价表 响应函 技术指标响应偏差表.docx 投标人承诺书.docx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响应函 技术指标响应偏差表.docx 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保证金缴纳凭证.docx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项目需求分析与理解</w:t>
            </w:r>
          </w:p>
        </w:tc>
        <w:tc>
          <w:tcPr>
            <w:tcW w:type="dxa" w:w="2492"/>
          </w:tcPr>
          <w:p>
            <w:pPr>
              <w:pStyle w:val="null3"/>
            </w:pPr>
            <w:r>
              <w:rPr>
                <w:rFonts w:ascii="仿宋_GB2312" w:hAnsi="仿宋_GB2312" w:cs="仿宋_GB2312" w:eastAsia="仿宋_GB2312"/>
              </w:rPr>
              <w:t>供应商对该项目环境、需求和服务要求等内容目标明确，理解到位，各项保障措施到位，考虑周全，需求理解透彻，明确项目的建设要求和目标得5分；供应商对该项目环境、需求和服务要求等内容目标较为明确，各项保障措施到位，需求理解较透彻得3分；供应商对用户需求、项目建设要求、目标等方面体现不充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需提供科学、完整、合理、规范的服务方案。方案内容完整，分析全面。总体服务方案设计科学合理、描述条理清晰，可行性、安全性强，完全满足采购需求得15分；方案内容较完整，分析较全面、总体服务方案设计较合理、描述条理较清晰，可行性较强，满足采购需求得11分；方案内容一般，可行性一般，基本满足采购需求得7分；方案内容不全，部分满足采购需求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内容总体思路清晰、合理、可行性强得10分；质量保证措施总体思路较清晰、合理，可行性较强得7分；质量保证措施总体思路基本清晰、合理，可行性一般得3分；质量保证措施总体思路部分清晰，内容空泛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内容总体思路清晰、合理、可行性强得5分；内容总体思路较清晰、合理、可行得3分；总体思路基本清晰、基本可行得1分。未提供不得分。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拟投入项目团队人员分工明确、经验丰富，完全满足采购要求得7分；分工较明确、经验较丰富，满足采购要求得4分；分工基本明确、经验一般，基本满足采购要求得2分；分工部分明确、部分满足采购要求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根据项目工作特点提供完善的的应急预案。 应急预案内容完善、合理可行、针对性强的得5分；应急预案内容较完善、较合理可行、针对性较强的得3分；应急预案内容基本完善、合理、针对性一般的得1分；未提供不得分。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售后服务方案满足采购方要求，内容合理、针对性强得10分；内容较合理、针对性较强得7分；内容基本合理、针对性一般得3分；内容部分合理得1分；未提供不得分。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w:t>
            </w:r>
          </w:p>
        </w:tc>
        <w:tc>
          <w:tcPr>
            <w:tcW w:type="dxa" w:w="2492"/>
          </w:tcPr>
          <w:p>
            <w:pPr>
              <w:pStyle w:val="null3"/>
            </w:pPr>
            <w:r>
              <w:rPr>
                <w:rFonts w:ascii="仿宋_GB2312" w:hAnsi="仿宋_GB2312" w:cs="仿宋_GB2312" w:eastAsia="仿宋_GB2312"/>
              </w:rPr>
              <w:t>供应商应承诺不得泄漏采购单位一切敏感信息，包括但不限于技术情报、技术资料、商业秘密和商业信息等，承诺合理，内容全面得4分；承诺较合理，内容较全面得2分；未提供不得分。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供应商需提供培训方案。培训方案完整合理、可行性强得5分；培训方案较完整合理、可行得3分；培训方案基本完整合理、可行性一般得1分；未提供不得分。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提供针对本项目的服务承诺。服务承诺明确、合理得4分；服务承诺简单、基本合理得2分；未提供不得分。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提出的合理化意见与建议全面、具体、合理，可操作性强：（1）合理化建议层次清晰、针对性强、与采购内容的吻合程度高的，得10分；（2）合理化建议层次较清晰、针对性较强、与采购内容的吻合程度一般，内容较简单的，得7分；（3）合理化建议层次不清晰、不全面、得4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供应商提供2022年1月1日至今（以合同签订时间为准）类似业绩，以合同协议书为准，每份计2分，最高计10分。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详见附件：技术指标响应偏差表.docx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