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92F03"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一、招标要求</w:t>
      </w:r>
    </w:p>
    <w:p w14:paraId="5D60F1CD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1.项目名称：咸阳市公共文化数字化服务平台建设项目</w:t>
      </w:r>
    </w:p>
    <w:p w14:paraId="46E61B8E">
      <w:pPr>
        <w:spacing w:line="360" w:lineRule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  <w:lang w:eastAsia="zh-CN"/>
        </w:rPr>
        <w:t>.交付期：合同签订后3个月内</w:t>
      </w:r>
    </w:p>
    <w:p w14:paraId="35E5E504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 w:ascii="宋体" w:hAnsi="宋体" w:cs="宋体"/>
          <w:sz w:val="24"/>
          <w:lang w:eastAsia="zh-CN"/>
        </w:rPr>
        <w:t>质保期：3年</w:t>
      </w:r>
    </w:p>
    <w:p w14:paraId="043058F6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  <w:lang w:eastAsia="zh-CN"/>
        </w:rPr>
        <w:t>.</w:t>
      </w:r>
      <w:r>
        <w:rPr>
          <w:rFonts w:hint="eastAsia" w:ascii="宋体" w:hAnsi="宋体" w:cs="宋体"/>
          <w:sz w:val="24"/>
        </w:rPr>
        <w:t>服务地点：</w:t>
      </w:r>
      <w:r>
        <w:rPr>
          <w:rFonts w:hint="eastAsia" w:ascii="宋体" w:hAnsi="宋体" w:cs="宋体"/>
          <w:sz w:val="24"/>
          <w:lang w:val="en-US" w:eastAsia="zh-CN"/>
        </w:rPr>
        <w:t>采购人</w:t>
      </w:r>
      <w:r>
        <w:rPr>
          <w:rFonts w:hint="eastAsia" w:ascii="宋体" w:hAnsi="宋体" w:cs="宋体"/>
          <w:sz w:val="24"/>
        </w:rPr>
        <w:t>指定地点</w:t>
      </w:r>
    </w:p>
    <w:p w14:paraId="75218224"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二</w:t>
      </w:r>
      <w:r>
        <w:rPr>
          <w:rFonts w:hint="eastAsia" w:ascii="宋体" w:hAnsi="宋体" w:cs="宋体"/>
          <w:b/>
          <w:bCs/>
          <w:sz w:val="24"/>
        </w:rPr>
        <w:t>、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招标内容</w:t>
      </w:r>
    </w:p>
    <w:tbl>
      <w:tblPr>
        <w:tblStyle w:val="12"/>
        <w:tblW w:w="925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33"/>
        <w:gridCol w:w="783"/>
        <w:gridCol w:w="6536"/>
      </w:tblGrid>
      <w:tr w14:paraId="48C16E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707" w:type="dxa"/>
            <w:vAlign w:val="center"/>
          </w:tcPr>
          <w:p w14:paraId="50FB53A1">
            <w:pPr>
              <w:pStyle w:val="16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33" w:type="dxa"/>
            <w:vAlign w:val="center"/>
          </w:tcPr>
          <w:p w14:paraId="353BB8FF">
            <w:pPr>
              <w:pStyle w:val="16"/>
              <w:jc w:val="center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服务内容</w:t>
            </w:r>
          </w:p>
        </w:tc>
        <w:tc>
          <w:tcPr>
            <w:tcW w:w="783" w:type="dxa"/>
            <w:vAlign w:val="center"/>
          </w:tcPr>
          <w:p w14:paraId="2BB327A2">
            <w:pPr>
              <w:pStyle w:val="16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6536" w:type="dxa"/>
            <w:vAlign w:val="center"/>
          </w:tcPr>
          <w:p w14:paraId="428D325C">
            <w:pPr>
              <w:pStyle w:val="16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 xml:space="preserve"> 技术参数与性能指标</w:t>
            </w:r>
          </w:p>
        </w:tc>
      </w:tr>
      <w:tr w14:paraId="7C5BEC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625CB272">
            <w:pPr>
              <w:pStyle w:val="16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233" w:type="dxa"/>
            <w:vAlign w:val="center"/>
          </w:tcPr>
          <w:p w14:paraId="5F47F18C">
            <w:pPr>
              <w:pStyle w:val="16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陕西公共文化云咸阳站开发升级</w:t>
            </w:r>
          </w:p>
        </w:tc>
        <w:tc>
          <w:tcPr>
            <w:tcW w:w="783" w:type="dxa"/>
            <w:vAlign w:val="center"/>
          </w:tcPr>
          <w:p w14:paraId="0B5A6EAF">
            <w:pP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6536" w:type="dxa"/>
            <w:shd w:val="clear" w:color="auto" w:fill="auto"/>
            <w:vAlign w:val="center"/>
          </w:tcPr>
          <w:p w14:paraId="593727FD">
            <w:pPr>
              <w:pStyle w:val="16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  <w:t>在陕西省公共文化云平台现有架构内，新增“咸阳站”专属入口模块，界面设计融合咸阳文化元素与核心视觉符号；开发13个区县独立子页面，各子页面突出地域文化特色内容，完成系统开发、调试与部署。严格遵循陕西省公共文化云平台官方数据接口规范，完成用户、内容、统计三大类数据互通；2. 验收时交付API 接口文档、用户操作手册等；3. 系统连续 72 小时无故障运行，页面响应时间≤2 秒，并发支持≥1000 人。</w:t>
            </w:r>
          </w:p>
        </w:tc>
      </w:tr>
      <w:tr w14:paraId="35014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2F25A131">
            <w:pPr>
              <w:pStyle w:val="16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233" w:type="dxa"/>
            <w:vAlign w:val="center"/>
          </w:tcPr>
          <w:p w14:paraId="0F89A0E9">
            <w:pPr>
              <w:pStyle w:val="16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陕西公共文化云艺术画屏采购</w:t>
            </w:r>
          </w:p>
        </w:tc>
        <w:tc>
          <w:tcPr>
            <w:tcW w:w="783" w:type="dxa"/>
            <w:vAlign w:val="center"/>
          </w:tcPr>
          <w:p w14:paraId="1F7853AA">
            <w:pP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6536" w:type="dxa"/>
            <w:vAlign w:val="center"/>
          </w:tcPr>
          <w:p w14:paraId="1DF424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16套艺术画屏设备，设备支持与陕西公共文化云数据同步；整体配置：16 套设备配置完全统一，包含设备本体、标准壁挂支架、电源线、网线及现场安装调试、陕西省公共文化云数据同步适配服务。 屏幕尺寸：86 英寸，物理分辨率：3840×2160（4K 超高清），背光类型：直下式 DLED，显示亮度：≥350cd/㎡，对比度：1200:1，刷新率：60Hz，响应时间：8ms，可视角度：178° 全视角，显示色彩：1.07B 色，屏幕防护：3.2mm 全钢化高防爆防眩光玻璃，莫氏硬度 7 级，芯片组：V100 八核 A55 处理器，操作系统：Android 14.0 及以上，内存 / 存储：4GB DDR+32GB eMMC，网络连接：支持 2.4GHz+5GHz 双频 WiFi、BT5.0 蓝牙、RJ45 有线网络，音频系统：内置 2×8W 立体声喇叭；OPS 扩展：支持标准 80 针 OPS 电脑接口，可选配 I3/I5/I7 OPS 模块（本项目标配不含）；触控方式：高精度电容触控框；触控点数：支持 20 点同时触控；触控响应速度：&lt;6ms；触控精度：90% 以上区域为 ±2mm；最小触摸物体直径：≥3mm</w:t>
            </w:r>
          </w:p>
          <w:p w14:paraId="03B110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；触控寿命：理论点击次数无限次；输入输出接口：至少包含 RJ45 网口 ×1、HDMI IN×1、USB2.0×2、RS232×1、3.5mm 耳机输出 ×1、Touch USB×1；电源输入：100V-240VAC 50/60Hz 宽电压输入；功耗：最大功耗≤400W，待机功耗≤0.5W；控制方式：支持遥控开关机、远程控制开关机；护眼技术：支持 DC 调光无频闪、低蓝光、智能感光自动调节亮度、无损 Gamma2.0 动态画质调整；色彩表现：专业色准调校，多屏拼接显示色彩一致无色差；投屏功能：支持手机 / 电脑无线投屏、多分屏显示、反向操作，兼容主流投屏协议；信息发布系统：内置商用画屏信息发布系统，支持 web 端 / 手机端内容推送、多设备分组管理、远程控制、在线编辑、实时监控、定时开关机、分时段播放；支持公有云 / 私有云部署、USB 离线节目即插即播；平台兼容性：完全兼容陕西省公共文化云平台数据标准，支持与省级平台实时数据同步、内容统一推送与管理；整机尺寸：1998.5mm×1169.5mm×66.5mm（长 × 高 × 厚）；重量：净重 82kg±1kg / 台，毛重 87kg±2kg / 台；环境适应性：工作温度 0℃-40℃，工作湿度 10%-90% 无凝结；贮存温度 - 20℃-60℃，贮存湿度 10%-90% 无凝结。</w:t>
            </w:r>
          </w:p>
        </w:tc>
      </w:tr>
    </w:tbl>
    <w:p w14:paraId="20CBA183">
      <w:pPr>
        <w:pStyle w:val="16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9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0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4F406CC7"/>
    <w:rsid w:val="51150C7F"/>
    <w:rsid w:val="550A1873"/>
    <w:rsid w:val="56A4373E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next w:val="7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7">
    <w:name w:val="Body Text First Indent 2"/>
    <w:basedOn w:val="6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8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6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7">
    <w:name w:val="List Paragraph"/>
    <w:basedOn w:val="1"/>
    <w:autoRedefine/>
    <w:qFormat/>
    <w:uiPriority w:val="34"/>
    <w:pPr>
      <w:ind w:firstLine="420"/>
    </w:pPr>
  </w:style>
  <w:style w:type="character" w:customStyle="1" w:styleId="18">
    <w:name w:val="font7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91"/>
    <w:basedOn w:val="14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0">
    <w:name w:val="font2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1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2">
    <w:name w:val="font1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3">
    <w:name w:val="标题 1 Char"/>
    <w:link w:val="2"/>
    <w:qFormat/>
    <w:uiPriority w:val="0"/>
    <w:rPr>
      <w:b/>
      <w:kern w:val="44"/>
      <w:sz w:val="44"/>
    </w:r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7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3489</Words>
  <Characters>4707</Characters>
  <Lines>0</Lines>
  <Paragraphs>0</Paragraphs>
  <TotalTime>0</TotalTime>
  <ScaleCrop>false</ScaleCrop>
  <LinksUpToDate>false</LinksUpToDate>
  <CharactersWithSpaces>4775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2026-06-09T08:32:40Z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