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版本号：ZCSP-渭南市-2026-0102120260617001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陕西省第十八届运动会视觉识别手册和标识使用管理规定设计项目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ZCSP-渭南市-2026-01021</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陕西隆利多项目管理咨询有限公司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陕西隆利多项目管理咨询有限公司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陕西省第十八届运动会视觉识别手册和标识使用管理规定设计项目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ZCSP-渭南市-2026-01021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陕西省第十八届运动会视觉识别手册和标识使用管理规定设计项目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陕西省第十八届运动会视觉识别手册和标识使用管理规定设计项目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采购包1（陕西省第十八届运动会视觉识别手册和标识使用管理规定设计项目）：属于专门面向中小企业采购。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pPr>
        <w:pStyle w:val="null3"/>
      </w:pPr>
      <w:r>
        <w:rPr>
          <w:rFonts w:ascii="仿宋_GB2312" w:hAnsi="仿宋_GB2312" w:cs="仿宋_GB2312" w:eastAsia="仿宋_GB2312"/>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4、税收缴纳证明：提供2025年11月至提交响应文件截止时间前已缴纳的至少一个月的纳税证明或完税证明，依法免税的单位应提供相关证明材料； 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p>
      <w:pPr>
        <w:pStyle w:val="null3"/>
      </w:pPr>
      <w:r>
        <w:rPr>
          <w:rFonts w:ascii="仿宋_GB2312" w:hAnsi="仿宋_GB2312" w:cs="仿宋_GB2312" w:eastAsia="仿宋_GB2312"/>
        </w:rPr>
        <w:t>5、书面声明：参加本次政府采购活动前三年内在经营活动中没有重大违纪的书面声明；</w:t>
      </w:r>
    </w:p>
    <w:p>
      <w:pPr>
        <w:pStyle w:val="null3"/>
      </w:pPr>
      <w:r>
        <w:rPr>
          <w:rFonts w:ascii="仿宋_GB2312" w:hAnsi="仿宋_GB2312" w:cs="仿宋_GB2312" w:eastAsia="仿宋_GB2312"/>
        </w:rPr>
        <w:t>6、书面声明：具有履行合同所必须的设备和专业技术能力；</w:t>
      </w:r>
    </w:p>
    <w:p>
      <w:pPr>
        <w:pStyle w:val="null3"/>
      </w:pPr>
      <w:r>
        <w:rPr>
          <w:rFonts w:ascii="仿宋_GB2312" w:hAnsi="仿宋_GB2312" w:cs="仿宋_GB2312" w:eastAsia="仿宋_GB2312"/>
        </w:rPr>
        <w:t>7、法定代表人身份证明：法定代表人或负责人参与投标时需提供法定代表人或负责人资格证明书（附法定代表人或负责人身份证复印件）；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8、被授权人身份证明：被授权人参与投标时需提供法定代表人或负责人授权委托书（附法定代表人或负责人及被授权人身份证复印件、被委托人本单位近三个月内任意一个月社保缴纳证明）</w:t>
      </w:r>
    </w:p>
    <w:p>
      <w:pPr>
        <w:pStyle w:val="null3"/>
      </w:pPr>
      <w:r>
        <w:rPr>
          <w:rFonts w:ascii="仿宋_GB2312" w:hAnsi="仿宋_GB2312" w:cs="仿宋_GB2312" w:eastAsia="仿宋_GB2312"/>
        </w:rPr>
        <w:t>9、投标人信用：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石晨晛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19329797961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陕西隆利多项目管理咨询有限公司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陕西省渭南市高新技术产业开发区朝阳大街西段23号盐务公司1楼103室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徐赵杨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0913-2606177 15991297816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代理服务费收费标准：招标代理费按照《招标代理服务收费管理暂行办法》计价格【2002】1980号文和发改价格【2011】534号文收取，单项目不足5000元的，按5000元计取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陕西隆利多项目管理咨询有限公司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陕西隆利多项目管理咨询有限公司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陕西隆利多项目管理咨询有限公司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服务成果、标识体系、图文视频、设计素材、规范文件、衍生作品及全部相关知识产权，全部归采购方所有。服务方仅在合同履约期内拥有项目必要使用权，不得商用、转借、二次授权或私自留存。合同终止后，服务方须全部移交成果资料并彻底删除备份，不得继续使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一、总体标准 1. 全面按照采购文件、投标文件、采购合同及行业相关规范完成全部服务内容，整体履约情况符合项目既定要求。 2. 严格遵照约定时间节点开展工作，按时完成阶段性及全部实施任务，配合完成两次既定验收核查。 3. 服务全过程合规有序，无重大失误、违规行为及各类责任事故。 二、技术验收通用标准 1. 完整完成本项目视觉识别手册和标识使用管理规定设计工作，整体视觉体系统一完整、地域特色与体育属性突出，满足省运会品牌标准化、规范化、特色化建设核心需求。 2. 内容创作、制作质量达标，内容导向合规，整体视觉呈现与规范落地效果达到赛事预期宣传与形象建设目标。 3. 所有设计成果设计成果及管理文件版权合法合规，无侵权、版权纠纷，可全权用于本届省运会官方各类宣传、场景布置、物料制作等工作。设计成果适配印刷、大屏、新媒体、文创等各类应用载体，可正常编辑落地，无技术缺陷，可有效规避视觉乱象、标识滥用、版权及舆论合规风险。 4. 项目相关素材、成果资料完整齐全，版权使用合法合规，可顺利完成交接归档。 三、商务验收通用标准 1. 服务周期内人员配置稳定，履职状态良好，日常工作对接沟通顺畅高效。 2. 严格遵守合同各项约定条款，履行相应权责义务，不存在转包分包等违规情形。 3. 各项工作台账记录完整规范，资料整理符合归档与核查相关要求。 4. 积极配合项目管理、验收核查及问题整改工作，后续质保相关服务保障到位。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联系人：徐赵杨</w:t>
      </w:r>
    </w:p>
    <w:p>
      <w:pPr>
        <w:pStyle w:val="null3"/>
      </w:pPr>
      <w:r>
        <w:rPr>
          <w:rFonts w:ascii="仿宋_GB2312" w:hAnsi="仿宋_GB2312" w:cs="仿宋_GB2312" w:eastAsia="仿宋_GB2312"/>
        </w:rPr>
        <w:t>联系电话：15991297816</w:t>
      </w:r>
    </w:p>
    <w:p>
      <w:pPr>
        <w:pStyle w:val="null3"/>
      </w:pPr>
      <w:r>
        <w:rPr>
          <w:rFonts w:ascii="仿宋_GB2312" w:hAnsi="仿宋_GB2312" w:cs="仿宋_GB2312" w:eastAsia="仿宋_GB2312"/>
        </w:rPr>
        <w:t>地址：陕西省渭南市高新技术产业开发区朝阳大街西段23号盐务公司1楼103室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陕西省第十八届运动会视觉识别手册和标识使用管理规定设计项目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视觉识别手册和标识使用管理规定设计项目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标的名称：视觉识别手册和标识使用管理规定设计项目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一、服务指标的具体要求</w:t>
            </w:r>
          </w:p>
          <w:p>
            <w:pPr>
              <w:pStyle w:val="null3"/>
              <w:ind w:firstLine="640"/>
              <w:jc w:val="both"/>
            </w:pPr>
            <w:r>
              <w:rPr>
                <w:rFonts w:ascii="仿宋_GB2312" w:hAnsi="仿宋_GB2312" w:cs="仿宋_GB2312" w:eastAsia="仿宋_GB2312"/>
                <w:sz w:val="21"/>
              </w:rPr>
              <w:t>（一）基础视觉系统</w:t>
            </w:r>
          </w:p>
          <w:p>
            <w:pPr>
              <w:pStyle w:val="null3"/>
              <w:ind w:firstLine="640"/>
              <w:jc w:val="both"/>
            </w:pPr>
            <w:r>
              <w:rPr>
                <w:rFonts w:ascii="仿宋_GB2312" w:hAnsi="仿宋_GB2312" w:cs="仿宋_GB2312" w:eastAsia="仿宋_GB2312"/>
                <w:sz w:val="21"/>
              </w:rPr>
              <w:t>1. 核心标识规范</w:t>
            </w:r>
          </w:p>
          <w:p>
            <w:pPr>
              <w:pStyle w:val="null3"/>
              <w:ind w:firstLine="640"/>
              <w:jc w:val="both"/>
            </w:pPr>
            <w:r>
              <w:rPr>
                <w:rFonts w:ascii="仿宋_GB2312" w:hAnsi="仿宋_GB2312" w:cs="仿宋_GB2312" w:eastAsia="仿宋_GB2312"/>
                <w:sz w:val="21"/>
              </w:rPr>
              <w:t>• 会徽（动感渭南）：标准图形、网格制图、安全空间、最小使用尺寸、比例锁定；彩色/单色（黑/白/反白）三套；明确禁用变形、禁用配色、禁用组合。</w:t>
            </w:r>
          </w:p>
          <w:p>
            <w:pPr>
              <w:pStyle w:val="null3"/>
              <w:ind w:firstLine="640"/>
              <w:jc w:val="both"/>
            </w:pPr>
            <w:r>
              <w:rPr>
                <w:rFonts w:ascii="仿宋_GB2312" w:hAnsi="仿宋_GB2312" w:cs="仿宋_GB2312" w:eastAsia="仿宋_GB2312"/>
                <w:sz w:val="21"/>
              </w:rPr>
              <w:t>• 吉祥物（麦穗儿）：标准造型、网格、安全区、最小尺寸；站姿/动态/简化版三套；表情、动作规范，禁止篡改五官、比例、麦穗元素。</w:t>
            </w:r>
          </w:p>
          <w:p>
            <w:pPr>
              <w:pStyle w:val="null3"/>
              <w:jc w:val="both"/>
            </w:pPr>
            <w:r>
              <w:rPr>
                <w:rFonts w:ascii="仿宋_GB2312" w:hAnsi="仿宋_GB2312" w:cs="仿宋_GB2312" w:eastAsia="仿宋_GB2312"/>
                <w:sz w:val="21"/>
              </w:rPr>
              <w:t>• 主题口号（激情省运 跃动三秦）：标准字、组合规范、安全区、最小字号。</w:t>
            </w:r>
          </w:p>
          <w:p>
            <w:pPr>
              <w:pStyle w:val="null3"/>
              <w:ind w:firstLine="640"/>
              <w:jc w:val="both"/>
            </w:pPr>
            <w:r>
              <w:rPr>
                <w:rFonts w:ascii="仿宋_GB2312" w:hAnsi="仿宋_GB2312" w:cs="仿宋_GB2312" w:eastAsia="仿宋_GB2312"/>
                <w:sz w:val="21"/>
              </w:rPr>
              <w:t>2. 标准色彩系统</w:t>
            </w:r>
          </w:p>
          <w:p>
            <w:pPr>
              <w:pStyle w:val="null3"/>
              <w:ind w:firstLine="640"/>
              <w:jc w:val="both"/>
            </w:pPr>
            <w:r>
              <w:rPr>
                <w:rFonts w:ascii="仿宋_GB2312" w:hAnsi="仿宋_GB2312" w:cs="仿宋_GB2312" w:eastAsia="仿宋_GB2312"/>
                <w:sz w:val="21"/>
              </w:rPr>
              <w:t>• 主色调：赤诚红、旭日橙</w:t>
            </w:r>
          </w:p>
          <w:p>
            <w:pPr>
              <w:pStyle w:val="null3"/>
              <w:ind w:firstLine="640"/>
              <w:jc w:val="both"/>
            </w:pPr>
            <w:r>
              <w:rPr>
                <w:rFonts w:ascii="仿宋_GB2312" w:hAnsi="仿宋_GB2312" w:cs="仿宋_GB2312" w:eastAsia="仿宋_GB2312"/>
                <w:sz w:val="21"/>
              </w:rPr>
              <w:t>• 辅助色：黄河黄、渭水蓝、华山绿、麦穗金、跃动绿、科技蓝</w:t>
            </w:r>
          </w:p>
          <w:p>
            <w:pPr>
              <w:pStyle w:val="null3"/>
              <w:ind w:firstLine="640"/>
              <w:jc w:val="both"/>
            </w:pPr>
            <w:r>
              <w:rPr>
                <w:rFonts w:ascii="仿宋_GB2312" w:hAnsi="仿宋_GB2312" w:cs="仿宋_GB2312" w:eastAsia="仿宋_GB2312"/>
                <w:sz w:val="21"/>
              </w:rPr>
              <w:t>• 色值：CMYK、RGB、HEX、PANTONE四套精准值；明确禁用色、渐变、叠印规范。</w:t>
            </w:r>
          </w:p>
          <w:p>
            <w:pPr>
              <w:pStyle w:val="null3"/>
              <w:ind w:firstLine="640"/>
              <w:jc w:val="both"/>
            </w:pPr>
            <w:r>
              <w:rPr>
                <w:rFonts w:ascii="仿宋_GB2312" w:hAnsi="仿宋_GB2312" w:cs="仿宋_GB2312" w:eastAsia="仿宋_GB2312"/>
                <w:sz w:val="21"/>
              </w:rPr>
              <w:t>3. 标准字体系统</w:t>
            </w:r>
          </w:p>
          <w:p>
            <w:pPr>
              <w:pStyle w:val="null3"/>
              <w:ind w:firstLine="640"/>
              <w:jc w:val="both"/>
            </w:pPr>
            <w:r>
              <w:rPr>
                <w:rFonts w:ascii="仿宋_GB2312" w:hAnsi="仿宋_GB2312" w:cs="仿宋_GB2312" w:eastAsia="仿宋_GB2312"/>
                <w:sz w:val="21"/>
              </w:rPr>
              <w:t>• 中文：标题/正文/注释三级，适配印刷与屏幕。</w:t>
            </w:r>
          </w:p>
          <w:p>
            <w:pPr>
              <w:pStyle w:val="null3"/>
              <w:ind w:firstLine="640"/>
              <w:jc w:val="both"/>
            </w:pPr>
            <w:r>
              <w:rPr>
                <w:rFonts w:ascii="仿宋_GB2312" w:hAnsi="仿宋_GB2312" w:cs="仿宋_GB2312" w:eastAsia="仿宋_GB2312"/>
                <w:sz w:val="21"/>
              </w:rPr>
              <w:t>• 英文/数字：无衬线粗体，与中文风格统一。</w:t>
            </w:r>
          </w:p>
          <w:p>
            <w:pPr>
              <w:pStyle w:val="null3"/>
              <w:ind w:firstLine="640"/>
              <w:jc w:val="both"/>
            </w:pPr>
            <w:r>
              <w:rPr>
                <w:rFonts w:ascii="仿宋_GB2312" w:hAnsi="仿宋_GB2312" w:cs="仿宋_GB2312" w:eastAsia="仿宋_GB2312"/>
                <w:sz w:val="21"/>
              </w:rPr>
              <w:t>• 版权：提供商用授权字体包，无版权风险。</w:t>
            </w:r>
          </w:p>
          <w:p>
            <w:pPr>
              <w:pStyle w:val="null3"/>
              <w:ind w:firstLine="640"/>
              <w:jc w:val="both"/>
            </w:pPr>
            <w:r>
              <w:rPr>
                <w:rFonts w:ascii="仿宋_GB2312" w:hAnsi="仿宋_GB2312" w:cs="仿宋_GB2312" w:eastAsia="仿宋_GB2312"/>
                <w:sz w:val="21"/>
              </w:rPr>
              <w:t>4. 辅助图形</w:t>
            </w:r>
          </w:p>
          <w:p>
            <w:pPr>
              <w:pStyle w:val="null3"/>
              <w:ind w:firstLine="640"/>
              <w:jc w:val="both"/>
            </w:pPr>
            <w:r>
              <w:rPr>
                <w:rFonts w:ascii="仿宋_GB2312" w:hAnsi="仿宋_GB2312" w:cs="仿宋_GB2312" w:eastAsia="仿宋_GB2312"/>
                <w:sz w:val="21"/>
              </w:rPr>
              <w:t>• 核心元素：三河交汇、华山、飘带、科技、运动人形</w:t>
            </w:r>
          </w:p>
          <w:p>
            <w:pPr>
              <w:pStyle w:val="null3"/>
              <w:ind w:firstLine="640"/>
              <w:jc w:val="both"/>
            </w:pPr>
            <w:r>
              <w:rPr>
                <w:rFonts w:ascii="仿宋_GB2312" w:hAnsi="仿宋_GB2312" w:cs="仿宋_GB2312" w:eastAsia="仿宋_GB2312"/>
                <w:sz w:val="21"/>
              </w:rPr>
              <w:t>• 设计：主辅助图形+延展图形+底纹+边框；规范组合、辅助图形应用。</w:t>
            </w:r>
          </w:p>
          <w:p>
            <w:pPr>
              <w:pStyle w:val="null3"/>
              <w:ind w:firstLine="640"/>
              <w:jc w:val="both"/>
            </w:pPr>
            <w:r>
              <w:rPr>
                <w:rFonts w:ascii="仿宋_GB2312" w:hAnsi="仿宋_GB2312" w:cs="仿宋_GB2312" w:eastAsia="仿宋_GB2312"/>
                <w:sz w:val="21"/>
              </w:rPr>
              <w:t>（二）应用视觉系统</w:t>
            </w:r>
          </w:p>
          <w:p>
            <w:pPr>
              <w:pStyle w:val="null3"/>
              <w:ind w:firstLine="640"/>
              <w:jc w:val="both"/>
            </w:pPr>
            <w:r>
              <w:rPr>
                <w:rFonts w:ascii="仿宋_GB2312" w:hAnsi="仿宋_GB2312" w:cs="仿宋_GB2312" w:eastAsia="仿宋_GB2312"/>
                <w:sz w:val="21"/>
              </w:rPr>
              <w:t>1. 赛事核心物料</w:t>
            </w:r>
          </w:p>
          <w:p>
            <w:pPr>
              <w:pStyle w:val="null3"/>
              <w:ind w:firstLine="640"/>
              <w:jc w:val="both"/>
            </w:pPr>
            <w:r>
              <w:rPr>
                <w:rFonts w:ascii="仿宋_GB2312" w:hAnsi="仿宋_GB2312" w:cs="仿宋_GB2312" w:eastAsia="仿宋_GB2312"/>
                <w:sz w:val="21"/>
              </w:rPr>
              <w:t>• 证件：工作证、参赛证、记者证、志愿者证、通行证</w:t>
            </w:r>
          </w:p>
          <w:p>
            <w:pPr>
              <w:pStyle w:val="null3"/>
              <w:ind w:firstLine="640"/>
              <w:jc w:val="both"/>
            </w:pPr>
            <w:r>
              <w:rPr>
                <w:rFonts w:ascii="仿宋_GB2312" w:hAnsi="仿宋_GB2312" w:cs="仿宋_GB2312" w:eastAsia="仿宋_GB2312"/>
                <w:sz w:val="21"/>
              </w:rPr>
              <w:t>• 办公：信纸、信封、名片、档案袋、笔记本、笔、纸杯、桌签、手提袋</w:t>
            </w:r>
          </w:p>
          <w:p>
            <w:pPr>
              <w:pStyle w:val="null3"/>
              <w:ind w:firstLine="640"/>
              <w:jc w:val="both"/>
            </w:pPr>
            <w:r>
              <w:rPr>
                <w:rFonts w:ascii="仿宋_GB2312" w:hAnsi="仿宋_GB2312" w:cs="仿宋_GB2312" w:eastAsia="仿宋_GB2312"/>
                <w:sz w:val="21"/>
              </w:rPr>
              <w:t>• 宣传：主视觉海报、系列海报、道旗、横幅、易拉宝、展板、邀请函</w:t>
            </w:r>
          </w:p>
          <w:p>
            <w:pPr>
              <w:pStyle w:val="null3"/>
              <w:ind w:firstLine="640"/>
              <w:jc w:val="both"/>
            </w:pPr>
            <w:r>
              <w:rPr>
                <w:rFonts w:ascii="仿宋_GB2312" w:hAnsi="仿宋_GB2312" w:cs="仿宋_GB2312" w:eastAsia="仿宋_GB2312"/>
                <w:sz w:val="21"/>
              </w:rPr>
              <w:t>• 场馆：主形象墙、指示系统、地面标识、围挡、竞赛项目图标规范</w:t>
            </w:r>
          </w:p>
          <w:p>
            <w:pPr>
              <w:pStyle w:val="null3"/>
              <w:ind w:firstLine="640"/>
              <w:jc w:val="both"/>
            </w:pPr>
            <w:r>
              <w:rPr>
                <w:rFonts w:ascii="仿宋_GB2312" w:hAnsi="仿宋_GB2312" w:cs="仿宋_GB2312" w:eastAsia="仿宋_GB2312"/>
                <w:sz w:val="21"/>
              </w:rPr>
              <w:t>• 衍生品：徽章、冰箱贴、钥匙扣、帆布袋、水杯</w:t>
            </w:r>
          </w:p>
          <w:p>
            <w:pPr>
              <w:pStyle w:val="null3"/>
              <w:ind w:firstLine="640"/>
              <w:jc w:val="both"/>
            </w:pPr>
            <w:r>
              <w:rPr>
                <w:rFonts w:ascii="仿宋_GB2312" w:hAnsi="仿宋_GB2312" w:cs="仿宋_GB2312" w:eastAsia="仿宋_GB2312"/>
                <w:sz w:val="21"/>
              </w:rPr>
              <w:t>2. 数字媒体适配（重点）</w:t>
            </w:r>
          </w:p>
          <w:p>
            <w:pPr>
              <w:pStyle w:val="null3"/>
              <w:ind w:firstLine="640"/>
              <w:jc w:val="both"/>
            </w:pPr>
            <w:r>
              <w:rPr>
                <w:rFonts w:ascii="仿宋_GB2312" w:hAnsi="仿宋_GB2312" w:cs="仿宋_GB2312" w:eastAsia="仿宋_GB2312"/>
                <w:sz w:val="21"/>
              </w:rPr>
              <w:t>• 适配比例：1:1、16:9、9:16</w:t>
            </w:r>
          </w:p>
          <w:p>
            <w:pPr>
              <w:pStyle w:val="null3"/>
              <w:ind w:firstLine="640"/>
              <w:jc w:val="both"/>
            </w:pPr>
            <w:r>
              <w:rPr>
                <w:rFonts w:ascii="仿宋_GB2312" w:hAnsi="仿宋_GB2312" w:cs="仿宋_GB2312" w:eastAsia="仿宋_GB2312"/>
                <w:sz w:val="21"/>
              </w:rPr>
              <w:t>• 提供：头像、主页背景、直播背景、短视频封面、表情包（麦穗儿）</w:t>
            </w:r>
          </w:p>
          <w:p>
            <w:pPr>
              <w:pStyle w:val="null3"/>
              <w:ind w:firstLine="640"/>
              <w:jc w:val="both"/>
            </w:pPr>
            <w:r>
              <w:rPr>
                <w:rFonts w:ascii="仿宋_GB2312" w:hAnsi="仿宋_GB2312" w:cs="仿宋_GB2312" w:eastAsia="仿宋_GB2312"/>
                <w:sz w:val="21"/>
              </w:rPr>
              <w:t>（三）手册编制规范</w:t>
            </w:r>
          </w:p>
          <w:p>
            <w:pPr>
              <w:pStyle w:val="null3"/>
              <w:ind w:firstLine="640"/>
              <w:jc w:val="both"/>
            </w:pPr>
            <w:r>
              <w:rPr>
                <w:rFonts w:ascii="仿宋_GB2312" w:hAnsi="仿宋_GB2312" w:cs="仿宋_GB2312" w:eastAsia="仿宋_GB2312"/>
                <w:sz w:val="21"/>
              </w:rPr>
              <w:t>• 开本：不小于A4；页数：完整版≥80页、精简版≥30页</w:t>
            </w:r>
          </w:p>
          <w:p>
            <w:pPr>
              <w:pStyle w:val="null3"/>
              <w:ind w:firstLine="640"/>
              <w:jc w:val="both"/>
            </w:pPr>
            <w:r>
              <w:rPr>
                <w:rFonts w:ascii="仿宋_GB2312" w:hAnsi="仿宋_GB2312" w:cs="仿宋_GB2312" w:eastAsia="仿宋_GB2312"/>
                <w:sz w:val="21"/>
              </w:rPr>
              <w:t>• 格式：PDF（高清300dpi）、CDR/AI源文件、字体包、色值表</w:t>
            </w:r>
          </w:p>
          <w:p>
            <w:pPr>
              <w:pStyle w:val="null3"/>
              <w:ind w:firstLine="640"/>
              <w:jc w:val="both"/>
            </w:pPr>
            <w:r>
              <w:rPr>
                <w:rFonts w:ascii="仿宋_GB2312" w:hAnsi="仿宋_GB2312" w:cs="仿宋_GB2312" w:eastAsia="仿宋_GB2312"/>
                <w:sz w:val="21"/>
              </w:rPr>
              <w:t>• 内容：基础系统→应用系统→禁用规范→版权声明→源文件索引</w:t>
            </w:r>
          </w:p>
          <w:p>
            <w:pPr>
              <w:pStyle w:val="null3"/>
              <w:ind w:firstLine="640"/>
              <w:jc w:val="both"/>
            </w:pPr>
            <w:r>
              <w:rPr>
                <w:rFonts w:ascii="仿宋_GB2312" w:hAnsi="仿宋_GB2312" w:cs="仿宋_GB2312" w:eastAsia="仿宋_GB2312"/>
                <w:sz w:val="21"/>
              </w:rPr>
              <w:t>• 语言：中文简体，专业规范，无歧义</w:t>
            </w:r>
          </w:p>
          <w:p>
            <w:pPr>
              <w:pStyle w:val="null3"/>
              <w:ind w:firstLine="640"/>
              <w:jc w:val="both"/>
            </w:pPr>
            <w:r>
              <w:rPr>
                <w:rFonts w:ascii="仿宋_GB2312" w:hAnsi="仿宋_GB2312" w:cs="仿宋_GB2312" w:eastAsia="仿宋_GB2312"/>
                <w:sz w:val="21"/>
              </w:rPr>
              <w:t>二、标识使用管理规定设计具体要求</w:t>
            </w:r>
          </w:p>
          <w:p>
            <w:pPr>
              <w:pStyle w:val="null3"/>
              <w:ind w:firstLine="640"/>
              <w:jc w:val="both"/>
            </w:pPr>
            <w:r>
              <w:rPr>
                <w:rFonts w:ascii="仿宋_GB2312" w:hAnsi="仿宋_GB2312" w:cs="仿宋_GB2312" w:eastAsia="仿宋_GB2312"/>
                <w:sz w:val="21"/>
              </w:rPr>
              <w:t>（一）法规依据</w:t>
            </w:r>
          </w:p>
          <w:p>
            <w:pPr>
              <w:pStyle w:val="null3"/>
              <w:ind w:firstLine="640"/>
              <w:jc w:val="both"/>
            </w:pPr>
            <w:r>
              <w:rPr>
                <w:rFonts w:ascii="仿宋_GB2312" w:hAnsi="仿宋_GB2312" w:cs="仿宋_GB2312" w:eastAsia="仿宋_GB2312"/>
                <w:sz w:val="21"/>
              </w:rPr>
              <w:t>• 《中华人民共和国政府采购法》</w:t>
            </w:r>
          </w:p>
          <w:p>
            <w:pPr>
              <w:pStyle w:val="null3"/>
              <w:ind w:firstLine="640"/>
              <w:jc w:val="both"/>
            </w:pPr>
            <w:r>
              <w:rPr>
                <w:rFonts w:ascii="仿宋_GB2312" w:hAnsi="仿宋_GB2312" w:cs="仿宋_GB2312" w:eastAsia="仿宋_GB2312"/>
                <w:sz w:val="21"/>
              </w:rPr>
              <w:t>• 《特殊标志管理条例》</w:t>
            </w:r>
          </w:p>
          <w:p>
            <w:pPr>
              <w:pStyle w:val="null3"/>
              <w:ind w:firstLine="640"/>
              <w:jc w:val="both"/>
            </w:pPr>
            <w:r>
              <w:rPr>
                <w:rFonts w:ascii="仿宋_GB2312" w:hAnsi="仿宋_GB2312" w:cs="仿宋_GB2312" w:eastAsia="仿宋_GB2312"/>
                <w:sz w:val="21"/>
              </w:rPr>
              <w:t>• 《中华人民共和国著作权法》</w:t>
            </w:r>
          </w:p>
          <w:p>
            <w:pPr>
              <w:pStyle w:val="null3"/>
              <w:ind w:firstLine="640"/>
              <w:jc w:val="both"/>
            </w:pPr>
            <w:r>
              <w:rPr>
                <w:rFonts w:ascii="仿宋_GB2312" w:hAnsi="仿宋_GB2312" w:cs="仿宋_GB2312" w:eastAsia="仿宋_GB2312"/>
                <w:sz w:val="21"/>
              </w:rPr>
              <w:t>• 《陕西省第十八届运动会筹备工作总体方案》</w:t>
            </w:r>
          </w:p>
          <w:p>
            <w:pPr>
              <w:pStyle w:val="null3"/>
              <w:ind w:firstLine="640"/>
              <w:jc w:val="both"/>
            </w:pPr>
            <w:r>
              <w:rPr>
                <w:rFonts w:ascii="仿宋_GB2312" w:hAnsi="仿宋_GB2312" w:cs="仿宋_GB2312" w:eastAsia="仿宋_GB2312"/>
                <w:sz w:val="21"/>
              </w:rPr>
              <w:t>（二）管理规定核心内容</w:t>
            </w:r>
          </w:p>
          <w:p>
            <w:pPr>
              <w:pStyle w:val="null3"/>
              <w:ind w:firstLine="640"/>
              <w:jc w:val="both"/>
            </w:pPr>
            <w:r>
              <w:rPr>
                <w:rFonts w:ascii="仿宋_GB2312" w:hAnsi="仿宋_GB2312" w:cs="仿宋_GB2312" w:eastAsia="仿宋_GB2312"/>
                <w:sz w:val="21"/>
              </w:rPr>
              <w:t>1. 总则</w:t>
            </w:r>
          </w:p>
          <w:p>
            <w:pPr>
              <w:pStyle w:val="null3"/>
              <w:ind w:firstLine="640"/>
              <w:jc w:val="both"/>
            </w:pPr>
            <w:r>
              <w:rPr>
                <w:rFonts w:ascii="仿宋_GB2312" w:hAnsi="仿宋_GB2312" w:cs="仿宋_GB2312" w:eastAsia="仿宋_GB2312"/>
                <w:sz w:val="21"/>
              </w:rPr>
              <w:t>• 标识范围：会徽、吉祥物、主题口号、标准字、标准色、辅助图形、整体视觉形象</w:t>
            </w:r>
          </w:p>
          <w:p>
            <w:pPr>
              <w:pStyle w:val="null3"/>
              <w:ind w:firstLine="640"/>
              <w:jc w:val="both"/>
            </w:pPr>
            <w:r>
              <w:rPr>
                <w:rFonts w:ascii="仿宋_GB2312" w:hAnsi="仿宋_GB2312" w:cs="仿宋_GB2312" w:eastAsia="仿宋_GB2312"/>
                <w:sz w:val="21"/>
              </w:rPr>
              <w:t>• 权属：著作权永久独家归省十八运筹委会所有，设计方仅保留署名权</w:t>
            </w:r>
          </w:p>
          <w:p>
            <w:pPr>
              <w:pStyle w:val="null3"/>
              <w:ind w:firstLine="640"/>
              <w:jc w:val="both"/>
            </w:pPr>
            <w:r>
              <w:rPr>
                <w:rFonts w:ascii="仿宋_GB2312" w:hAnsi="仿宋_GB2312" w:cs="仿宋_GB2312" w:eastAsia="仿宋_GB2312"/>
                <w:sz w:val="21"/>
              </w:rPr>
              <w:t>• 适用范围：赛事官方活动、宣传、媒体、场馆、衍生品、赞助、授权使用</w:t>
            </w:r>
          </w:p>
          <w:p>
            <w:pPr>
              <w:pStyle w:val="null3"/>
              <w:ind w:firstLine="640"/>
              <w:jc w:val="both"/>
            </w:pPr>
            <w:r>
              <w:rPr>
                <w:rFonts w:ascii="仿宋_GB2312" w:hAnsi="仿宋_GB2312" w:cs="仿宋_GB2312" w:eastAsia="仿宋_GB2312"/>
                <w:sz w:val="21"/>
              </w:rPr>
              <w:t>2. 使用权限与审批</w:t>
            </w:r>
          </w:p>
          <w:p>
            <w:pPr>
              <w:pStyle w:val="null3"/>
              <w:ind w:firstLine="640"/>
              <w:jc w:val="both"/>
            </w:pPr>
            <w:r>
              <w:rPr>
                <w:rFonts w:ascii="仿宋_GB2312" w:hAnsi="仿宋_GB2312" w:cs="仿宋_GB2312" w:eastAsia="仿宋_GB2312"/>
                <w:sz w:val="21"/>
              </w:rPr>
              <w:t>• 官方无偿使用：筹委会、组委会、市县代表团、合作媒体</w:t>
            </w:r>
          </w:p>
          <w:p>
            <w:pPr>
              <w:pStyle w:val="null3"/>
              <w:ind w:firstLine="640"/>
              <w:jc w:val="both"/>
            </w:pPr>
            <w:r>
              <w:rPr>
                <w:rFonts w:ascii="仿宋_GB2312" w:hAnsi="仿宋_GB2312" w:cs="仿宋_GB2312" w:eastAsia="仿宋_GB2312"/>
                <w:sz w:val="21"/>
              </w:rPr>
              <w:t>• 授权有偿使用：赞助商、合作伙伴、衍生品开发、商业宣传</w:t>
            </w:r>
          </w:p>
          <w:p>
            <w:pPr>
              <w:pStyle w:val="null3"/>
              <w:ind w:firstLine="640"/>
              <w:jc w:val="both"/>
            </w:pPr>
            <w:r>
              <w:rPr>
                <w:rFonts w:ascii="仿宋_GB2312" w:hAnsi="仿宋_GB2312" w:cs="仿宋_GB2312" w:eastAsia="仿宋_GB2312"/>
                <w:sz w:val="21"/>
              </w:rPr>
              <w:t>• 禁止私自使用：未经授权不得使用、修改、复制、传播</w:t>
            </w:r>
          </w:p>
          <w:p>
            <w:pPr>
              <w:pStyle w:val="null3"/>
              <w:ind w:firstLine="640"/>
              <w:jc w:val="both"/>
            </w:pPr>
            <w:r>
              <w:rPr>
                <w:rFonts w:ascii="仿宋_GB2312" w:hAnsi="仿宋_GB2312" w:cs="仿宋_GB2312" w:eastAsia="仿宋_GB2312"/>
                <w:sz w:val="21"/>
              </w:rPr>
              <w:t>3. 使用规范（与VIS绑定）</w:t>
            </w:r>
          </w:p>
          <w:p>
            <w:pPr>
              <w:pStyle w:val="null3"/>
              <w:ind w:firstLine="640"/>
              <w:jc w:val="both"/>
            </w:pPr>
            <w:r>
              <w:rPr>
                <w:rFonts w:ascii="仿宋_GB2312" w:hAnsi="仿宋_GB2312" w:cs="仿宋_GB2312" w:eastAsia="仿宋_GB2312"/>
                <w:sz w:val="21"/>
              </w:rPr>
              <w:t>• 严格遵循VIS色彩、比例、组合、安全区、最小尺寸</w:t>
            </w:r>
          </w:p>
          <w:p>
            <w:pPr>
              <w:pStyle w:val="null3"/>
              <w:ind w:firstLine="640"/>
              <w:jc w:val="both"/>
            </w:pPr>
            <w:r>
              <w:rPr>
                <w:rFonts w:ascii="仿宋_GB2312" w:hAnsi="仿宋_GB2312" w:cs="仿宋_GB2312" w:eastAsia="仿宋_GB2312"/>
                <w:sz w:val="21"/>
              </w:rPr>
              <w:t>• 禁止：变形、拉伸、倾斜、变色、拼接、叠加无关元素</w:t>
            </w:r>
          </w:p>
          <w:p>
            <w:pPr>
              <w:pStyle w:val="null3"/>
              <w:ind w:firstLine="640"/>
              <w:jc w:val="both"/>
            </w:pPr>
            <w:r>
              <w:rPr>
                <w:rFonts w:ascii="仿宋_GB2312" w:hAnsi="仿宋_GB2312" w:cs="仿宋_GB2312" w:eastAsia="仿宋_GB2312"/>
                <w:sz w:val="21"/>
              </w:rPr>
              <w:t>• 禁止用于：政治、宗教、低俗、违法违规场景</w:t>
            </w:r>
          </w:p>
          <w:p>
            <w:pPr>
              <w:pStyle w:val="null3"/>
              <w:ind w:firstLine="640"/>
              <w:jc w:val="both"/>
            </w:pPr>
            <w:r>
              <w:rPr>
                <w:rFonts w:ascii="仿宋_GB2312" w:hAnsi="仿宋_GB2312" w:cs="仿宋_GB2312" w:eastAsia="仿宋_GB2312"/>
                <w:sz w:val="21"/>
              </w:rPr>
              <w:t>• 明确：违规情形、整改要求、处罚措施</w:t>
            </w:r>
          </w:p>
          <w:p>
            <w:pPr>
              <w:pStyle w:val="null3"/>
              <w:ind w:firstLine="640"/>
              <w:jc w:val="both"/>
            </w:pPr>
            <w:r>
              <w:rPr>
                <w:rFonts w:ascii="仿宋_GB2312" w:hAnsi="仿宋_GB2312" w:cs="仿宋_GB2312" w:eastAsia="仿宋_GB2312"/>
                <w:sz w:val="21"/>
              </w:rPr>
              <w:t>4. 版权保护与维权</w:t>
            </w:r>
          </w:p>
          <w:p>
            <w:pPr>
              <w:pStyle w:val="null3"/>
              <w:ind w:firstLine="640"/>
              <w:jc w:val="both"/>
            </w:pPr>
            <w:r>
              <w:rPr>
                <w:rFonts w:ascii="仿宋_GB2312" w:hAnsi="仿宋_GB2312" w:cs="仿宋_GB2312" w:eastAsia="仿宋_GB2312"/>
                <w:sz w:val="21"/>
              </w:rPr>
              <w:t>• 协助办理：特殊标志登记、商标注册、版权登记</w:t>
            </w:r>
          </w:p>
          <w:p>
            <w:pPr>
              <w:pStyle w:val="null3"/>
              <w:ind w:firstLine="640"/>
              <w:jc w:val="both"/>
            </w:pPr>
            <w:r>
              <w:rPr>
                <w:rFonts w:ascii="仿宋_GB2312" w:hAnsi="仿宋_GB2312" w:cs="仿宋_GB2312" w:eastAsia="仿宋_GB2312"/>
                <w:sz w:val="21"/>
              </w:rPr>
              <w:t>• 建立：侵权监测、投诉、查处、追责机制；赔偿标准、法律责任</w:t>
            </w:r>
          </w:p>
          <w:p>
            <w:pPr>
              <w:pStyle w:val="null3"/>
              <w:ind w:firstLine="640"/>
              <w:jc w:val="both"/>
            </w:pPr>
            <w:r>
              <w:rPr>
                <w:rFonts w:ascii="仿宋_GB2312" w:hAnsi="仿宋_GB2312" w:cs="仿宋_GB2312" w:eastAsia="仿宋_GB2312"/>
                <w:sz w:val="21"/>
              </w:rPr>
              <w:t>（三）编制要求</w:t>
            </w:r>
          </w:p>
          <w:p>
            <w:pPr>
              <w:pStyle w:val="null3"/>
              <w:ind w:firstLine="640"/>
              <w:jc w:val="both"/>
            </w:pPr>
            <w:r>
              <w:rPr>
                <w:rFonts w:ascii="仿宋_GB2312" w:hAnsi="仿宋_GB2312" w:cs="仿宋_GB2312" w:eastAsia="仿宋_GB2312"/>
                <w:sz w:val="21"/>
              </w:rPr>
              <w:t>• 格式：正式公文格式，Word+PDF双版本</w:t>
            </w:r>
          </w:p>
          <w:p>
            <w:pPr>
              <w:pStyle w:val="null3"/>
              <w:ind w:firstLine="640"/>
              <w:jc w:val="both"/>
            </w:pPr>
            <w:r>
              <w:rPr>
                <w:rFonts w:ascii="仿宋_GB2312" w:hAnsi="仿宋_GB2312" w:cs="仿宋_GB2312" w:eastAsia="仿宋_GB2312"/>
                <w:sz w:val="21"/>
              </w:rPr>
              <w:t>• 配套：授权申请表、使用承诺书、违规整改通知书模板</w:t>
            </w:r>
          </w:p>
          <w:p>
            <w:pPr>
              <w:pStyle w:val="null3"/>
              <w:ind w:firstLine="640"/>
              <w:jc w:val="both"/>
            </w:pPr>
            <w:r>
              <w:rPr>
                <w:rFonts w:ascii="仿宋_GB2312" w:hAnsi="仿宋_GB2312" w:cs="仿宋_GB2312" w:eastAsia="仿宋_GB2312"/>
                <w:sz w:val="21"/>
              </w:rPr>
              <w:t>三、交付成果清单</w:t>
            </w:r>
          </w:p>
          <w:p>
            <w:pPr>
              <w:pStyle w:val="null3"/>
              <w:ind w:firstLine="640"/>
              <w:jc w:val="both"/>
            </w:pPr>
            <w:r>
              <w:rPr>
                <w:rFonts w:ascii="仿宋_GB2312" w:hAnsi="仿宋_GB2312" w:cs="仿宋_GB2312" w:eastAsia="仿宋_GB2312"/>
                <w:sz w:val="21"/>
              </w:rPr>
              <w:t>1. VIS手册：完整版PDF（300dpi）、精简版PDF</w:t>
            </w:r>
          </w:p>
          <w:p>
            <w:pPr>
              <w:pStyle w:val="null3"/>
              <w:ind w:firstLine="640"/>
              <w:jc w:val="both"/>
            </w:pPr>
            <w:r>
              <w:rPr>
                <w:rFonts w:ascii="仿宋_GB2312" w:hAnsi="仿宋_GB2312" w:cs="仿宋_GB2312" w:eastAsia="仿宋_GB2312"/>
                <w:sz w:val="21"/>
              </w:rPr>
              <w:t>2. 管理规定：Word（可编辑）、PDF（盖章版）、配套模板</w:t>
            </w:r>
          </w:p>
          <w:p>
            <w:pPr>
              <w:pStyle w:val="null3"/>
              <w:ind w:firstLine="640"/>
              <w:jc w:val="both"/>
            </w:pPr>
            <w:r>
              <w:rPr>
                <w:rFonts w:ascii="仿宋_GB2312" w:hAnsi="仿宋_GB2312" w:cs="仿宋_GB2312" w:eastAsia="仿宋_GB2312"/>
                <w:sz w:val="21"/>
              </w:rPr>
              <w:t>3. 基础文件：会徽/吉祥物/口号标准图（CDR+AI+PNG透明底）、色值表、字体包、网格规范图</w:t>
            </w:r>
          </w:p>
          <w:p>
            <w:pPr>
              <w:pStyle w:val="null3"/>
              <w:ind w:firstLine="640"/>
              <w:jc w:val="both"/>
            </w:pPr>
            <w:r>
              <w:rPr>
                <w:rFonts w:ascii="仿宋_GB2312" w:hAnsi="仿宋_GB2312" w:cs="仿宋_GB2312" w:eastAsia="仿宋_GB2312"/>
                <w:sz w:val="21"/>
              </w:rPr>
              <w:t>4. 应用模板：海报、道旗、视频号封面等≥20套可编辑模板</w:t>
            </w:r>
          </w:p>
          <w:p>
            <w:pPr>
              <w:pStyle w:val="null3"/>
              <w:ind w:firstLine="640"/>
              <w:jc w:val="both"/>
            </w:pPr>
            <w:r>
              <w:rPr>
                <w:rFonts w:ascii="仿宋_GB2312" w:hAnsi="仿宋_GB2312" w:cs="仿宋_GB2312" w:eastAsia="仿宋_GB2312"/>
                <w:sz w:val="21"/>
              </w:rPr>
              <w:t>5. 版权文件：原创承诺、著作权归属协议、授权协助办理承诺</w:t>
            </w:r>
          </w:p>
          <w:p>
            <w:pPr>
              <w:pStyle w:val="null3"/>
              <w:ind w:firstLine="640"/>
              <w:jc w:val="both"/>
            </w:pPr>
            <w:r>
              <w:rPr>
                <w:rFonts w:ascii="仿宋_GB2312" w:hAnsi="仿宋_GB2312" w:cs="仿宋_GB2312" w:eastAsia="仿宋_GB2312"/>
                <w:sz w:val="21"/>
              </w:rPr>
              <w:t>四、技术与版权要求</w:t>
            </w:r>
          </w:p>
          <w:p>
            <w:pPr>
              <w:pStyle w:val="null3"/>
              <w:ind w:firstLine="640"/>
              <w:jc w:val="both"/>
            </w:pPr>
            <w:r>
              <w:rPr>
                <w:rFonts w:ascii="仿宋_GB2312" w:hAnsi="仿宋_GB2312" w:cs="仿宋_GB2312" w:eastAsia="仿宋_GB2312"/>
                <w:sz w:val="21"/>
              </w:rPr>
              <w:t>1. 原创性：设计方保证100%原创，无侵权、无抄袭、无第三方权属纠纷</w:t>
            </w:r>
          </w:p>
          <w:p>
            <w:pPr>
              <w:pStyle w:val="null3"/>
              <w:ind w:firstLine="640"/>
              <w:jc w:val="both"/>
            </w:pPr>
            <w:r>
              <w:rPr>
                <w:rFonts w:ascii="仿宋_GB2312" w:hAnsi="仿宋_GB2312" w:cs="仿宋_GB2312" w:eastAsia="仿宋_GB2312"/>
                <w:sz w:val="21"/>
              </w:rPr>
              <w:t>2. 著作权归属：全部成果永久独家归省十八运筹委会所有</w:t>
            </w:r>
          </w:p>
          <w:p>
            <w:pPr>
              <w:pStyle w:val="null3"/>
              <w:ind w:firstLine="640"/>
              <w:jc w:val="both"/>
            </w:pPr>
            <w:r>
              <w:rPr>
                <w:rFonts w:ascii="仿宋_GB2312" w:hAnsi="仿宋_GB2312" w:cs="仿宋_GB2312" w:eastAsia="仿宋_GB2312"/>
                <w:sz w:val="21"/>
              </w:rPr>
              <w:t>3. 源文件标准：全部矢量、分层、可编辑；CDR/AI格式；最小线宽≥0.5pt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一、总体标准 1. 全面按照采购文件、投标文件、采购合同及行业相关规范完成全部服务内容，整体履约情况符合项目既定要求。 2. 严格遵照约定时间节点开展工作，按时完成阶段性及全部实施任务，配合完成两次既定验收核查。 3. 服务全过程合规有序，无重大失误、违规行为及各类责任事故。 二、技术验收通用标准 1. 完整完成本项目视觉识别手册和标识使用管理规定设计工作，整体视觉体系统一完整、地域特色与体育属性突出，满足省运会品牌标准化、规范化、特色化建设核心需求。 2. 内容创作、制作质量达标，内容导向合规，整体视觉呈现与规范落地效果达到赛事预期宣传与形象建设目标。 3. 所有设计成果设计成果及管理文件版权合法合规，无侵权、版权纠纷，可全权用于本届省运会官方各类宣传、场景布置、物料制作等工作。设计成果适配印刷、大屏、新媒体、文创等各类应用载体，可正常编辑落地，无技术缺陷，可有效规避视觉乱象、标识滥用、版权及舆论合规风险。 4. 项目相关素材、成果资料完整齐全，版权使用合法合规，可顺利完成交接归档。 三、商务验收通用标准 1. 服务周期内人员配置稳定，履职状态良好，日常工作对接沟通顺畅高效。 2. 严格遵守合同各项约定条款，履行相应权责义务，不存在转包分包等违规情形。 3. 各项工作台账记录完整规范，资料整理符合归档与核查相关要求。 4. 积极配合项目管理、验收核查及问题整改工作，后续质保相关服务保障到位。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进度款，终稿交付且经采购人验收合格后，达到付款条件起15个工作日内，支付合同总金额的60.0%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合同履行过程中发生争议，双方优先友好协商解决；协商不成的，可向项目属地政府采购监管部门申请调解；调解无效的，向项目所在地人民法院提起诉讼。争议处理期间，双方须继续履行合同无争议内容。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提供2025年11月至提交响应文件截止时间前已缴存的至少一个月的社会保障资金缴存单据或社保机构开具的社会保险参保缴费情况证明，依法不需要缴纳社会保障资金的单位应提供相关证明材料；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提供2025年11月至提交响应文件截止时间前已缴纳的至少一个月的纳税证明或完税证明，依法免税的单位应提供相关证明材料； 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4）三项内容若采用承诺制，供应商可根据本磋商文件格式要求出具承诺函（详见附件1），供应商提供证明材料的，无需响应此承诺书，若二者同时提供，在评审过程中，以证明材料为准。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具有履行合同所必须的设备和专业技术能力；</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被授权人身份证明</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被授权人参与投标时需提供法定代表人或负责人授权委托书（附法定代表人或负责人及被授权人身份证复印件、被委托人本单位近三个月内任意一个月社保缴纳证明）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其他说明.docx 响应文件封面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响应文件的服务地点、服务期、付款方式、合同等商务要求符合磋商文件要求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立足陕西省第十八届运动会赛事定位、渭南承办地域特色，针对本项目提出适用于本项目的总体实施方案，方案包括: ①项目需求理解；②项目整体创作思路分析；③项目总体目标；④工作计划安排、时间节点、设计修改流程等. 二、评审标准: 各项内容全面详细、阐述条理清晰，能有效保障本项目实施的得12分，缺失1项扣3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供应商针对本项目提供完整设计方案，内容包含：①整体设计理念与创意；②设计方案与完整性。 二、评审依据 各项内容全面详细、阐述条理清晰，能有效保障本项目实施的得10分，缺失1项扣5分。每有一项内容存在缺陷，扣1-5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 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①质量保证措施②进度控制措施③服务承诺（包含设计成果交付时效、需求对接及问题互动响应时长、标识使用答疑响应等服务承诺 ） 三、评审标准: 各项内容全面详细、阐述条理清晰，能有效保障本项目实施的得12分，缺失1项扣4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针对采购需求提出适用于本项目的售后服务方案，方案包括 ①售后服务方案；②知识产权处理方案； 二、评审依据 各项内容全面详细、阐述条理清晰，能有效保障本项目实施的得6分，缺失1项扣3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人员资历</w:t>
            </w:r>
          </w:p>
        </w:tc>
        <w:tc>
          <w:tcPr>
            <w:tcW w:type="dxa" w:w="2492"/>
          </w:tcPr>
          <w:p>
            <w:pPr>
              <w:pStyle w:val="null3"/>
            </w:pPr>
            <w:r>
              <w:rPr>
                <w:rFonts w:ascii="仿宋_GB2312" w:hAnsi="仿宋_GB2312" w:cs="仿宋_GB2312" w:eastAsia="仿宋_GB2312"/>
              </w:rPr>
              <w:t>（1）学历（6分）：项目负责人、技术负责人具备本科及以上学历的，每一人满足得3分；拥有专科学历的，每一人满足得2分；其余学历的，每一人满足得1分。须提供毕业证书佐证。 （2）在岗年限（4分）：项目负责人、技术负责人在投标单位从业年限达到3年及以上的，每一人满足得2分；从业年限不足3年的，每一人满足得1分。须提供社保缴纳证明或劳动合同。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制定完整、详细、可落地的团队配备专项计划，明确人员岗位配置、岗位职责分工等内容，服务团队不少于5人且完全满足项目需求的得10分，每缺少一人扣2分，扣完为止。（不包含项目负责人及技术负责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2023年1月1日以来，供应商承担过类似项目业绩，一个项目得2分,此项最多得10分。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满足磋商文件要求且最后报价最低的供应商的价格为磋商基准价，其价格分为满分。其他供应商的价格分按照下列公式计算： 磋商报价得分=（磋商基准价/最后磋商报价）×价格权值×100 本项目专门面向中小企业采购，不再执行价格折扣政策。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详见附件：陕西省第十八届运动会视觉识别手册和标识使用管理规定设计项目合同.docx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