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0ECAC6">
      <w:pPr>
        <w:spacing w:line="240" w:lineRule="auto"/>
        <w:jc w:val="center"/>
        <w:rPr>
          <w:rFonts w:hint="eastAsia" w:cs="Times New Roman"/>
          <w:color w:val="auto"/>
          <w:sz w:val="52"/>
          <w:szCs w:val="52"/>
        </w:rPr>
      </w:pPr>
    </w:p>
    <w:p w14:paraId="7B81EF30">
      <w:pPr>
        <w:spacing w:line="240" w:lineRule="auto"/>
        <w:jc w:val="center"/>
        <w:rPr>
          <w:rFonts w:hint="eastAsia" w:cs="华文仿宋"/>
          <w:color w:val="auto"/>
          <w:sz w:val="52"/>
          <w:szCs w:val="52"/>
          <w:lang w:eastAsia="zh-CN"/>
        </w:rPr>
      </w:pPr>
      <w:r>
        <w:rPr>
          <w:rFonts w:hint="eastAsia" w:cs="华文仿宋"/>
          <w:color w:val="auto"/>
          <w:sz w:val="52"/>
          <w:szCs w:val="52"/>
          <w:lang w:eastAsia="zh-CN"/>
        </w:rPr>
        <w:t>延安市公共资源交易中心</w:t>
      </w:r>
    </w:p>
    <w:p w14:paraId="05FE0D9B">
      <w:pPr>
        <w:spacing w:line="240" w:lineRule="auto"/>
        <w:jc w:val="center"/>
        <w:rPr>
          <w:rFonts w:hint="eastAsia" w:eastAsia="华文仿宋" w:cs="华文仿宋"/>
          <w:color w:val="auto"/>
          <w:sz w:val="52"/>
          <w:szCs w:val="52"/>
          <w:lang w:eastAsia="zh-CN"/>
        </w:rPr>
      </w:pPr>
      <w:r>
        <w:rPr>
          <w:rFonts w:hint="eastAsia" w:cs="华文仿宋"/>
          <w:color w:val="auto"/>
          <w:sz w:val="52"/>
          <w:szCs w:val="52"/>
          <w:lang w:eastAsia="zh-CN"/>
        </w:rPr>
        <w:t>（延安市市直单位政府采购中心）</w:t>
      </w:r>
    </w:p>
    <w:p w14:paraId="340E6858">
      <w:pPr>
        <w:spacing w:line="240" w:lineRule="auto"/>
        <w:jc w:val="center"/>
        <w:rPr>
          <w:rFonts w:hint="eastAsia" w:eastAsia="华文中宋" w:cs="华文中宋"/>
          <w:color w:val="auto"/>
          <w:kern w:val="0"/>
          <w:sz w:val="21"/>
          <w:szCs w:val="21"/>
        </w:rPr>
      </w:pPr>
    </w:p>
    <w:p w14:paraId="071E31CC">
      <w:pPr>
        <w:spacing w:line="240" w:lineRule="auto"/>
        <w:jc w:val="center"/>
        <w:rPr>
          <w:rFonts w:eastAsia="华文中宋" w:cs="Times New Roman"/>
          <w:color w:val="auto"/>
          <w:sz w:val="96"/>
          <w:szCs w:val="96"/>
        </w:rPr>
      </w:pPr>
      <w:r>
        <w:rPr>
          <w:rFonts w:hint="eastAsia" w:eastAsia="华文中宋" w:cs="华文中宋"/>
          <w:color w:val="auto"/>
          <w:kern w:val="0"/>
          <w:sz w:val="96"/>
          <w:szCs w:val="96"/>
        </w:rPr>
        <w:t>公开招标文件</w:t>
      </w:r>
    </w:p>
    <w:p w14:paraId="4A0A4EC3">
      <w:pPr>
        <w:spacing w:line="240" w:lineRule="auto"/>
        <w:jc w:val="center"/>
        <w:rPr>
          <w:color w:val="auto"/>
          <w:sz w:val="36"/>
          <w:szCs w:val="36"/>
        </w:rPr>
      </w:pPr>
      <w:r>
        <w:rPr>
          <w:rFonts w:hint="eastAsia"/>
          <w:color w:val="auto"/>
          <w:sz w:val="36"/>
          <w:szCs w:val="36"/>
        </w:rPr>
        <w:t>（专门面向中小企业项目）</w:t>
      </w:r>
    </w:p>
    <w:p w14:paraId="1F27FF3B">
      <w:pPr>
        <w:spacing w:line="900" w:lineRule="exact"/>
        <w:ind w:left="2805" w:leftChars="350" w:right="707" w:rightChars="250" w:hanging="1815" w:hangingChars="500"/>
        <w:rPr>
          <w:rFonts w:cs="Times New Roman"/>
          <w:color w:val="auto"/>
          <w:sz w:val="36"/>
          <w:szCs w:val="36"/>
        </w:rPr>
      </w:pPr>
    </w:p>
    <w:p w14:paraId="0027576F">
      <w:pPr>
        <w:pStyle w:val="27"/>
        <w:spacing w:after="190"/>
        <w:ind w:firstLine="0" w:firstLineChars="0"/>
        <w:rPr>
          <w:color w:val="auto"/>
          <w:sz w:val="36"/>
          <w:szCs w:val="36"/>
        </w:rPr>
      </w:pPr>
    </w:p>
    <w:p w14:paraId="7F26E72E">
      <w:pPr>
        <w:spacing w:line="240" w:lineRule="auto"/>
        <w:ind w:left="2550" w:leftChars="260" w:right="291" w:rightChars="103" w:hanging="1815" w:hangingChars="500"/>
        <w:jc w:val="left"/>
        <w:rPr>
          <w:rFonts w:hint="eastAsia" w:ascii="仿宋" w:hAnsi="仿宋" w:eastAsia="仿宋" w:cs="仿宋"/>
          <w:b/>
          <w:bCs/>
          <w:color w:val="auto"/>
          <w:sz w:val="36"/>
          <w:szCs w:val="36"/>
          <w:lang w:val="en-US" w:eastAsia="zh-CN"/>
        </w:rPr>
      </w:pPr>
      <w:r>
        <w:rPr>
          <w:rFonts w:hint="eastAsia" w:ascii="仿宋" w:hAnsi="仿宋" w:eastAsia="仿宋" w:cs="仿宋"/>
          <w:b/>
          <w:bCs/>
          <w:color w:val="auto"/>
          <w:sz w:val="36"/>
          <w:szCs w:val="36"/>
        </w:rPr>
        <w:t>项目名称</w:t>
      </w:r>
      <w:r>
        <w:rPr>
          <w:rFonts w:hint="eastAsia" w:ascii="华文仿宋" w:hAnsi="华文仿宋" w:cs="华文仿宋"/>
          <w:b/>
          <w:bCs/>
          <w:color w:val="auto"/>
          <w:sz w:val="36"/>
          <w:szCs w:val="36"/>
        </w:rPr>
        <w:t>：</w:t>
      </w:r>
      <w:r>
        <w:rPr>
          <w:rFonts w:hint="eastAsia" w:ascii="仿宋" w:hAnsi="仿宋" w:eastAsia="仿宋" w:cs="仿宋"/>
          <w:b/>
          <w:bCs/>
          <w:color w:val="auto"/>
          <w:sz w:val="36"/>
          <w:szCs w:val="36"/>
          <w:lang w:val="en-US" w:eastAsia="zh-CN"/>
        </w:rPr>
        <w:t>延安职业技术学院2026年-2028年校园绿化管护及环境卫生保洁采购项目</w:t>
      </w:r>
    </w:p>
    <w:p w14:paraId="3EB7808A">
      <w:pPr>
        <w:spacing w:line="240" w:lineRule="auto"/>
        <w:ind w:left="2531" w:leftChars="197" w:right="291" w:rightChars="103" w:hanging="1974" w:hangingChars="544"/>
        <w:jc w:val="left"/>
        <w:rPr>
          <w:rFonts w:hint="eastAsia" w:ascii="仿宋" w:hAnsi="仿宋" w:eastAsia="仿宋" w:cs="仿宋"/>
          <w:b/>
          <w:bCs/>
          <w:color w:val="auto"/>
          <w:sz w:val="36"/>
          <w:szCs w:val="36"/>
          <w:lang w:val="en-US" w:eastAsia="zh-CN"/>
        </w:rPr>
      </w:pPr>
      <w:r>
        <w:rPr>
          <w:rFonts w:hint="eastAsia" w:ascii="华文仿宋" w:hAnsi="华文仿宋" w:cs="华文仿宋"/>
          <w:b/>
          <w:bCs/>
          <w:color w:val="auto"/>
          <w:sz w:val="36"/>
          <w:szCs w:val="36"/>
        </w:rPr>
        <w:t>项目编号：</w:t>
      </w:r>
      <w:r>
        <w:rPr>
          <w:rFonts w:hint="eastAsia" w:ascii="仿宋" w:hAnsi="仿宋" w:eastAsia="仿宋" w:cs="仿宋"/>
          <w:b/>
          <w:bCs/>
          <w:color w:val="auto"/>
          <w:sz w:val="36"/>
          <w:szCs w:val="36"/>
          <w:lang w:eastAsia="zh-CN"/>
        </w:rPr>
        <w:t>YAZCXG202</w:t>
      </w:r>
      <w:r>
        <w:rPr>
          <w:rFonts w:hint="eastAsia" w:ascii="仿宋" w:hAnsi="仿宋" w:eastAsia="仿宋" w:cs="仿宋"/>
          <w:b/>
          <w:bCs/>
          <w:color w:val="auto"/>
          <w:sz w:val="36"/>
          <w:szCs w:val="36"/>
          <w:lang w:val="en-US" w:eastAsia="zh-CN"/>
        </w:rPr>
        <w:t>6</w:t>
      </w:r>
      <w:r>
        <w:rPr>
          <w:rFonts w:hint="eastAsia" w:ascii="仿宋" w:hAnsi="仿宋" w:eastAsia="仿宋" w:cs="仿宋"/>
          <w:b/>
          <w:bCs/>
          <w:color w:val="auto"/>
          <w:sz w:val="36"/>
          <w:szCs w:val="36"/>
          <w:lang w:eastAsia="zh-CN"/>
        </w:rPr>
        <w:t>-</w:t>
      </w:r>
      <w:r>
        <w:rPr>
          <w:rFonts w:hint="eastAsia" w:ascii="仿宋" w:hAnsi="仿宋" w:eastAsia="仿宋" w:cs="仿宋"/>
          <w:b/>
          <w:bCs/>
          <w:color w:val="auto"/>
          <w:sz w:val="36"/>
          <w:szCs w:val="36"/>
          <w:lang w:val="en-US" w:eastAsia="zh-CN"/>
        </w:rPr>
        <w:t>6</w:t>
      </w:r>
    </w:p>
    <w:p w14:paraId="723B591B">
      <w:pPr>
        <w:spacing w:line="240" w:lineRule="auto"/>
        <w:ind w:left="2531" w:leftChars="197" w:right="291" w:rightChars="103" w:hanging="1974" w:hangingChars="544"/>
        <w:jc w:val="left"/>
        <w:rPr>
          <w:rFonts w:hint="eastAsia" w:ascii="仿宋" w:hAnsi="仿宋" w:eastAsia="仿宋" w:cs="仿宋"/>
          <w:b/>
          <w:bCs/>
          <w:color w:val="auto"/>
          <w:sz w:val="36"/>
          <w:szCs w:val="36"/>
          <w:lang w:val="en-US" w:eastAsia="zh-CN"/>
        </w:rPr>
      </w:pPr>
      <w:r>
        <w:rPr>
          <w:rFonts w:hint="eastAsia" w:ascii="华文仿宋" w:hAnsi="华文仿宋" w:cs="华文仿宋"/>
          <w:b/>
          <w:bCs/>
          <w:color w:val="auto"/>
          <w:sz w:val="36"/>
          <w:szCs w:val="36"/>
        </w:rPr>
        <w:t>采 购 人：</w:t>
      </w:r>
      <w:r>
        <w:rPr>
          <w:rFonts w:hint="eastAsia" w:ascii="华文仿宋" w:hAnsi="华文仿宋" w:cs="华文仿宋"/>
          <w:b/>
          <w:bCs/>
          <w:color w:val="auto"/>
          <w:sz w:val="36"/>
          <w:szCs w:val="36"/>
          <w:lang w:val="en-US" w:eastAsia="zh-CN"/>
        </w:rPr>
        <w:t>延安职业技术学院</w:t>
      </w:r>
    </w:p>
    <w:p w14:paraId="6B1158F8">
      <w:pPr>
        <w:spacing w:line="240" w:lineRule="auto"/>
        <w:ind w:left="2531" w:leftChars="197" w:right="291" w:rightChars="103" w:hanging="1974" w:hangingChars="544"/>
        <w:jc w:val="left"/>
        <w:rPr>
          <w:rFonts w:hint="eastAsia" w:ascii="华文仿宋" w:hAnsi="华文仿宋" w:eastAsia="华文仿宋" w:cs="华文仿宋"/>
          <w:b/>
          <w:bCs/>
          <w:color w:val="auto"/>
          <w:sz w:val="36"/>
          <w:szCs w:val="36"/>
          <w:lang w:eastAsia="zh-CN"/>
        </w:rPr>
      </w:pPr>
      <w:r>
        <w:rPr>
          <w:rFonts w:hint="eastAsia" w:ascii="华文仿宋" w:hAnsi="华文仿宋" w:cs="华文仿宋"/>
          <w:b/>
          <w:bCs/>
          <w:color w:val="auto"/>
          <w:sz w:val="36"/>
          <w:szCs w:val="36"/>
        </w:rPr>
        <w:t>代理机构：</w:t>
      </w:r>
      <w:r>
        <w:rPr>
          <w:rFonts w:hint="eastAsia" w:ascii="华文仿宋" w:hAnsi="华文仿宋" w:cs="华文仿宋"/>
          <w:b/>
          <w:bCs/>
          <w:color w:val="auto"/>
          <w:sz w:val="36"/>
          <w:szCs w:val="36"/>
          <w:lang w:eastAsia="zh-CN"/>
        </w:rPr>
        <w:t>延安市公共资源交易中心（延安市市直单位政府采购中心）</w:t>
      </w:r>
    </w:p>
    <w:p w14:paraId="5BFF200D">
      <w:pPr>
        <w:rPr>
          <w:color w:val="auto"/>
          <w:shd w:val="clear" w:color="auto" w:fill="auto"/>
        </w:rPr>
      </w:pPr>
    </w:p>
    <w:p w14:paraId="6B1FE7F7">
      <w:pPr>
        <w:rPr>
          <w:rFonts w:cs="Times New Roman"/>
          <w:color w:val="auto"/>
          <w:highlight w:val="none"/>
          <w:shd w:val="clear" w:color="auto" w:fill="auto"/>
        </w:rPr>
      </w:pPr>
    </w:p>
    <w:p w14:paraId="5C01CAAD">
      <w:pPr>
        <w:tabs>
          <w:tab w:val="right" w:leader="hyphen" w:pos="8504"/>
        </w:tabs>
        <w:spacing w:after="381" w:afterLines="100" w:line="440" w:lineRule="exact"/>
        <w:ind w:right="566" w:rightChars="200"/>
        <w:jc w:val="center"/>
        <w:rPr>
          <w:rFonts w:ascii="仿宋" w:hAnsi="仿宋" w:eastAsia="仿宋" w:cs="Times New Roman"/>
          <w:b/>
          <w:bCs/>
          <w:color w:val="auto"/>
          <w:sz w:val="36"/>
          <w:szCs w:val="36"/>
          <w:highlight w:val="none"/>
          <w:shd w:val="clear" w:color="auto" w:fill="auto"/>
        </w:rPr>
        <w:sectPr>
          <w:headerReference r:id="rId7" w:type="first"/>
          <w:headerReference r:id="rId5" w:type="default"/>
          <w:footerReference r:id="rId8" w:type="default"/>
          <w:headerReference r:id="rId6" w:type="even"/>
          <w:pgSz w:w="11906" w:h="16838"/>
          <w:pgMar w:top="1417" w:right="1417" w:bottom="1417" w:left="1417" w:header="850" w:footer="992" w:gutter="0"/>
          <w:pgNumType w:fmt="decimal" w:start="1"/>
          <w:cols w:space="720" w:num="1"/>
          <w:docGrid w:type="linesAndChars" w:linePitch="381" w:charSpace="704"/>
        </w:sectPr>
      </w:pPr>
      <w:bookmarkStart w:id="0" w:name="_Toc7047"/>
      <w:bookmarkStart w:id="1" w:name="_Toc852"/>
      <w:bookmarkStart w:id="2" w:name="_Toc6774"/>
      <w:bookmarkStart w:id="3" w:name="_Toc16154"/>
      <w:bookmarkStart w:id="4" w:name="_Toc20135"/>
      <w:bookmarkStart w:id="5" w:name="_Toc21160"/>
      <w:bookmarkStart w:id="6" w:name="_Toc1"/>
      <w:bookmarkStart w:id="7" w:name="_Toc10513"/>
      <w:r>
        <w:rPr>
          <w:rFonts w:ascii="仿宋" w:hAnsi="仿宋" w:eastAsia="仿宋" w:cs="仿宋"/>
          <w:b/>
          <w:bCs/>
          <w:color w:val="auto"/>
          <w:sz w:val="36"/>
          <w:szCs w:val="36"/>
          <w:highlight w:val="none"/>
          <w:shd w:val="clear" w:color="auto" w:fill="auto"/>
        </w:rPr>
        <w:t>202</w:t>
      </w:r>
      <w:r>
        <w:rPr>
          <w:rFonts w:hint="eastAsia" w:ascii="仿宋" w:hAnsi="仿宋" w:eastAsia="仿宋" w:cs="仿宋"/>
          <w:b/>
          <w:bCs/>
          <w:color w:val="auto"/>
          <w:sz w:val="36"/>
          <w:szCs w:val="36"/>
          <w:highlight w:val="none"/>
          <w:shd w:val="clear" w:color="auto" w:fill="auto"/>
          <w:lang w:val="en-US" w:eastAsia="zh-CN"/>
        </w:rPr>
        <w:t>6</w:t>
      </w:r>
      <w:r>
        <w:rPr>
          <w:rFonts w:hint="eastAsia" w:ascii="仿宋" w:hAnsi="仿宋" w:eastAsia="仿宋" w:cs="仿宋"/>
          <w:b/>
          <w:bCs/>
          <w:color w:val="auto"/>
          <w:sz w:val="36"/>
          <w:szCs w:val="36"/>
          <w:highlight w:val="none"/>
          <w:shd w:val="clear" w:color="auto" w:fill="auto"/>
        </w:rPr>
        <w:t>年</w:t>
      </w:r>
      <w:r>
        <w:rPr>
          <w:rFonts w:hint="eastAsia" w:ascii="仿宋" w:hAnsi="仿宋" w:eastAsia="仿宋" w:cs="仿宋"/>
          <w:b/>
          <w:bCs/>
          <w:color w:val="auto"/>
          <w:sz w:val="36"/>
          <w:szCs w:val="36"/>
          <w:highlight w:val="none"/>
          <w:shd w:val="clear" w:color="auto" w:fill="auto"/>
          <w:lang w:val="en-US" w:eastAsia="zh-CN"/>
        </w:rPr>
        <w:t>8</w:t>
      </w:r>
      <w:r>
        <w:rPr>
          <w:rFonts w:hint="eastAsia" w:ascii="仿宋" w:hAnsi="仿宋" w:eastAsia="仿宋" w:cs="仿宋"/>
          <w:b/>
          <w:bCs/>
          <w:color w:val="auto"/>
          <w:sz w:val="36"/>
          <w:szCs w:val="36"/>
          <w:highlight w:val="none"/>
          <w:shd w:val="clear" w:color="auto" w:fill="auto"/>
        </w:rPr>
        <w:t>月</w:t>
      </w:r>
      <w:r>
        <w:rPr>
          <w:rFonts w:hint="eastAsia" w:ascii="仿宋" w:hAnsi="仿宋" w:eastAsia="仿宋" w:cs="仿宋"/>
          <w:b/>
          <w:bCs/>
          <w:color w:val="auto"/>
          <w:sz w:val="36"/>
          <w:szCs w:val="36"/>
          <w:highlight w:val="none"/>
          <w:shd w:val="clear" w:color="auto" w:fill="auto"/>
          <w:lang w:val="en-US" w:eastAsia="zh-CN"/>
        </w:rPr>
        <w:t>10</w:t>
      </w:r>
      <w:r>
        <w:rPr>
          <w:rFonts w:hint="eastAsia" w:ascii="仿宋" w:hAnsi="仿宋" w:eastAsia="仿宋" w:cs="仿宋"/>
          <w:b/>
          <w:bCs/>
          <w:color w:val="auto"/>
          <w:sz w:val="36"/>
          <w:szCs w:val="36"/>
          <w:highlight w:val="none"/>
          <w:shd w:val="clear" w:color="auto" w:fill="auto"/>
        </w:rPr>
        <w:t>日</w:t>
      </w:r>
    </w:p>
    <w:bookmarkEnd w:id="0"/>
    <w:bookmarkEnd w:id="1"/>
    <w:bookmarkEnd w:id="2"/>
    <w:bookmarkEnd w:id="3"/>
    <w:bookmarkEnd w:id="4"/>
    <w:bookmarkEnd w:id="5"/>
    <w:bookmarkEnd w:id="6"/>
    <w:bookmarkEnd w:id="7"/>
    <w:p w14:paraId="54CF7754">
      <w:pPr>
        <w:tabs>
          <w:tab w:val="right" w:leader="hyphen" w:pos="8504"/>
        </w:tabs>
        <w:spacing w:after="381" w:afterLines="100" w:line="440" w:lineRule="exact"/>
        <w:ind w:left="567" w:right="566" w:rightChars="200"/>
        <w:jc w:val="center"/>
        <w:rPr>
          <w:rFonts w:hint="eastAsia" w:ascii="黑体" w:hAnsi="黑体" w:eastAsia="黑体" w:cs="黑体"/>
          <w:color w:val="auto"/>
          <w:kern w:val="2"/>
          <w:sz w:val="44"/>
          <w:szCs w:val="44"/>
          <w:lang w:val="en-US" w:eastAsia="zh-CN" w:bidi="ar-SA"/>
        </w:rPr>
      </w:pPr>
      <w:bookmarkStart w:id="8" w:name="_Toc29970"/>
      <w:bookmarkEnd w:id="8"/>
      <w:bookmarkStart w:id="9" w:name="_Toc447"/>
      <w:bookmarkEnd w:id="9"/>
      <w:bookmarkStart w:id="10" w:name="_Toc29675"/>
      <w:bookmarkEnd w:id="10"/>
      <w:bookmarkStart w:id="11" w:name="_Toc495014609"/>
      <w:bookmarkStart w:id="12" w:name="_Toc26289"/>
      <w:bookmarkStart w:id="13" w:name="_Toc495012819"/>
      <w:bookmarkStart w:id="14" w:name="_Toc495014918"/>
      <w:bookmarkStart w:id="15" w:name="_Toc495012769"/>
      <w:bookmarkStart w:id="16" w:name="_Toc445306491"/>
      <w:bookmarkStart w:id="17" w:name="_Toc495014647"/>
      <w:bookmarkStart w:id="18" w:name="_Toc495014583"/>
      <w:r>
        <w:rPr>
          <w:rFonts w:hint="eastAsia" w:ascii="黑体" w:hAnsi="黑体" w:eastAsia="黑体" w:cs="黑体"/>
          <w:color w:val="auto"/>
          <w:sz w:val="44"/>
          <w:szCs w:val="44"/>
        </w:rPr>
        <w:t>目  录</w:t>
      </w:r>
      <w:r>
        <w:rPr>
          <w:rFonts w:hint="eastAsia" w:ascii="黑体" w:hAnsi="黑体" w:eastAsia="黑体" w:cs="黑体"/>
          <w:color w:val="auto"/>
          <w:sz w:val="44"/>
          <w:szCs w:val="44"/>
        </w:rPr>
        <w:fldChar w:fldCharType="begin"/>
      </w:r>
      <w:r>
        <w:rPr>
          <w:rFonts w:hint="eastAsia" w:ascii="黑体" w:hAnsi="黑体" w:eastAsia="黑体" w:cs="黑体"/>
          <w:color w:val="auto"/>
          <w:sz w:val="44"/>
          <w:szCs w:val="44"/>
        </w:rPr>
        <w:instrText xml:space="preserve">TOC \o "1-3" \u </w:instrText>
      </w:r>
      <w:r>
        <w:rPr>
          <w:rFonts w:hint="eastAsia" w:ascii="黑体" w:hAnsi="黑体" w:eastAsia="黑体" w:cs="黑体"/>
          <w:color w:val="auto"/>
          <w:sz w:val="44"/>
          <w:szCs w:val="44"/>
        </w:rPr>
        <w:fldChar w:fldCharType="separate"/>
      </w:r>
    </w:p>
    <w:p w14:paraId="7370191E">
      <w:pPr>
        <w:pStyle w:val="19"/>
        <w:tabs>
          <w:tab w:val="right" w:leader="dot" w:pos="9072"/>
        </w:tabs>
        <w:spacing w:line="500" w:lineRule="exact"/>
        <w:ind w:firstLine="1698" w:firstLineChars="600"/>
        <w:rPr>
          <w:rFonts w:hint="eastAsia" w:ascii="宋体" w:hAnsi="宋体" w:eastAsia="宋体" w:cs="宋体"/>
          <w:b/>
          <w:bCs/>
          <w:color w:val="auto"/>
          <w:szCs w:val="32"/>
        </w:rPr>
      </w:pPr>
      <w:r>
        <w:rPr>
          <w:rFonts w:hint="eastAsia" w:ascii="宋体" w:hAnsi="宋体" w:eastAsia="宋体" w:cs="宋体"/>
          <w:b/>
          <w:bCs/>
          <w:color w:val="auto"/>
          <w:szCs w:val="32"/>
        </w:rPr>
        <w:t>第一章  投标邀请函</w:t>
      </w:r>
    </w:p>
    <w:p w14:paraId="10201C7C">
      <w:pPr>
        <w:pStyle w:val="19"/>
        <w:tabs>
          <w:tab w:val="right" w:leader="dot" w:pos="9072"/>
        </w:tabs>
        <w:spacing w:line="500" w:lineRule="exact"/>
        <w:ind w:firstLine="1698" w:firstLineChars="600"/>
        <w:rPr>
          <w:rFonts w:hint="eastAsia" w:ascii="宋体" w:hAnsi="宋体" w:eastAsia="宋体" w:cs="宋体"/>
          <w:b/>
          <w:bCs/>
          <w:color w:val="auto"/>
          <w:lang w:eastAsia="zh-CN"/>
        </w:rPr>
      </w:pPr>
      <w:r>
        <w:rPr>
          <w:rFonts w:hint="eastAsia" w:ascii="宋体" w:hAnsi="宋体" w:eastAsia="宋体" w:cs="宋体"/>
          <w:b/>
          <w:bCs/>
          <w:color w:val="auto"/>
          <w:szCs w:val="32"/>
        </w:rPr>
        <w:t>第二章  投标人须知</w:t>
      </w:r>
    </w:p>
    <w:p w14:paraId="3A96418F">
      <w:pPr>
        <w:pStyle w:val="21"/>
        <w:tabs>
          <w:tab w:val="right" w:leader="dot" w:pos="9072"/>
        </w:tabs>
        <w:spacing w:line="500" w:lineRule="exact"/>
        <w:ind w:firstLine="1132" w:firstLineChars="400"/>
        <w:rPr>
          <w:rFonts w:hint="eastAsia" w:ascii="宋体" w:hAnsi="宋体" w:eastAsia="宋体" w:cs="宋体"/>
          <w:b/>
          <w:bCs/>
          <w:color w:val="auto"/>
          <w:lang w:val="en-US" w:eastAsia="zh-CN"/>
        </w:rPr>
      </w:pPr>
      <w:r>
        <w:rPr>
          <w:rFonts w:hint="eastAsia" w:ascii="宋体" w:hAnsi="宋体" w:eastAsia="宋体" w:cs="宋体"/>
          <w:b/>
          <w:bCs/>
          <w:color w:val="auto"/>
          <w:szCs w:val="28"/>
        </w:rPr>
        <w:t>一、定义</w:t>
      </w:r>
    </w:p>
    <w:p w14:paraId="2818B553">
      <w:pPr>
        <w:pStyle w:val="21"/>
        <w:tabs>
          <w:tab w:val="right" w:leader="dot" w:pos="9072"/>
        </w:tabs>
        <w:spacing w:line="500" w:lineRule="exact"/>
        <w:ind w:firstLine="1132" w:firstLineChars="400"/>
        <w:rPr>
          <w:rFonts w:hint="eastAsia" w:ascii="宋体" w:hAnsi="宋体" w:eastAsia="宋体" w:cs="宋体"/>
          <w:b/>
          <w:bCs/>
          <w:color w:val="auto"/>
          <w:lang w:val="en-US" w:eastAsia="zh-CN"/>
        </w:rPr>
      </w:pPr>
      <w:r>
        <w:rPr>
          <w:rFonts w:hint="eastAsia" w:ascii="宋体" w:hAnsi="宋体" w:eastAsia="宋体" w:cs="宋体"/>
          <w:b/>
          <w:bCs/>
          <w:color w:val="auto"/>
          <w:szCs w:val="28"/>
        </w:rPr>
        <w:t>二、投标人注意事项</w:t>
      </w:r>
    </w:p>
    <w:p w14:paraId="1D6CB86B">
      <w:pPr>
        <w:pStyle w:val="21"/>
        <w:tabs>
          <w:tab w:val="right" w:leader="dot" w:pos="9072"/>
        </w:tabs>
        <w:spacing w:line="500" w:lineRule="exact"/>
        <w:ind w:firstLine="1132" w:firstLineChars="400"/>
        <w:rPr>
          <w:rFonts w:hint="eastAsia" w:ascii="宋体" w:hAnsi="宋体" w:eastAsia="宋体" w:cs="宋体"/>
          <w:b/>
          <w:bCs/>
          <w:color w:val="auto"/>
        </w:rPr>
      </w:pPr>
      <w:r>
        <w:rPr>
          <w:rFonts w:hint="eastAsia" w:ascii="宋体" w:hAnsi="宋体" w:eastAsia="宋体" w:cs="宋体"/>
          <w:b/>
          <w:bCs/>
          <w:color w:val="auto"/>
          <w:szCs w:val="28"/>
        </w:rPr>
        <w:t>三、招标文件</w:t>
      </w:r>
    </w:p>
    <w:p w14:paraId="57E001C7">
      <w:pPr>
        <w:pStyle w:val="21"/>
        <w:tabs>
          <w:tab w:val="right" w:leader="dot" w:pos="9072"/>
        </w:tabs>
        <w:spacing w:line="500" w:lineRule="exact"/>
        <w:ind w:firstLine="1132" w:firstLineChars="400"/>
        <w:rPr>
          <w:rFonts w:hint="default" w:ascii="宋体" w:hAnsi="宋体" w:eastAsia="宋体" w:cs="宋体"/>
          <w:b/>
          <w:bCs/>
          <w:color w:val="auto"/>
          <w:lang w:val="en-US" w:eastAsia="zh-CN"/>
        </w:rPr>
      </w:pPr>
      <w:r>
        <w:rPr>
          <w:rFonts w:hint="eastAsia" w:ascii="宋体" w:hAnsi="宋体" w:eastAsia="宋体" w:cs="宋体"/>
          <w:b/>
          <w:bCs/>
          <w:color w:val="auto"/>
          <w:szCs w:val="28"/>
        </w:rPr>
        <w:t>四、投标报价</w:t>
      </w:r>
    </w:p>
    <w:p w14:paraId="7767E6AE">
      <w:pPr>
        <w:pStyle w:val="21"/>
        <w:tabs>
          <w:tab w:val="right" w:leader="dot" w:pos="9072"/>
        </w:tabs>
        <w:spacing w:line="500" w:lineRule="exact"/>
        <w:ind w:firstLine="1132" w:firstLineChars="400"/>
        <w:rPr>
          <w:rFonts w:hint="eastAsia" w:ascii="宋体" w:hAnsi="宋体" w:eastAsia="宋体" w:cs="宋体"/>
          <w:b/>
          <w:bCs/>
          <w:color w:val="auto"/>
        </w:rPr>
      </w:pPr>
      <w:r>
        <w:rPr>
          <w:rFonts w:hint="eastAsia" w:ascii="宋体" w:hAnsi="宋体" w:eastAsia="宋体" w:cs="宋体"/>
          <w:b/>
          <w:bCs/>
          <w:color w:val="auto"/>
          <w:szCs w:val="28"/>
        </w:rPr>
        <w:t>五、投标文件</w:t>
      </w:r>
    </w:p>
    <w:p w14:paraId="66C102C9">
      <w:pPr>
        <w:pStyle w:val="21"/>
        <w:tabs>
          <w:tab w:val="right" w:leader="dot" w:pos="9072"/>
        </w:tabs>
        <w:spacing w:line="500" w:lineRule="exact"/>
        <w:ind w:firstLine="1132" w:firstLineChars="400"/>
        <w:rPr>
          <w:rFonts w:hint="default" w:ascii="宋体" w:hAnsi="宋体" w:eastAsia="宋体" w:cs="宋体"/>
          <w:b/>
          <w:bCs/>
          <w:color w:val="auto"/>
          <w:lang w:val="en-US" w:eastAsia="zh-CN"/>
        </w:rPr>
      </w:pPr>
      <w:r>
        <w:rPr>
          <w:rFonts w:hint="eastAsia" w:ascii="宋体" w:hAnsi="宋体" w:eastAsia="宋体" w:cs="宋体"/>
          <w:b/>
          <w:bCs/>
          <w:color w:val="auto"/>
          <w:szCs w:val="28"/>
        </w:rPr>
        <w:t>六、组织开标</w:t>
      </w:r>
    </w:p>
    <w:p w14:paraId="3111929B">
      <w:pPr>
        <w:pStyle w:val="21"/>
        <w:tabs>
          <w:tab w:val="right" w:leader="dot" w:pos="9072"/>
        </w:tabs>
        <w:spacing w:line="500" w:lineRule="exact"/>
        <w:ind w:firstLine="1132" w:firstLineChars="400"/>
        <w:rPr>
          <w:rFonts w:hint="eastAsia" w:ascii="宋体" w:hAnsi="宋体" w:eastAsia="宋体" w:cs="宋体"/>
          <w:b/>
          <w:bCs/>
          <w:color w:val="auto"/>
        </w:rPr>
      </w:pPr>
      <w:r>
        <w:rPr>
          <w:rFonts w:hint="eastAsia" w:ascii="宋体" w:hAnsi="宋体" w:eastAsia="宋体" w:cs="宋体"/>
          <w:b/>
          <w:bCs/>
          <w:color w:val="auto"/>
          <w:szCs w:val="28"/>
        </w:rPr>
        <w:t>七、资格审查</w:t>
      </w:r>
    </w:p>
    <w:p w14:paraId="3F568690">
      <w:pPr>
        <w:pStyle w:val="21"/>
        <w:tabs>
          <w:tab w:val="right" w:leader="dot" w:pos="9072"/>
        </w:tabs>
        <w:spacing w:line="500" w:lineRule="exact"/>
        <w:ind w:left="0" w:leftChars="0" w:firstLine="1698" w:firstLineChars="600"/>
        <w:rPr>
          <w:rFonts w:hint="default" w:ascii="宋体" w:hAnsi="宋体" w:eastAsia="宋体" w:cs="宋体"/>
          <w:b/>
          <w:bCs/>
          <w:color w:val="auto"/>
          <w:lang w:val="en-US" w:eastAsia="zh-CN"/>
        </w:rPr>
      </w:pPr>
      <w:r>
        <w:rPr>
          <w:rFonts w:hint="eastAsia" w:ascii="宋体" w:hAnsi="宋体" w:eastAsia="宋体" w:cs="宋体"/>
          <w:b/>
          <w:bCs/>
          <w:color w:val="auto"/>
          <w:szCs w:val="28"/>
        </w:rPr>
        <w:t>八、组织评标</w:t>
      </w:r>
    </w:p>
    <w:p w14:paraId="59C0AA94">
      <w:pPr>
        <w:pStyle w:val="21"/>
        <w:tabs>
          <w:tab w:val="right" w:leader="dot" w:pos="9072"/>
        </w:tabs>
        <w:spacing w:line="500" w:lineRule="exact"/>
        <w:ind w:firstLine="1132" w:firstLineChars="400"/>
        <w:rPr>
          <w:rFonts w:hint="eastAsia" w:ascii="宋体" w:hAnsi="宋体" w:eastAsia="宋体" w:cs="宋体"/>
          <w:b/>
          <w:bCs/>
          <w:color w:val="auto"/>
        </w:rPr>
      </w:pPr>
      <w:r>
        <w:rPr>
          <w:rFonts w:hint="eastAsia" w:ascii="宋体" w:hAnsi="宋体" w:eastAsia="宋体" w:cs="宋体"/>
          <w:b/>
          <w:bCs/>
          <w:color w:val="auto"/>
          <w:szCs w:val="28"/>
        </w:rPr>
        <w:t>九、中标</w:t>
      </w:r>
    </w:p>
    <w:p w14:paraId="77A5C7BE">
      <w:pPr>
        <w:pStyle w:val="21"/>
        <w:tabs>
          <w:tab w:val="right" w:leader="dot" w:pos="9072"/>
        </w:tabs>
        <w:spacing w:line="500" w:lineRule="exact"/>
        <w:ind w:firstLine="1132" w:firstLineChars="400"/>
        <w:rPr>
          <w:rFonts w:hint="default" w:ascii="宋体" w:hAnsi="宋体" w:eastAsia="宋体" w:cs="宋体"/>
          <w:b/>
          <w:bCs/>
          <w:color w:val="auto"/>
          <w:lang w:val="en-US" w:eastAsia="zh-CN"/>
        </w:rPr>
      </w:pPr>
      <w:r>
        <w:rPr>
          <w:rFonts w:hint="eastAsia" w:ascii="宋体" w:hAnsi="宋体" w:eastAsia="宋体" w:cs="宋体"/>
          <w:b/>
          <w:bCs/>
          <w:color w:val="auto"/>
          <w:szCs w:val="28"/>
        </w:rPr>
        <w:t>十、签订政府采购合同</w:t>
      </w:r>
    </w:p>
    <w:p w14:paraId="7AFDC04C">
      <w:pPr>
        <w:pStyle w:val="21"/>
        <w:tabs>
          <w:tab w:val="right" w:leader="dot" w:pos="9072"/>
        </w:tabs>
        <w:spacing w:line="500" w:lineRule="exact"/>
        <w:ind w:firstLine="1132" w:firstLineChars="400"/>
        <w:rPr>
          <w:rFonts w:hint="eastAsia" w:ascii="宋体" w:hAnsi="宋体" w:eastAsia="宋体" w:cs="宋体"/>
          <w:b/>
          <w:bCs/>
          <w:color w:val="auto"/>
        </w:rPr>
      </w:pPr>
      <w:r>
        <w:rPr>
          <w:rFonts w:hint="eastAsia" w:ascii="宋体" w:hAnsi="宋体" w:eastAsia="宋体" w:cs="宋体"/>
          <w:b/>
          <w:bCs/>
          <w:color w:val="auto"/>
          <w:szCs w:val="28"/>
        </w:rPr>
        <w:t>十一、其他</w:t>
      </w:r>
    </w:p>
    <w:p w14:paraId="5C417B0A">
      <w:pPr>
        <w:pStyle w:val="19"/>
        <w:tabs>
          <w:tab w:val="right" w:leader="dot" w:pos="9072"/>
        </w:tabs>
        <w:spacing w:line="500" w:lineRule="exact"/>
        <w:ind w:firstLine="1698" w:firstLineChars="600"/>
        <w:rPr>
          <w:rFonts w:hint="default" w:ascii="宋体" w:hAnsi="宋体" w:eastAsia="宋体" w:cs="宋体"/>
          <w:b/>
          <w:bCs/>
          <w:color w:val="auto"/>
          <w:lang w:val="en-US" w:eastAsia="zh-CN"/>
        </w:rPr>
      </w:pPr>
      <w:r>
        <w:rPr>
          <w:rFonts w:hint="eastAsia" w:ascii="宋体" w:hAnsi="宋体" w:eastAsia="宋体" w:cs="宋体"/>
          <w:b/>
          <w:bCs/>
          <w:color w:val="auto"/>
          <w:szCs w:val="32"/>
        </w:rPr>
        <w:t>第三章  评审办法及标准</w:t>
      </w:r>
    </w:p>
    <w:p w14:paraId="09C622E3">
      <w:pPr>
        <w:pStyle w:val="19"/>
        <w:tabs>
          <w:tab w:val="right" w:leader="dot" w:pos="9072"/>
        </w:tabs>
        <w:spacing w:line="500" w:lineRule="exact"/>
        <w:ind w:firstLine="1698" w:firstLineChars="600"/>
        <w:rPr>
          <w:rFonts w:hint="default" w:ascii="宋体" w:hAnsi="宋体" w:eastAsia="宋体" w:cs="宋体"/>
          <w:b/>
          <w:bCs/>
          <w:color w:val="auto"/>
          <w:lang w:val="en-US" w:eastAsia="zh-CN"/>
        </w:rPr>
      </w:pPr>
      <w:r>
        <w:rPr>
          <w:rFonts w:hint="eastAsia" w:ascii="宋体" w:hAnsi="宋体" w:eastAsia="宋体" w:cs="宋体"/>
          <w:b/>
          <w:bCs/>
          <w:color w:val="auto"/>
          <w:szCs w:val="32"/>
        </w:rPr>
        <w:t>第四章  招标内容及采购要求</w:t>
      </w:r>
    </w:p>
    <w:p w14:paraId="253BDF9B">
      <w:pPr>
        <w:pStyle w:val="19"/>
        <w:tabs>
          <w:tab w:val="right" w:leader="dot" w:pos="9072"/>
        </w:tabs>
        <w:spacing w:line="500" w:lineRule="exact"/>
        <w:ind w:firstLine="1698" w:firstLineChars="600"/>
        <w:rPr>
          <w:rFonts w:hint="default" w:ascii="宋体" w:hAnsi="宋体" w:eastAsia="宋体" w:cs="宋体"/>
          <w:b/>
          <w:bCs/>
          <w:color w:val="auto"/>
          <w:lang w:val="en-US" w:eastAsia="zh-CN"/>
        </w:rPr>
      </w:pPr>
      <w:r>
        <w:rPr>
          <w:rFonts w:hint="eastAsia" w:ascii="宋体" w:hAnsi="宋体" w:eastAsia="宋体" w:cs="宋体"/>
          <w:b/>
          <w:bCs/>
          <w:color w:val="auto"/>
          <w:kern w:val="44"/>
          <w:szCs w:val="32"/>
        </w:rPr>
        <w:t>第五章  合同草案条款</w:t>
      </w:r>
    </w:p>
    <w:p w14:paraId="7588C560">
      <w:pPr>
        <w:pStyle w:val="19"/>
        <w:tabs>
          <w:tab w:val="right" w:leader="dot" w:pos="9072"/>
        </w:tabs>
        <w:spacing w:line="500" w:lineRule="exact"/>
        <w:ind w:firstLine="1698" w:firstLineChars="600"/>
        <w:rPr>
          <w:rFonts w:hint="default" w:ascii="宋体" w:hAnsi="宋体" w:eastAsia="宋体" w:cs="宋体"/>
          <w:b/>
          <w:bCs/>
          <w:color w:val="auto"/>
          <w:lang w:val="en-US" w:eastAsia="zh-CN"/>
        </w:rPr>
      </w:pPr>
      <w:r>
        <w:rPr>
          <w:rFonts w:hint="eastAsia" w:ascii="宋体" w:hAnsi="宋体" w:eastAsia="宋体" w:cs="宋体"/>
          <w:b/>
          <w:bCs/>
          <w:color w:val="auto"/>
          <w:szCs w:val="32"/>
        </w:rPr>
        <w:t>第六章  投标文件构成及格式</w:t>
      </w:r>
    </w:p>
    <w:p w14:paraId="5E0042A3">
      <w:pPr>
        <w:pStyle w:val="21"/>
        <w:tabs>
          <w:tab w:val="right" w:leader="dot" w:pos="9072"/>
        </w:tabs>
        <w:spacing w:line="500" w:lineRule="exact"/>
        <w:ind w:firstLine="1132" w:firstLineChars="400"/>
        <w:rPr>
          <w:rFonts w:hint="eastAsia" w:ascii="宋体" w:hAnsi="宋体" w:eastAsia="宋体" w:cs="宋体"/>
          <w:b/>
          <w:bCs/>
          <w:color w:val="auto"/>
          <w:lang w:val="en-US" w:eastAsia="zh-CN"/>
        </w:rPr>
      </w:pPr>
      <w:r>
        <w:rPr>
          <w:rFonts w:hint="eastAsia" w:ascii="宋体" w:hAnsi="宋体" w:eastAsia="宋体" w:cs="宋体"/>
          <w:b/>
          <w:bCs/>
          <w:color w:val="auto"/>
        </w:rPr>
        <w:t>第一部分  资格证明文件</w:t>
      </w:r>
    </w:p>
    <w:p w14:paraId="09F0A98F">
      <w:pPr>
        <w:pStyle w:val="21"/>
        <w:tabs>
          <w:tab w:val="right" w:leader="dot" w:pos="9072"/>
        </w:tabs>
        <w:spacing w:line="500" w:lineRule="exact"/>
        <w:ind w:firstLine="1132" w:firstLineChars="400"/>
        <w:rPr>
          <w:rFonts w:hint="default" w:ascii="宋体" w:hAnsi="宋体" w:eastAsia="宋体" w:cs="宋体"/>
          <w:b/>
          <w:bCs/>
          <w:color w:val="auto"/>
          <w:lang w:val="en-US" w:eastAsia="zh-CN"/>
        </w:rPr>
      </w:pPr>
      <w:r>
        <w:rPr>
          <w:rFonts w:hint="eastAsia" w:ascii="宋体" w:hAnsi="宋体" w:eastAsia="宋体" w:cs="宋体"/>
          <w:b/>
          <w:bCs/>
          <w:color w:val="auto"/>
        </w:rPr>
        <w:t>第二部分  符合性证明文件</w:t>
      </w:r>
    </w:p>
    <w:p w14:paraId="08A5CA4C">
      <w:pPr>
        <w:pStyle w:val="21"/>
        <w:tabs>
          <w:tab w:val="right" w:leader="dot" w:pos="9072"/>
        </w:tabs>
        <w:spacing w:line="500" w:lineRule="exact"/>
        <w:ind w:firstLine="1132" w:firstLineChars="400"/>
        <w:rPr>
          <w:rFonts w:hint="default" w:ascii="宋体" w:hAnsi="宋体" w:eastAsia="宋体" w:cs="宋体"/>
          <w:color w:val="auto"/>
          <w:lang w:val="en-US" w:eastAsia="zh-CN"/>
        </w:rPr>
      </w:pPr>
      <w:r>
        <w:rPr>
          <w:rFonts w:hint="eastAsia" w:ascii="宋体" w:hAnsi="宋体" w:eastAsia="宋体" w:cs="宋体"/>
          <w:b/>
          <w:bCs/>
          <w:color w:val="auto"/>
        </w:rPr>
        <w:t>第三部分  投标方案</w:t>
      </w:r>
    </w:p>
    <w:p w14:paraId="6395CA1A">
      <w:pPr>
        <w:pStyle w:val="14"/>
        <w:tabs>
          <w:tab w:val="right" w:leader="dot" w:pos="9072"/>
        </w:tabs>
        <w:rPr>
          <w:rFonts w:hint="eastAsia" w:ascii="宋体" w:hAnsi="宋体" w:eastAsia="宋体" w:cs="宋体"/>
          <w:color w:val="auto"/>
        </w:rPr>
      </w:pPr>
    </w:p>
    <w:p w14:paraId="712F68D5">
      <w:pPr>
        <w:pStyle w:val="21"/>
        <w:tabs>
          <w:tab w:val="right" w:leader="dot" w:pos="9072"/>
        </w:tabs>
        <w:spacing w:after="381" w:afterLines="100" w:line="440" w:lineRule="exact"/>
        <w:ind w:left="567" w:right="566" w:rightChars="200"/>
        <w:jc w:val="center"/>
        <w:rPr>
          <w:rFonts w:hint="eastAsia" w:ascii="黑体" w:hAnsi="黑体" w:eastAsia="黑体" w:cs="黑体"/>
          <w:color w:val="auto"/>
          <w:sz w:val="44"/>
          <w:szCs w:val="44"/>
        </w:rPr>
      </w:pPr>
      <w:r>
        <w:rPr>
          <w:rFonts w:hint="eastAsia" w:ascii="黑体" w:hAnsi="黑体" w:eastAsia="黑体" w:cs="黑体"/>
          <w:color w:val="auto"/>
          <w:sz w:val="44"/>
          <w:szCs w:val="44"/>
        </w:rPr>
        <w:fldChar w:fldCharType="end"/>
      </w:r>
    </w:p>
    <w:p w14:paraId="76E9AE45">
      <w:pPr>
        <w:bidi w:val="0"/>
      </w:pPr>
    </w:p>
    <w:p w14:paraId="1BE847F0">
      <w:pPr>
        <w:tabs>
          <w:tab w:val="right" w:pos="9072"/>
        </w:tabs>
        <w:bidi w:val="0"/>
        <w:jc w:val="left"/>
        <w:rPr>
          <w:rFonts w:hint="eastAsia" w:eastAsia="华文仿宋"/>
          <w:lang w:eastAsia="zh-CN"/>
        </w:rPr>
        <w:sectPr>
          <w:headerReference r:id="rId9" w:type="default"/>
          <w:footerReference r:id="rId10" w:type="default"/>
          <w:pgSz w:w="11906" w:h="16838"/>
          <w:pgMar w:top="1417" w:right="1417" w:bottom="1417" w:left="1417" w:header="794" w:footer="992" w:gutter="0"/>
          <w:pgNumType w:fmt="decimal" w:start="1"/>
          <w:cols w:space="720" w:num="1"/>
          <w:docGrid w:type="linesAndChars" w:linePitch="381" w:charSpace="704"/>
        </w:sectPr>
      </w:pPr>
      <w:r>
        <w:rPr>
          <w:rFonts w:hint="eastAsia"/>
          <w:lang w:eastAsia="zh-CN"/>
        </w:rPr>
        <w:tab/>
      </w:r>
    </w:p>
    <w:bookmarkEnd w:id="11"/>
    <w:bookmarkEnd w:id="12"/>
    <w:bookmarkEnd w:id="13"/>
    <w:bookmarkEnd w:id="14"/>
    <w:bookmarkEnd w:id="15"/>
    <w:bookmarkEnd w:id="16"/>
    <w:bookmarkEnd w:id="17"/>
    <w:bookmarkEnd w:id="18"/>
    <w:p w14:paraId="5912675D">
      <w:pPr>
        <w:pStyle w:val="2"/>
        <w:rPr>
          <w:rFonts w:ascii="黑体" w:hAnsi="黑体" w:eastAsia="黑体" w:cs="Times New Roman"/>
          <w:b w:val="0"/>
          <w:bCs w:val="0"/>
          <w:color w:val="auto"/>
          <w:sz w:val="32"/>
          <w:szCs w:val="32"/>
        </w:rPr>
      </w:pPr>
      <w:bookmarkStart w:id="19" w:name="_Toc19731"/>
      <w:bookmarkEnd w:id="19"/>
      <w:bookmarkStart w:id="20" w:name="_Toc20874"/>
      <w:bookmarkEnd w:id="20"/>
      <w:bookmarkStart w:id="21" w:name="_Toc21838"/>
      <w:bookmarkEnd w:id="21"/>
      <w:bookmarkStart w:id="22" w:name="_Toc17606"/>
      <w:bookmarkEnd w:id="22"/>
      <w:bookmarkStart w:id="23" w:name="_Toc18561"/>
      <w:bookmarkEnd w:id="23"/>
      <w:bookmarkStart w:id="24" w:name="_Toc19365"/>
      <w:bookmarkEnd w:id="24"/>
      <w:bookmarkStart w:id="25" w:name="_Toc2717"/>
      <w:bookmarkEnd w:id="25"/>
      <w:bookmarkStart w:id="26" w:name="_Toc13092"/>
      <w:bookmarkEnd w:id="26"/>
      <w:bookmarkStart w:id="27" w:name="_Toc19278"/>
      <w:bookmarkEnd w:id="27"/>
      <w:r>
        <w:rPr>
          <w:rFonts w:hint="eastAsia" w:ascii="黑体" w:hAnsi="黑体" w:eastAsia="黑体" w:cs="黑体"/>
          <w:b w:val="0"/>
          <w:bCs w:val="0"/>
          <w:color w:val="auto"/>
          <w:sz w:val="32"/>
          <w:szCs w:val="32"/>
        </w:rPr>
        <w:t>第一章  投标邀请函</w:t>
      </w:r>
    </w:p>
    <w:p w14:paraId="4130F2E5">
      <w:pPr>
        <w:pStyle w:val="60"/>
        <w:spacing w:line="500" w:lineRule="exact"/>
        <w:ind w:firstLine="567"/>
        <w:rPr>
          <w:rFonts w:ascii="华文仿宋" w:hAnsi="华文仿宋" w:cs="华文仿宋"/>
          <w:color w:val="auto"/>
          <w:highlight w:val="none"/>
        </w:rPr>
      </w:pPr>
      <w:r>
        <w:rPr>
          <w:rFonts w:hint="eastAsia" w:ascii="华文仿宋" w:hAnsi="华文仿宋" w:cs="华文仿宋"/>
          <w:b/>
          <w:bCs/>
          <w:color w:val="auto"/>
          <w:lang w:val="en-US" w:eastAsia="zh-CN"/>
        </w:rPr>
        <w:t>延安职业技术学院2026年-2028年校园绿化管护及环境卫生保洁采购项目</w:t>
      </w:r>
      <w:r>
        <w:rPr>
          <w:rFonts w:hint="eastAsia" w:ascii="华文仿宋" w:hAnsi="华文仿宋" w:cs="华文仿宋"/>
          <w:color w:val="auto"/>
        </w:rPr>
        <w:t>潜在的投标人可在全国公共</w:t>
      </w:r>
      <w:r>
        <w:rPr>
          <w:rFonts w:hint="eastAsia" w:ascii="华文仿宋" w:hAnsi="华文仿宋" w:cs="华文仿宋"/>
          <w:color w:val="auto"/>
          <w:highlight w:val="none"/>
        </w:rPr>
        <w:t>资源交易平台（陕西省·延安市）</w:t>
      </w:r>
      <w:r>
        <w:rPr>
          <w:rFonts w:hint="eastAsia" w:ascii="华文仿宋" w:hAnsi="华文仿宋" w:cs="华文仿宋"/>
          <w:color w:val="auto"/>
          <w:highlight w:val="none"/>
          <w:lang w:val="en-US" w:eastAsia="zh-CN"/>
        </w:rPr>
        <w:t>电子交易平台</w:t>
      </w:r>
      <w:r>
        <w:rPr>
          <w:rFonts w:hint="eastAsia" w:ascii="华文仿宋" w:hAnsi="华文仿宋" w:cs="华文仿宋"/>
          <w:color w:val="auto"/>
          <w:highlight w:val="none"/>
        </w:rPr>
        <w:t>免费获取招标文件，并于</w:t>
      </w:r>
      <w:r>
        <w:rPr>
          <w:rFonts w:hint="eastAsia" w:ascii="仿宋" w:hAnsi="仿宋" w:eastAsia="仿宋" w:cs="仿宋"/>
          <w:color w:val="auto"/>
          <w:highlight w:val="none"/>
        </w:rPr>
        <w:t>202</w:t>
      </w:r>
      <w:r>
        <w:rPr>
          <w:rFonts w:hint="eastAsia" w:ascii="仿宋" w:hAnsi="仿宋" w:eastAsia="仿宋" w:cs="仿宋"/>
          <w:color w:val="auto"/>
          <w:highlight w:val="none"/>
          <w:lang w:val="en-US" w:eastAsia="zh-CN"/>
        </w:rPr>
        <w:t>6</w:t>
      </w:r>
      <w:r>
        <w:rPr>
          <w:rFonts w:hint="eastAsia" w:ascii="仿宋" w:hAnsi="仿宋" w:eastAsia="仿宋" w:cs="仿宋"/>
          <w:color w:val="auto"/>
          <w:highlight w:val="none"/>
        </w:rPr>
        <w:t>-</w:t>
      </w:r>
      <w:r>
        <w:rPr>
          <w:rFonts w:hint="eastAsia" w:ascii="仿宋" w:hAnsi="仿宋" w:eastAsia="仿宋" w:cs="仿宋"/>
          <w:color w:val="auto"/>
          <w:highlight w:val="none"/>
          <w:lang w:val="en-US" w:eastAsia="zh-CN"/>
        </w:rPr>
        <w:t>9</w:t>
      </w:r>
      <w:r>
        <w:rPr>
          <w:rFonts w:hint="eastAsia" w:ascii="仿宋" w:hAnsi="仿宋" w:eastAsia="仿宋" w:cs="仿宋"/>
          <w:color w:val="auto"/>
          <w:highlight w:val="none"/>
        </w:rPr>
        <w:t>-</w:t>
      </w:r>
      <w:r>
        <w:rPr>
          <w:rFonts w:hint="eastAsia" w:ascii="仿宋" w:hAnsi="仿宋" w:eastAsia="仿宋" w:cs="仿宋"/>
          <w:color w:val="auto"/>
          <w:highlight w:val="none"/>
          <w:lang w:val="en-US" w:eastAsia="zh-CN"/>
        </w:rPr>
        <w:t>1    09</w:t>
      </w:r>
      <w:r>
        <w:rPr>
          <w:rFonts w:hint="eastAsia" w:ascii="仿宋" w:hAnsi="仿宋" w:eastAsia="仿宋" w:cs="仿宋"/>
          <w:color w:val="auto"/>
          <w:highlight w:val="none"/>
        </w:rPr>
        <w:t>:</w:t>
      </w:r>
      <w:r>
        <w:rPr>
          <w:rFonts w:hint="eastAsia" w:ascii="仿宋" w:hAnsi="仿宋" w:eastAsia="仿宋" w:cs="仿宋"/>
          <w:color w:val="auto"/>
          <w:highlight w:val="none"/>
          <w:lang w:val="en-US" w:eastAsia="zh-CN"/>
        </w:rPr>
        <w:t>00</w:t>
      </w:r>
      <w:r>
        <w:rPr>
          <w:rFonts w:hint="eastAsia" w:ascii="仿宋" w:hAnsi="仿宋" w:eastAsia="仿宋" w:cs="仿宋"/>
          <w:color w:val="auto"/>
          <w:highlight w:val="none"/>
        </w:rPr>
        <w:t>:00</w:t>
      </w:r>
      <w:r>
        <w:rPr>
          <w:rFonts w:hint="eastAsia" w:ascii="华文仿宋" w:hAnsi="华文仿宋" w:cs="华文仿宋"/>
          <w:color w:val="auto"/>
          <w:highlight w:val="none"/>
        </w:rPr>
        <w:t xml:space="preserve">前递交投标文件。 </w:t>
      </w:r>
    </w:p>
    <w:p w14:paraId="31C980E4">
      <w:pPr>
        <w:numPr>
          <w:ilvl w:val="0"/>
          <w:numId w:val="3"/>
        </w:numPr>
        <w:spacing w:line="500" w:lineRule="exact"/>
        <w:ind w:left="0" w:leftChars="0" w:firstLine="566" w:firstLineChars="200"/>
        <w:rPr>
          <w:rFonts w:hint="eastAsia" w:ascii="仿宋" w:hAnsi="仿宋" w:eastAsia="仿宋" w:cs="仿宋"/>
          <w:color w:val="auto"/>
          <w:lang w:eastAsia="zh-CN"/>
        </w:rPr>
      </w:pPr>
      <w:r>
        <w:rPr>
          <w:rFonts w:hint="eastAsia" w:ascii="华文仿宋" w:hAnsi="华文仿宋" w:cs="华文仿宋"/>
          <w:b/>
          <w:bCs/>
          <w:color w:val="auto"/>
        </w:rPr>
        <w:t>项目名称：</w:t>
      </w:r>
      <w:r>
        <w:rPr>
          <w:rFonts w:hint="eastAsia" w:ascii="华文仿宋" w:hAnsi="华文仿宋" w:cs="华文仿宋"/>
          <w:b w:val="0"/>
          <w:bCs w:val="0"/>
          <w:color w:val="auto"/>
          <w:lang w:val="en-US" w:eastAsia="zh-CN"/>
        </w:rPr>
        <w:t>延安职业技术学院2026年-2028年校园绿化管护及环境卫生保洁采购项目。一标段：校园绿化管护；二标段：校园环境卫生保洁。</w:t>
      </w:r>
    </w:p>
    <w:p w14:paraId="6A58607F">
      <w:pPr>
        <w:numPr>
          <w:ilvl w:val="0"/>
          <w:numId w:val="3"/>
        </w:numPr>
        <w:spacing w:line="500" w:lineRule="exact"/>
        <w:ind w:left="0" w:leftChars="0" w:firstLine="566" w:firstLineChars="200"/>
        <w:rPr>
          <w:rFonts w:hint="default" w:ascii="仿宋" w:hAnsi="仿宋" w:eastAsia="仿宋" w:cs="仿宋"/>
          <w:b w:val="0"/>
          <w:bCs w:val="0"/>
          <w:color w:val="auto"/>
          <w:lang w:val="en-US" w:eastAsia="zh-CN"/>
        </w:rPr>
      </w:pPr>
      <w:r>
        <w:rPr>
          <w:rFonts w:hint="eastAsia" w:ascii="华文仿宋" w:hAnsi="华文仿宋" w:cs="华文仿宋"/>
          <w:b/>
          <w:bCs/>
          <w:color w:val="auto"/>
        </w:rPr>
        <w:t>项目编号：</w:t>
      </w:r>
      <w:r>
        <w:rPr>
          <w:rFonts w:hint="eastAsia" w:ascii="宋体" w:hAnsi="宋体" w:eastAsia="宋体" w:cs="宋体"/>
          <w:b w:val="0"/>
          <w:bCs w:val="0"/>
          <w:color w:val="auto"/>
          <w:lang w:eastAsia="zh-CN"/>
        </w:rPr>
        <w:t>YAZCXG202</w:t>
      </w:r>
      <w:r>
        <w:rPr>
          <w:rFonts w:hint="eastAsia" w:ascii="宋体" w:hAnsi="宋体" w:eastAsia="宋体" w:cs="宋体"/>
          <w:b w:val="0"/>
          <w:bCs w:val="0"/>
          <w:color w:val="auto"/>
          <w:lang w:val="en-US" w:eastAsia="zh-CN"/>
        </w:rPr>
        <w:t>6</w:t>
      </w:r>
      <w:r>
        <w:rPr>
          <w:rFonts w:hint="eastAsia" w:ascii="宋体" w:hAnsi="宋体" w:eastAsia="宋体" w:cs="宋体"/>
          <w:b w:val="0"/>
          <w:bCs w:val="0"/>
          <w:color w:val="auto"/>
          <w:lang w:eastAsia="zh-CN"/>
        </w:rPr>
        <w:t>-</w:t>
      </w:r>
      <w:r>
        <w:rPr>
          <w:rFonts w:hint="eastAsia" w:ascii="宋体" w:hAnsi="宋体" w:eastAsia="宋体" w:cs="宋体"/>
          <w:b w:val="0"/>
          <w:bCs w:val="0"/>
          <w:color w:val="auto"/>
          <w:lang w:val="en-US" w:eastAsia="zh-CN"/>
        </w:rPr>
        <w:t>6。一标段：YAZCXG2026-6-A；二标段：YAZCXG2026-6-B</w:t>
      </w:r>
    </w:p>
    <w:p w14:paraId="05CE7E3D">
      <w:pPr>
        <w:numPr>
          <w:ilvl w:val="0"/>
          <w:numId w:val="0"/>
        </w:numPr>
        <w:spacing w:line="500" w:lineRule="exact"/>
        <w:ind w:leftChars="200"/>
        <w:rPr>
          <w:rFonts w:hint="eastAsia" w:ascii="华文仿宋" w:cs="Times New Roman"/>
          <w:color w:val="auto"/>
        </w:rPr>
      </w:pPr>
      <w:r>
        <w:rPr>
          <w:rFonts w:hint="eastAsia" w:ascii="华文仿宋" w:hAnsi="华文仿宋" w:cs="华文仿宋"/>
          <w:b/>
          <w:bCs/>
          <w:color w:val="auto"/>
          <w:lang w:val="en-US" w:eastAsia="zh-CN"/>
        </w:rPr>
        <w:t>三、</w:t>
      </w:r>
      <w:r>
        <w:rPr>
          <w:rFonts w:hint="eastAsia" w:ascii="华文仿宋" w:hAnsi="华文仿宋" w:cs="华文仿宋"/>
          <w:b/>
          <w:bCs/>
          <w:color w:val="auto"/>
        </w:rPr>
        <w:t>采购人：</w:t>
      </w:r>
      <w:r>
        <w:rPr>
          <w:rFonts w:hint="eastAsia" w:ascii="华文仿宋" w:hAnsi="华文仿宋" w:cs="华文仿宋"/>
          <w:b w:val="0"/>
          <w:bCs w:val="0"/>
          <w:color w:val="auto"/>
          <w:lang w:val="en-US" w:eastAsia="zh-CN"/>
        </w:rPr>
        <w:t>延安职业技术学院</w:t>
      </w:r>
    </w:p>
    <w:p w14:paraId="00B103F5">
      <w:pPr>
        <w:pStyle w:val="61"/>
        <w:spacing w:line="500" w:lineRule="exact"/>
        <w:rPr>
          <w:rFonts w:hint="default" w:ascii="华文仿宋" w:hAnsi="华文仿宋" w:cs="华文仿宋"/>
          <w:color w:val="auto"/>
          <w:lang w:val="en-US" w:eastAsia="zh-CN"/>
        </w:rPr>
      </w:pPr>
      <w:r>
        <w:rPr>
          <w:rFonts w:hint="eastAsia" w:ascii="华文仿宋" w:hAnsi="华文仿宋" w:cs="华文仿宋"/>
          <w:color w:val="auto"/>
        </w:rPr>
        <w:t>地址：</w:t>
      </w:r>
      <w:r>
        <w:rPr>
          <w:rFonts w:hint="eastAsia" w:ascii="华文仿宋" w:hAnsi="华文仿宋" w:cs="华文仿宋"/>
          <w:color w:val="auto"/>
          <w:lang w:eastAsia="zh-CN"/>
        </w:rPr>
        <w:t>延安市</w:t>
      </w:r>
      <w:r>
        <w:rPr>
          <w:rFonts w:hint="eastAsia" w:ascii="华文仿宋" w:hAnsi="华文仿宋" w:cs="华文仿宋"/>
          <w:color w:val="auto"/>
          <w:lang w:val="en-US" w:eastAsia="zh-CN"/>
        </w:rPr>
        <w:t>宝塔区枣园路555号</w:t>
      </w:r>
    </w:p>
    <w:p w14:paraId="095F140D">
      <w:pPr>
        <w:pStyle w:val="61"/>
        <w:spacing w:line="500" w:lineRule="exact"/>
        <w:rPr>
          <w:rFonts w:ascii="华文仿宋" w:hAnsi="华文仿宋" w:cs="华文仿宋"/>
          <w:color w:val="auto"/>
        </w:rPr>
      </w:pPr>
      <w:r>
        <w:rPr>
          <w:rFonts w:ascii="华文仿宋" w:hAnsi="华文仿宋" w:cs="华文仿宋"/>
          <w:color w:val="auto"/>
        </w:rPr>
        <w:t>联系人：</w:t>
      </w:r>
      <w:r>
        <w:rPr>
          <w:rFonts w:hint="eastAsia" w:ascii="华文仿宋" w:hAnsi="华文仿宋" w:cs="华文仿宋"/>
          <w:color w:val="auto"/>
          <w:lang w:val="en-US" w:eastAsia="zh-CN"/>
        </w:rPr>
        <w:t>张先生</w:t>
      </w:r>
    </w:p>
    <w:p w14:paraId="715C41C0">
      <w:pPr>
        <w:pStyle w:val="61"/>
        <w:spacing w:line="500" w:lineRule="exact"/>
        <w:rPr>
          <w:rFonts w:hint="default" w:ascii="华文仿宋" w:hAnsi="华文仿宋" w:eastAsia="华文仿宋" w:cs="华文仿宋"/>
          <w:color w:val="auto"/>
          <w:lang w:val="en-US" w:eastAsia="zh-CN"/>
        </w:rPr>
      </w:pPr>
      <w:r>
        <w:rPr>
          <w:rFonts w:hint="eastAsia" w:ascii="华文仿宋" w:hAnsi="华文仿宋" w:cs="华文仿宋"/>
          <w:color w:val="auto"/>
        </w:rPr>
        <w:t>联系方式：</w:t>
      </w:r>
      <w:r>
        <w:rPr>
          <w:rFonts w:hint="eastAsia" w:ascii="华文仿宋" w:hAnsi="华文仿宋" w:cs="华文仿宋"/>
          <w:color w:val="auto"/>
          <w:lang w:val="en-US" w:eastAsia="zh-CN"/>
        </w:rPr>
        <w:t>13892130222</w:t>
      </w:r>
    </w:p>
    <w:p w14:paraId="5425B151">
      <w:pPr>
        <w:numPr>
          <w:ilvl w:val="0"/>
          <w:numId w:val="3"/>
        </w:numPr>
        <w:spacing w:line="500" w:lineRule="exact"/>
        <w:ind w:left="0" w:leftChars="0" w:firstLine="566" w:firstLineChars="200"/>
        <w:rPr>
          <w:rFonts w:hint="eastAsia" w:ascii="华文仿宋" w:hAnsi="华文仿宋" w:cs="华文仿宋"/>
          <w:color w:val="auto"/>
          <w:lang w:val="zh-CN"/>
        </w:rPr>
      </w:pPr>
      <w:r>
        <w:rPr>
          <w:rFonts w:hint="eastAsia" w:ascii="华文仿宋" w:hAnsi="华文仿宋" w:cs="华文仿宋"/>
          <w:b/>
          <w:bCs/>
          <w:color w:val="auto"/>
        </w:rPr>
        <w:t>采购代理机构</w:t>
      </w:r>
      <w:r>
        <w:rPr>
          <w:rFonts w:hint="eastAsia" w:ascii="华文仿宋" w:hAnsi="华文仿宋" w:cs="华文仿宋"/>
          <w:color w:val="auto"/>
        </w:rPr>
        <w:t>：</w:t>
      </w:r>
      <w:r>
        <w:rPr>
          <w:rFonts w:hint="eastAsia" w:ascii="华文仿宋" w:hAnsi="华文仿宋" w:cs="华文仿宋"/>
          <w:color w:val="auto"/>
          <w:lang w:val="zh-CN"/>
        </w:rPr>
        <w:t>延安市公共资源交易中心（延安市市直单位</w:t>
      </w:r>
      <w:r>
        <w:rPr>
          <w:rFonts w:hint="eastAsia" w:ascii="华文仿宋" w:hAnsi="华文仿宋" w:cs="华文仿宋"/>
          <w:color w:val="auto"/>
          <w:lang w:val="en-US" w:eastAsia="zh-CN"/>
        </w:rPr>
        <w:t xml:space="preserve">    </w:t>
      </w:r>
    </w:p>
    <w:p w14:paraId="52CBB53C">
      <w:pPr>
        <w:numPr>
          <w:ilvl w:val="0"/>
          <w:numId w:val="0"/>
        </w:numPr>
        <w:spacing w:line="500" w:lineRule="exact"/>
        <w:ind w:firstLine="1132" w:firstLineChars="400"/>
        <w:rPr>
          <w:rFonts w:ascii="华文仿宋" w:cs="Times New Roman"/>
          <w:color w:val="auto"/>
        </w:rPr>
      </w:pPr>
      <w:r>
        <w:rPr>
          <w:rFonts w:hint="eastAsia" w:ascii="华文仿宋" w:hAnsi="华文仿宋" w:cs="华文仿宋"/>
          <w:color w:val="auto"/>
          <w:lang w:val="zh-CN"/>
        </w:rPr>
        <w:t>政府采购中心）</w:t>
      </w:r>
    </w:p>
    <w:p w14:paraId="1FF1551D">
      <w:pPr>
        <w:pStyle w:val="61"/>
        <w:spacing w:line="500" w:lineRule="exact"/>
        <w:rPr>
          <w:rFonts w:hint="eastAsia" w:ascii="华文仿宋" w:eastAsia="华文仿宋" w:cs="Times New Roman"/>
          <w:color w:val="auto"/>
          <w:lang w:eastAsia="zh-CN"/>
        </w:rPr>
      </w:pPr>
      <w:r>
        <w:rPr>
          <w:rFonts w:hint="eastAsia" w:ascii="华文仿宋" w:hAnsi="华文仿宋" w:cs="华文仿宋"/>
          <w:color w:val="auto"/>
        </w:rPr>
        <w:t>地址：</w:t>
      </w:r>
      <w:r>
        <w:rPr>
          <w:rFonts w:hint="eastAsia" w:ascii="华文仿宋" w:hAnsi="华文仿宋" w:eastAsia="华文仿宋" w:cs="华文仿宋"/>
          <w:color w:val="auto"/>
          <w:kern w:val="2"/>
          <w:sz w:val="28"/>
          <w:szCs w:val="28"/>
          <w:lang w:val="zh-CN" w:eastAsia="zh-CN" w:bidi="ar-SA"/>
        </w:rPr>
        <w:t>延安市新区为民服务中心南区东楼（7号楼）A2楼</w:t>
      </w:r>
    </w:p>
    <w:p w14:paraId="519B8B08">
      <w:pPr>
        <w:keepNext w:val="0"/>
        <w:keepLines w:val="0"/>
        <w:pageBreakBefore w:val="0"/>
        <w:widowControl w:val="0"/>
        <w:kinsoku/>
        <w:wordWrap/>
        <w:overflowPunct/>
        <w:topLinePunct w:val="0"/>
        <w:autoSpaceDE/>
        <w:autoSpaceDN/>
        <w:bidi w:val="0"/>
        <w:adjustRightInd/>
        <w:snapToGrid/>
        <w:spacing w:line="420" w:lineRule="exact"/>
        <w:ind w:firstLine="1132" w:firstLineChars="400"/>
        <w:rPr>
          <w:rFonts w:hint="eastAsia" w:ascii="华文仿宋" w:hAnsi="华文仿宋" w:eastAsia="华文仿宋" w:cs="华文仿宋"/>
          <w:color w:val="auto"/>
          <w:kern w:val="2"/>
          <w:sz w:val="28"/>
          <w:szCs w:val="28"/>
          <w:lang w:val="zh-CN" w:eastAsia="zh-CN" w:bidi="ar-SA"/>
        </w:rPr>
      </w:pPr>
      <w:r>
        <w:rPr>
          <w:rFonts w:hint="eastAsia" w:ascii="华文仿宋" w:hAnsi="华文仿宋" w:eastAsia="华文仿宋" w:cs="华文仿宋"/>
          <w:color w:val="auto"/>
          <w:kern w:val="2"/>
          <w:sz w:val="28"/>
          <w:szCs w:val="28"/>
          <w:lang w:val="zh-CN" w:eastAsia="zh-CN" w:bidi="ar-SA"/>
        </w:rPr>
        <w:t>采购文件联系人：</w:t>
      </w:r>
      <w:r>
        <w:rPr>
          <w:rFonts w:hint="eastAsia" w:ascii="华文仿宋" w:hAnsi="华文仿宋" w:cs="华文仿宋"/>
          <w:color w:val="auto"/>
          <w:kern w:val="2"/>
          <w:sz w:val="28"/>
          <w:szCs w:val="28"/>
          <w:lang w:val="en-US" w:eastAsia="zh-CN" w:bidi="ar-SA"/>
        </w:rPr>
        <w:t>高女士</w:t>
      </w:r>
      <w:r>
        <w:rPr>
          <w:rFonts w:hint="eastAsia" w:ascii="华文仿宋" w:hAnsi="华文仿宋" w:eastAsia="华文仿宋" w:cs="华文仿宋"/>
          <w:color w:val="auto"/>
          <w:kern w:val="2"/>
          <w:sz w:val="28"/>
          <w:szCs w:val="28"/>
          <w:lang w:val="zh-CN" w:eastAsia="zh-CN" w:bidi="ar-SA"/>
        </w:rPr>
        <w:t xml:space="preserve">   </w:t>
      </w:r>
      <w:r>
        <w:rPr>
          <w:rFonts w:hint="eastAsia" w:ascii="华文仿宋" w:hAnsi="华文仿宋" w:cs="华文仿宋"/>
          <w:color w:val="auto"/>
          <w:kern w:val="2"/>
          <w:sz w:val="28"/>
          <w:szCs w:val="28"/>
          <w:lang w:val="en-US" w:eastAsia="zh-CN" w:bidi="ar-SA"/>
        </w:rPr>
        <w:t>魏</w:t>
      </w:r>
      <w:r>
        <w:rPr>
          <w:rFonts w:hint="eastAsia" w:ascii="华文仿宋" w:hAnsi="华文仿宋" w:eastAsia="华文仿宋" w:cs="华文仿宋"/>
          <w:color w:val="auto"/>
          <w:kern w:val="2"/>
          <w:sz w:val="28"/>
          <w:szCs w:val="28"/>
          <w:lang w:val="zh-CN" w:eastAsia="zh-CN" w:bidi="ar-SA"/>
        </w:rPr>
        <w:t xml:space="preserve">女士  </w:t>
      </w:r>
    </w:p>
    <w:p w14:paraId="23FF488F">
      <w:pPr>
        <w:keepNext w:val="0"/>
        <w:keepLines w:val="0"/>
        <w:pageBreakBefore w:val="0"/>
        <w:widowControl w:val="0"/>
        <w:kinsoku/>
        <w:wordWrap/>
        <w:overflowPunct/>
        <w:topLinePunct w:val="0"/>
        <w:autoSpaceDE/>
        <w:autoSpaceDN/>
        <w:bidi w:val="0"/>
        <w:adjustRightInd/>
        <w:snapToGrid/>
        <w:spacing w:line="420" w:lineRule="exact"/>
        <w:ind w:firstLine="1132" w:firstLineChars="400"/>
        <w:rPr>
          <w:rFonts w:hint="default" w:ascii="华文仿宋" w:hAnsi="华文仿宋" w:eastAsia="华文仿宋" w:cs="华文仿宋"/>
          <w:color w:val="auto"/>
          <w:kern w:val="2"/>
          <w:sz w:val="28"/>
          <w:szCs w:val="28"/>
          <w:lang w:val="en-US" w:eastAsia="zh-CN" w:bidi="ar-SA"/>
        </w:rPr>
      </w:pPr>
      <w:r>
        <w:rPr>
          <w:rFonts w:hint="eastAsia" w:ascii="华文仿宋" w:hAnsi="华文仿宋" w:eastAsia="华文仿宋" w:cs="华文仿宋"/>
          <w:color w:val="auto"/>
          <w:kern w:val="2"/>
          <w:sz w:val="28"/>
          <w:szCs w:val="28"/>
          <w:lang w:val="zh-CN" w:eastAsia="zh-CN" w:bidi="ar-SA"/>
        </w:rPr>
        <w:t>联系电话：</w:t>
      </w:r>
      <w:r>
        <w:rPr>
          <w:rFonts w:hint="eastAsia" w:ascii="华文仿宋" w:hAnsi="华文仿宋" w:eastAsia="华文仿宋" w:cs="华文仿宋"/>
          <w:color w:val="auto"/>
          <w:kern w:val="2"/>
          <w:sz w:val="28"/>
          <w:szCs w:val="28"/>
          <w:lang w:val="en-US" w:eastAsia="zh-CN" w:bidi="ar-SA"/>
        </w:rPr>
        <w:t>0911-709222</w:t>
      </w:r>
      <w:r>
        <w:rPr>
          <w:rFonts w:hint="eastAsia" w:ascii="华文仿宋" w:hAnsi="华文仿宋" w:cs="华文仿宋"/>
          <w:color w:val="auto"/>
          <w:kern w:val="2"/>
          <w:sz w:val="28"/>
          <w:szCs w:val="28"/>
          <w:lang w:val="en-US" w:eastAsia="zh-CN" w:bidi="ar-SA"/>
        </w:rPr>
        <w:t>1</w:t>
      </w:r>
    </w:p>
    <w:p w14:paraId="6D386570">
      <w:pPr>
        <w:spacing w:line="500" w:lineRule="exact"/>
        <w:ind w:firstLine="566" w:firstLineChars="200"/>
        <w:rPr>
          <w:rFonts w:cs="Times New Roman"/>
          <w:color w:val="auto"/>
        </w:rPr>
      </w:pPr>
      <w:r>
        <w:rPr>
          <w:rFonts w:hint="eastAsia" w:ascii="华文仿宋" w:hAnsi="华文仿宋" w:cs="华文仿宋"/>
          <w:b/>
          <w:bCs/>
          <w:color w:val="auto"/>
        </w:rPr>
        <w:t>五、招标内容和要求</w:t>
      </w:r>
    </w:p>
    <w:p w14:paraId="653E79EB">
      <w:pPr>
        <w:numPr>
          <w:ilvl w:val="0"/>
          <w:numId w:val="0"/>
        </w:numPr>
        <w:spacing w:line="500" w:lineRule="exact"/>
        <w:ind w:firstLine="566" w:firstLineChars="200"/>
        <w:rPr>
          <w:rFonts w:hint="eastAsia" w:ascii="华文仿宋" w:hAnsi="华文仿宋" w:eastAsia="华文仿宋" w:cs="华文仿宋"/>
          <w:color w:val="auto"/>
          <w:kern w:val="2"/>
          <w:sz w:val="28"/>
          <w:szCs w:val="28"/>
          <w:lang w:val="zh-CN" w:eastAsia="zh-CN" w:bidi="ar-SA"/>
        </w:rPr>
      </w:pPr>
      <w:r>
        <w:rPr>
          <w:rFonts w:hint="eastAsia" w:ascii="华文仿宋" w:hAnsi="华文仿宋" w:eastAsia="华文仿宋" w:cs="华文仿宋"/>
          <w:color w:val="auto"/>
          <w:kern w:val="2"/>
          <w:sz w:val="28"/>
          <w:szCs w:val="28"/>
          <w:lang w:val="zh-CN" w:eastAsia="zh-CN" w:bidi="ar-SA"/>
        </w:rPr>
        <w:t>延安职业技术学院2026年-2028年校园绿化管护及环境卫生保洁采购项目〈招标内容及采购要求〉）。</w:t>
      </w:r>
    </w:p>
    <w:p w14:paraId="50B26DD8">
      <w:pPr>
        <w:spacing w:line="500" w:lineRule="exact"/>
        <w:ind w:firstLine="566" w:firstLineChars="200"/>
        <w:rPr>
          <w:rFonts w:hint="eastAsia" w:ascii="华文仿宋" w:hAnsi="华文仿宋" w:eastAsia="华文仿宋" w:cs="华文仿宋"/>
          <w:color w:val="auto"/>
          <w:lang w:eastAsia="zh-CN"/>
        </w:rPr>
      </w:pPr>
      <w:r>
        <w:rPr>
          <w:rFonts w:hint="eastAsia" w:ascii="华文仿宋" w:hAnsi="华文仿宋" w:cs="华文仿宋"/>
          <w:b/>
          <w:color w:val="auto"/>
        </w:rPr>
        <w:t>六、资金来源</w:t>
      </w:r>
      <w:r>
        <w:rPr>
          <w:rFonts w:hint="eastAsia" w:ascii="华文仿宋" w:hAnsi="华文仿宋" w:cs="华文仿宋"/>
          <w:color w:val="auto"/>
        </w:rPr>
        <w:t>：</w:t>
      </w:r>
      <w:r>
        <w:rPr>
          <w:rFonts w:hint="eastAsia" w:ascii="华文仿宋" w:hAnsi="华文仿宋" w:cs="华文仿宋"/>
          <w:color w:val="auto"/>
          <w:lang w:val="en-US" w:eastAsia="zh-CN"/>
        </w:rPr>
        <w:t>财政拨款</w:t>
      </w:r>
    </w:p>
    <w:p w14:paraId="4C5D91B2">
      <w:pPr>
        <w:spacing w:line="500" w:lineRule="exact"/>
        <w:ind w:left="566" w:leftChars="200" w:firstLine="0" w:firstLineChars="0"/>
        <w:rPr>
          <w:rFonts w:hint="default" w:ascii="华文仿宋" w:hAnsi="华文仿宋" w:cs="华文仿宋"/>
          <w:color w:val="auto"/>
          <w:lang w:val="en-US" w:eastAsia="zh-CN"/>
        </w:rPr>
      </w:pPr>
      <w:r>
        <w:rPr>
          <w:rFonts w:hint="eastAsia" w:ascii="华文仿宋" w:hAnsi="华文仿宋" w:cs="华文仿宋"/>
          <w:b/>
          <w:bCs/>
          <w:color w:val="auto"/>
        </w:rPr>
        <w:t>七、采购预算：</w:t>
      </w:r>
      <w:r>
        <w:rPr>
          <w:rFonts w:hint="eastAsia" w:ascii="仿宋" w:hAnsi="仿宋" w:eastAsia="仿宋" w:cs="仿宋"/>
          <w:color w:val="auto"/>
          <w:lang w:val="en-US" w:eastAsia="zh-CN"/>
        </w:rPr>
        <w:t>330.38万</w:t>
      </w:r>
      <w:r>
        <w:rPr>
          <w:rFonts w:hint="eastAsia" w:ascii="华文仿宋" w:hAnsi="华文仿宋" w:cs="华文仿宋"/>
          <w:color w:val="auto"/>
        </w:rPr>
        <w:t>元</w:t>
      </w:r>
      <w:r>
        <w:rPr>
          <w:rFonts w:hint="eastAsia" w:ascii="华文仿宋" w:hAnsi="华文仿宋" w:cs="华文仿宋"/>
          <w:color w:val="auto"/>
          <w:lang w:val="en-US" w:eastAsia="zh-CN"/>
        </w:rPr>
        <w:t>/年</w:t>
      </w:r>
      <w:r>
        <w:rPr>
          <w:rFonts w:hint="eastAsia" w:ascii="华文仿宋" w:hAnsi="华文仿宋" w:cs="华文仿宋"/>
          <w:b w:val="0"/>
          <w:bCs w:val="0"/>
          <w:color w:val="auto"/>
          <w:lang w:eastAsia="zh-CN"/>
        </w:rPr>
        <w:t>；</w:t>
      </w:r>
      <w:r>
        <w:rPr>
          <w:rFonts w:hint="eastAsia" w:ascii="华文仿宋" w:hAnsi="华文仿宋" w:cs="华文仿宋"/>
          <w:b w:val="0"/>
          <w:bCs w:val="0"/>
          <w:color w:val="auto"/>
          <w:lang w:val="en-US" w:eastAsia="zh-CN"/>
        </w:rPr>
        <w:t>一标段：110.06万元</w:t>
      </w:r>
      <w:r>
        <w:rPr>
          <w:rFonts w:hint="eastAsia" w:ascii="华文仿宋" w:hAnsi="华文仿宋" w:cs="华文仿宋"/>
          <w:color w:val="auto"/>
          <w:lang w:val="en-US" w:eastAsia="zh-CN"/>
        </w:rPr>
        <w:t>/年</w:t>
      </w:r>
      <w:r>
        <w:rPr>
          <w:rFonts w:hint="eastAsia" w:ascii="华文仿宋" w:hAnsi="华文仿宋" w:cs="华文仿宋"/>
          <w:b w:val="0"/>
          <w:bCs w:val="0"/>
          <w:color w:val="auto"/>
          <w:lang w:val="en-US" w:eastAsia="zh-CN"/>
        </w:rPr>
        <w:t>，二标段：220.32万元</w:t>
      </w:r>
      <w:r>
        <w:rPr>
          <w:rFonts w:hint="eastAsia" w:ascii="华文仿宋" w:hAnsi="华文仿宋" w:cs="华文仿宋"/>
          <w:color w:val="auto"/>
          <w:lang w:val="en-US" w:eastAsia="zh-CN"/>
        </w:rPr>
        <w:t>/年</w:t>
      </w:r>
      <w:r>
        <w:rPr>
          <w:rFonts w:hint="eastAsia" w:ascii="华文仿宋" w:hAnsi="华文仿宋" w:cs="华文仿宋"/>
          <w:b w:val="0"/>
          <w:bCs w:val="0"/>
          <w:color w:val="auto"/>
          <w:lang w:val="en-US" w:eastAsia="zh-CN"/>
        </w:rPr>
        <w:t>。</w:t>
      </w:r>
    </w:p>
    <w:p w14:paraId="1DC5FBE7">
      <w:pPr>
        <w:spacing w:line="500" w:lineRule="exact"/>
        <w:ind w:firstLine="566" w:firstLineChars="200"/>
        <w:rPr>
          <w:rFonts w:hint="default" w:ascii="华文仿宋" w:hAnsi="华文仿宋" w:eastAsia="华文仿宋" w:cs="华文仿宋"/>
          <w:color w:val="auto"/>
          <w:highlight w:val="none"/>
          <w:lang w:val="en-US" w:eastAsia="zh-CN"/>
        </w:rPr>
      </w:pPr>
      <w:r>
        <w:rPr>
          <w:rFonts w:hint="eastAsia" w:ascii="华文仿宋" w:hAnsi="华文仿宋" w:cs="华文仿宋"/>
          <w:b/>
          <w:bCs/>
          <w:color w:val="auto"/>
          <w:highlight w:val="none"/>
        </w:rPr>
        <w:t>八、所属行业：</w:t>
      </w:r>
      <w:r>
        <w:rPr>
          <w:rFonts w:hint="eastAsia" w:ascii="华文仿宋" w:hAnsi="华文仿宋" w:cs="华文仿宋"/>
          <w:b/>
          <w:bCs/>
          <w:color w:val="auto"/>
          <w:highlight w:val="none"/>
          <w:lang w:val="en-US" w:eastAsia="zh-CN"/>
        </w:rPr>
        <w:t>一标段：</w:t>
      </w:r>
      <w:r>
        <w:rPr>
          <w:rFonts w:hint="eastAsia" w:ascii="华文仿宋" w:hAnsi="华文仿宋" w:cs="华文仿宋"/>
          <w:b w:val="0"/>
          <w:bCs w:val="0"/>
          <w:color w:val="auto"/>
          <w:highlight w:val="none"/>
          <w:lang w:val="en-US" w:eastAsia="zh-CN"/>
        </w:rPr>
        <w:t>其他未列明行业</w:t>
      </w:r>
      <w:r>
        <w:rPr>
          <w:rFonts w:hint="eastAsia" w:ascii="华文仿宋" w:hAnsi="华文仿宋" w:cs="华文仿宋"/>
          <w:b w:val="0"/>
          <w:bCs w:val="0"/>
          <w:color w:val="auto"/>
          <w:highlight w:val="none"/>
          <w:lang w:eastAsia="zh-CN"/>
        </w:rPr>
        <w:t>；</w:t>
      </w:r>
      <w:r>
        <w:rPr>
          <w:rFonts w:hint="eastAsia" w:ascii="华文仿宋" w:hAnsi="华文仿宋" w:cs="华文仿宋"/>
          <w:b/>
          <w:bCs/>
          <w:color w:val="auto"/>
          <w:highlight w:val="none"/>
          <w:lang w:val="en-US" w:eastAsia="zh-CN"/>
        </w:rPr>
        <w:t>一标段</w:t>
      </w:r>
      <w:r>
        <w:rPr>
          <w:rFonts w:hint="eastAsia" w:ascii="华文仿宋" w:hAnsi="华文仿宋" w:cs="华文仿宋"/>
          <w:b w:val="0"/>
          <w:bCs w:val="0"/>
          <w:color w:val="auto"/>
          <w:highlight w:val="none"/>
          <w:lang w:val="en-US" w:eastAsia="zh-CN"/>
        </w:rPr>
        <w:t>：物业管理。</w:t>
      </w:r>
    </w:p>
    <w:p w14:paraId="194EA06E">
      <w:pPr>
        <w:spacing w:line="500" w:lineRule="exact"/>
        <w:ind w:firstLine="566" w:firstLineChars="200"/>
        <w:rPr>
          <w:rFonts w:ascii="华文仿宋" w:hAnsi="华文仿宋" w:cs="华文仿宋"/>
          <w:b/>
          <w:bCs/>
          <w:color w:val="auto"/>
        </w:rPr>
      </w:pPr>
      <w:r>
        <w:rPr>
          <w:rFonts w:hint="eastAsia" w:ascii="华文仿宋" w:hAnsi="华文仿宋" w:cs="华文仿宋"/>
          <w:b/>
          <w:bCs/>
          <w:color w:val="auto"/>
        </w:rPr>
        <w:t>九、项目属性：</w:t>
      </w:r>
      <w:r>
        <w:rPr>
          <w:rFonts w:hint="eastAsia" w:ascii="华文仿宋" w:hAnsi="华文仿宋" w:cs="华文仿宋"/>
          <w:color w:val="auto"/>
          <w:lang w:val="en-US" w:eastAsia="zh-CN"/>
        </w:rPr>
        <w:t>服务</w:t>
      </w:r>
      <w:r>
        <w:rPr>
          <w:rFonts w:hint="eastAsia" w:ascii="华文仿宋" w:hAnsi="华文仿宋" w:cs="华文仿宋"/>
          <w:color w:val="auto"/>
        </w:rPr>
        <w:t>类</w:t>
      </w:r>
    </w:p>
    <w:p w14:paraId="4C0C35FB">
      <w:pPr>
        <w:spacing w:line="500" w:lineRule="exact"/>
        <w:ind w:firstLine="566" w:firstLineChars="200"/>
        <w:rPr>
          <w:rFonts w:ascii="华文仿宋" w:hAnsi="华文仿宋" w:cs="华文仿宋"/>
          <w:b/>
          <w:bCs/>
          <w:color w:val="auto"/>
        </w:rPr>
      </w:pPr>
      <w:r>
        <w:rPr>
          <w:rFonts w:hint="eastAsia" w:ascii="华文仿宋" w:hAnsi="华文仿宋" w:cs="华文仿宋"/>
          <w:b/>
          <w:bCs/>
          <w:color w:val="auto"/>
        </w:rPr>
        <w:t>十、投标人资格要求</w:t>
      </w:r>
    </w:p>
    <w:p w14:paraId="1E146180">
      <w:pPr>
        <w:spacing w:line="500" w:lineRule="exact"/>
        <w:ind w:firstLine="566" w:firstLineChars="200"/>
        <w:rPr>
          <w:rFonts w:hint="eastAsia" w:ascii="华文仿宋" w:hAnsi="华文仿宋" w:cs="华文仿宋"/>
          <w:color w:val="auto"/>
          <w:kern w:val="0"/>
          <w:lang w:val="zh-CN"/>
        </w:rPr>
      </w:pPr>
      <w:r>
        <w:rPr>
          <w:rFonts w:hint="eastAsia" w:ascii="华文仿宋" w:hAnsi="华文仿宋" w:cs="华文仿宋"/>
          <w:color w:val="auto"/>
        </w:rPr>
        <w:t>符合《中华人民共和国政府采购法》第二十二条的规定，</w:t>
      </w:r>
      <w:r>
        <w:rPr>
          <w:rFonts w:hint="eastAsia" w:ascii="华文仿宋" w:hAnsi="华文仿宋" w:cs="华文仿宋"/>
          <w:color w:val="auto"/>
          <w:kern w:val="0"/>
          <w:lang w:val="zh-CN"/>
        </w:rPr>
        <w:t>并提供下列材料：</w:t>
      </w:r>
    </w:p>
    <w:p w14:paraId="0123D602">
      <w:pPr>
        <w:keepNext w:val="0"/>
        <w:keepLines w:val="0"/>
        <w:pageBreakBefore w:val="0"/>
        <w:widowControl/>
        <w:kinsoku/>
        <w:wordWrap/>
        <w:overflowPunct/>
        <w:topLinePunct w:val="0"/>
        <w:autoSpaceDE/>
        <w:autoSpaceDN/>
        <w:bidi w:val="0"/>
        <w:adjustRightInd/>
        <w:snapToGrid/>
        <w:spacing w:line="500" w:lineRule="exact"/>
        <w:ind w:firstLine="566" w:firstLineChars="200"/>
        <w:rPr>
          <w:rFonts w:ascii="华文仿宋" w:cs="Times New Roman"/>
          <w:color w:val="auto"/>
        </w:rPr>
      </w:pPr>
      <w:r>
        <w:rPr>
          <w:rFonts w:ascii="华文仿宋" w:hAnsi="华文仿宋" w:cs="华文仿宋"/>
          <w:color w:val="auto"/>
        </w:rPr>
        <w:t>1</w:t>
      </w:r>
      <w:r>
        <w:rPr>
          <w:rFonts w:hint="eastAsia" w:ascii="华文仿宋" w:hAnsi="华文仿宋" w:cs="华文仿宋"/>
          <w:color w:val="auto"/>
          <w:lang w:val="en-US" w:eastAsia="zh-CN"/>
        </w:rPr>
        <w:t>.</w:t>
      </w:r>
      <w:r>
        <w:rPr>
          <w:rFonts w:hint="eastAsia" w:ascii="华文仿宋" w:hAnsi="华文仿宋" w:cs="华文仿宋"/>
          <w:color w:val="auto"/>
        </w:rPr>
        <w:t>营业执照等主体资格证明文件：提供有效存续的企业营业执照（副本）</w:t>
      </w:r>
      <w:r>
        <w:rPr>
          <w:rFonts w:ascii="华文仿宋" w:hAnsi="华文仿宋" w:cs="华文仿宋"/>
          <w:color w:val="auto"/>
        </w:rPr>
        <w:t>/</w:t>
      </w:r>
      <w:r>
        <w:rPr>
          <w:rFonts w:hint="eastAsia" w:ascii="华文仿宋" w:hAnsi="华文仿宋" w:cs="华文仿宋"/>
          <w:color w:val="auto"/>
        </w:rPr>
        <w:t>事业单位法人证书</w:t>
      </w:r>
      <w:r>
        <w:rPr>
          <w:rFonts w:ascii="华文仿宋" w:hAnsi="华文仿宋" w:cs="华文仿宋"/>
          <w:color w:val="auto"/>
        </w:rPr>
        <w:t>/</w:t>
      </w:r>
      <w:r>
        <w:rPr>
          <w:rFonts w:hint="eastAsia" w:ascii="华文仿宋" w:hAnsi="华文仿宋" w:cs="华文仿宋"/>
          <w:color w:val="auto"/>
        </w:rPr>
        <w:t>专业服务机构执业许可证</w:t>
      </w:r>
      <w:r>
        <w:rPr>
          <w:rFonts w:ascii="华文仿宋" w:hAnsi="华文仿宋" w:cs="华文仿宋"/>
          <w:color w:val="auto"/>
        </w:rPr>
        <w:t>/</w:t>
      </w:r>
      <w:r>
        <w:rPr>
          <w:rFonts w:hint="eastAsia" w:ascii="华文仿宋" w:hAnsi="华文仿宋" w:cs="华文仿宋"/>
          <w:color w:val="auto"/>
        </w:rPr>
        <w:t>民办非企业单位登记证书。</w:t>
      </w:r>
    </w:p>
    <w:p w14:paraId="350CEAEA">
      <w:pPr>
        <w:keepNext w:val="0"/>
        <w:keepLines w:val="0"/>
        <w:pageBreakBefore w:val="0"/>
        <w:widowControl/>
        <w:kinsoku/>
        <w:wordWrap/>
        <w:overflowPunct/>
        <w:topLinePunct w:val="0"/>
        <w:autoSpaceDE/>
        <w:autoSpaceDN/>
        <w:bidi w:val="0"/>
        <w:adjustRightInd/>
        <w:snapToGrid/>
        <w:spacing w:line="500" w:lineRule="exact"/>
        <w:ind w:firstLine="566" w:firstLineChars="200"/>
        <w:rPr>
          <w:rFonts w:hint="eastAsia" w:ascii="华文仿宋" w:hAnsi="华文仿宋" w:eastAsia="华文仿宋" w:cs="华文仿宋"/>
          <w:color w:val="auto"/>
          <w:lang w:eastAsia="zh-CN"/>
        </w:rPr>
      </w:pPr>
      <w:r>
        <w:rPr>
          <w:rFonts w:ascii="华文仿宋" w:hAnsi="华文仿宋" w:cs="华文仿宋"/>
          <w:color w:val="auto"/>
        </w:rPr>
        <w:t>2</w:t>
      </w:r>
      <w:r>
        <w:rPr>
          <w:rFonts w:hint="eastAsia" w:ascii="华文仿宋" w:hAnsi="华文仿宋" w:cs="华文仿宋"/>
          <w:color w:val="auto"/>
          <w:lang w:val="en-US" w:eastAsia="zh-CN"/>
        </w:rPr>
        <w:t>.</w:t>
      </w:r>
      <w:r>
        <w:rPr>
          <w:rFonts w:hint="eastAsia" w:ascii="华文仿宋" w:hAnsi="华文仿宋" w:cs="华文仿宋"/>
          <w:color w:val="auto"/>
        </w:rPr>
        <w:t>信用记录：提供《供应商信用记录书面声明函》（按格式填写，提供原件）。经查，投标人未被列入“信用中国”网站记录的“失信被执行人”或“重大税收违法</w:t>
      </w:r>
      <w:r>
        <w:rPr>
          <w:rFonts w:hint="eastAsia" w:ascii="华文仿宋" w:hAnsi="华文仿宋" w:cs="华文仿宋"/>
          <w:color w:val="auto"/>
          <w:lang w:val="en-US" w:eastAsia="zh-CN"/>
        </w:rPr>
        <w:t>失信主体</w:t>
      </w:r>
      <w:r>
        <w:rPr>
          <w:rFonts w:hint="eastAsia" w:ascii="华文仿宋" w:hAnsi="华文仿宋" w:cs="华文仿宋"/>
          <w:color w:val="auto"/>
        </w:rPr>
        <w:t>”名单；不处于“中国政府采购网”记录的“政府采购严重违法失信行为记录名单”中的禁止参加政府采购活动期间</w:t>
      </w:r>
      <w:r>
        <w:rPr>
          <w:rFonts w:hint="eastAsia" w:ascii="华文仿宋" w:hAnsi="华文仿宋" w:cs="华文仿宋"/>
          <w:color w:val="auto"/>
          <w:lang w:eastAsia="zh-CN"/>
        </w:rPr>
        <w:t>。</w:t>
      </w:r>
    </w:p>
    <w:p w14:paraId="39679051">
      <w:pPr>
        <w:spacing w:line="500" w:lineRule="exact"/>
        <w:ind w:firstLine="566" w:firstLineChars="200"/>
        <w:rPr>
          <w:rFonts w:ascii="华文仿宋" w:hAnsi="华文仿宋" w:cs="华文仿宋"/>
          <w:color w:val="auto"/>
        </w:rPr>
      </w:pPr>
      <w:r>
        <w:rPr>
          <w:rFonts w:hint="eastAsia" w:ascii="华文仿宋" w:hAnsi="华文仿宋" w:cs="华文仿宋"/>
          <w:color w:val="auto"/>
        </w:rPr>
        <w:t>3</w:t>
      </w:r>
      <w:r>
        <w:rPr>
          <w:rFonts w:hint="eastAsia" w:ascii="华文仿宋" w:hAnsi="华文仿宋" w:cs="华文仿宋"/>
          <w:color w:val="auto"/>
          <w:lang w:val="en-US" w:eastAsia="zh-CN"/>
        </w:rPr>
        <w:t>.</w:t>
      </w:r>
      <w:r>
        <w:rPr>
          <w:rFonts w:hint="eastAsia" w:ascii="华文仿宋" w:hAnsi="华文仿宋" w:cs="华文仿宋"/>
          <w:color w:val="auto"/>
        </w:rPr>
        <w:t>控股管理关系：提供直接控股和管理关系清单。若与其他投标人存在单位负责人为同一人或者存在直接控股、管理关系的，则投标无效。</w:t>
      </w:r>
    </w:p>
    <w:p w14:paraId="7F4EA57B">
      <w:pPr>
        <w:spacing w:line="500" w:lineRule="exact"/>
        <w:ind w:firstLine="566" w:firstLineChars="200"/>
        <w:rPr>
          <w:rFonts w:ascii="华文仿宋" w:hAnsi="华文仿宋" w:cs="华文仿宋"/>
          <w:color w:val="auto"/>
        </w:rPr>
      </w:pPr>
      <w:r>
        <w:rPr>
          <w:rFonts w:hint="eastAsia" w:ascii="华文仿宋" w:hAnsi="华文仿宋" w:cs="华文仿宋"/>
          <w:color w:val="auto"/>
        </w:rPr>
        <w:t>4</w:t>
      </w:r>
      <w:r>
        <w:rPr>
          <w:rFonts w:hint="eastAsia" w:ascii="华文仿宋" w:hAnsi="华文仿宋" w:cs="华文仿宋"/>
          <w:color w:val="auto"/>
          <w:lang w:val="en-US" w:eastAsia="zh-CN"/>
        </w:rPr>
        <w:t>.</w:t>
      </w:r>
      <w:r>
        <w:rPr>
          <w:rFonts w:hint="eastAsia" w:ascii="华文仿宋" w:hAnsi="华文仿宋" w:cs="华文仿宋"/>
          <w:color w:val="auto"/>
        </w:rPr>
        <w:t>书面声明：提供书面声明，包括声明具有履行合同所必需的设备和专业技术能力；未为本项目提供整体设计、规范编制或者项目管理、监理、检测等服务。</w:t>
      </w:r>
    </w:p>
    <w:p w14:paraId="2578395B">
      <w:pPr>
        <w:spacing w:line="500" w:lineRule="exact"/>
        <w:ind w:firstLine="566" w:firstLineChars="200"/>
        <w:rPr>
          <w:rFonts w:hint="eastAsia" w:ascii="华文仿宋" w:hAnsi="华文仿宋" w:cs="华文仿宋"/>
          <w:color w:val="auto"/>
        </w:rPr>
      </w:pPr>
      <w:r>
        <w:rPr>
          <w:rFonts w:hint="eastAsia" w:ascii="华文仿宋" w:hAnsi="华文仿宋" w:cs="华文仿宋"/>
          <w:color w:val="auto"/>
        </w:rPr>
        <w:t>5</w:t>
      </w:r>
      <w:r>
        <w:rPr>
          <w:rFonts w:hint="eastAsia" w:ascii="华文仿宋" w:hAnsi="华文仿宋" w:cs="华文仿宋"/>
          <w:color w:val="auto"/>
          <w:lang w:val="en-US" w:eastAsia="zh-CN"/>
        </w:rPr>
        <w:t>.</w:t>
      </w:r>
      <w:r>
        <w:rPr>
          <w:rFonts w:hint="eastAsia" w:ascii="华文仿宋" w:hAnsi="华文仿宋" w:cs="华文仿宋"/>
          <w:color w:val="auto"/>
        </w:rPr>
        <w:t>法定代表人授权委托书：法定代表人参加投标的，须提供本人身份证</w:t>
      </w:r>
      <w:r>
        <w:rPr>
          <w:rFonts w:hint="eastAsia" w:ascii="华文仿宋" w:hAnsi="华文仿宋" w:cs="华文仿宋"/>
          <w:color w:val="auto"/>
          <w:lang w:val="en-US" w:eastAsia="zh-CN"/>
        </w:rPr>
        <w:t>扫描件</w:t>
      </w:r>
      <w:r>
        <w:rPr>
          <w:rFonts w:hint="eastAsia" w:ascii="华文仿宋" w:hAnsi="华文仿宋" w:cs="华文仿宋"/>
          <w:color w:val="auto"/>
        </w:rPr>
        <w:t>（附在资格证明文件中）；法定代表人授权他人参加投标的，须提供法定代表人授权委托书。招标文件中凡是需要法定代表人盖章之处，非法人单位的负责人均参照执行。</w:t>
      </w:r>
    </w:p>
    <w:p w14:paraId="21BE3D49">
      <w:pPr>
        <w:spacing w:line="500" w:lineRule="exact"/>
        <w:ind w:firstLine="566" w:firstLineChars="200"/>
      </w:pPr>
      <w:r>
        <w:rPr>
          <w:rFonts w:hint="eastAsia" w:ascii="华文仿宋" w:hAnsi="华文仿宋" w:cs="华文仿宋"/>
          <w:color w:val="auto"/>
          <w:lang w:eastAsia="zh-CN"/>
        </w:rPr>
        <w:t>法人的</w:t>
      </w:r>
      <w:r>
        <w:rPr>
          <w:rFonts w:hint="eastAsia" w:ascii="华文仿宋" w:hAnsi="华文仿宋" w:cs="华文仿宋"/>
          <w:color w:val="auto"/>
        </w:rPr>
        <w:t>分支机构参与投标时，</w:t>
      </w:r>
      <w:r>
        <w:rPr>
          <w:rFonts w:hint="eastAsia" w:ascii="华文仿宋" w:hAnsi="华文仿宋" w:cs="华文仿宋"/>
          <w:color w:val="auto"/>
          <w:lang w:eastAsia="zh-CN"/>
        </w:rPr>
        <w:t>除提供《</w:t>
      </w:r>
      <w:r>
        <w:rPr>
          <w:rFonts w:hint="eastAsia" w:ascii="华文仿宋" w:hAnsi="华文仿宋" w:cs="华文仿宋"/>
          <w:color w:val="auto"/>
        </w:rPr>
        <w:t>法定代表人授权委托书</w:t>
      </w:r>
      <w:r>
        <w:rPr>
          <w:rFonts w:hint="eastAsia" w:ascii="华文仿宋" w:hAnsi="华文仿宋" w:cs="华文仿宋"/>
          <w:color w:val="auto"/>
          <w:lang w:eastAsia="zh-CN"/>
        </w:rPr>
        <w:t>》外，还须同时提供总公司给分支机构</w:t>
      </w:r>
      <w:r>
        <w:rPr>
          <w:rFonts w:hint="eastAsia" w:ascii="华文仿宋" w:hAnsi="华文仿宋" w:cs="华文仿宋"/>
          <w:color w:val="auto"/>
        </w:rPr>
        <w:t>出具的授权书。</w:t>
      </w:r>
    </w:p>
    <w:p w14:paraId="2900F9B8">
      <w:pPr>
        <w:numPr>
          <w:ilvl w:val="0"/>
          <w:numId w:val="0"/>
        </w:numPr>
        <w:spacing w:line="500" w:lineRule="exact"/>
        <w:ind w:firstLine="566" w:firstLineChars="200"/>
        <w:rPr>
          <w:rFonts w:hint="eastAsia" w:ascii="华文仿宋" w:hAnsi="华文仿宋" w:cs="华文仿宋"/>
          <w:b w:val="0"/>
          <w:bCs w:val="0"/>
          <w:color w:val="auto"/>
          <w:kern w:val="0"/>
          <w:sz w:val="28"/>
          <w:szCs w:val="28"/>
          <w:lang w:val="en-US" w:eastAsia="zh-CN" w:bidi="ar-SA"/>
        </w:rPr>
      </w:pPr>
      <w:r>
        <w:rPr>
          <w:rFonts w:hint="eastAsia" w:ascii="华文仿宋" w:hAnsi="华文仿宋" w:eastAsia="华文仿宋" w:cs="华文仿宋"/>
          <w:b w:val="0"/>
          <w:bCs w:val="0"/>
          <w:color w:val="auto"/>
          <w:kern w:val="0"/>
          <w:sz w:val="28"/>
          <w:szCs w:val="28"/>
          <w:lang w:val="en-US" w:eastAsia="zh-CN" w:bidi="ar-SA"/>
        </w:rPr>
        <w:t>6.</w:t>
      </w:r>
      <w:r>
        <w:rPr>
          <w:rFonts w:hint="eastAsia" w:ascii="华文仿宋" w:hAnsi="华文仿宋" w:cs="华文仿宋"/>
          <w:b w:val="0"/>
          <w:bCs w:val="0"/>
          <w:color w:val="auto"/>
          <w:kern w:val="0"/>
          <w:sz w:val="28"/>
          <w:szCs w:val="28"/>
          <w:lang w:val="en-US" w:eastAsia="zh-CN" w:bidi="ar-SA"/>
        </w:rPr>
        <w:t>投标人需提供财务状况、缴纳税收和社会保障资金三项符合要求的承诺函（无需另行提供证明文件）。</w:t>
      </w:r>
    </w:p>
    <w:p w14:paraId="3E0C637F">
      <w:pPr>
        <w:spacing w:line="500" w:lineRule="exact"/>
        <w:ind w:firstLine="566" w:firstLineChars="200"/>
        <w:rPr>
          <w:rFonts w:hint="eastAsia" w:ascii="华文仿宋" w:hAnsi="华文仿宋" w:cs="华文仿宋"/>
          <w:color w:val="auto"/>
          <w:lang w:eastAsia="zh-CN"/>
        </w:rPr>
      </w:pPr>
      <w:r>
        <w:rPr>
          <w:rFonts w:hint="eastAsia" w:ascii="华文仿宋" w:hAnsi="华文仿宋" w:cs="华文仿宋"/>
          <w:b/>
          <w:bCs/>
          <w:color w:val="auto"/>
          <w:kern w:val="0"/>
          <w:sz w:val="28"/>
          <w:szCs w:val="28"/>
          <w:lang w:val="en-US" w:eastAsia="zh-CN" w:bidi="ar-SA"/>
        </w:rPr>
        <w:t>7.</w:t>
      </w:r>
      <w:r>
        <w:rPr>
          <w:rFonts w:hint="eastAsia" w:ascii="华文仿宋" w:hAnsi="华文仿宋" w:cs="华文仿宋"/>
          <w:b/>
          <w:bCs/>
          <w:color w:val="auto"/>
        </w:rPr>
        <w:t>本项目</w:t>
      </w:r>
      <w:r>
        <w:rPr>
          <w:rFonts w:hint="eastAsia" w:ascii="华文仿宋" w:hAnsi="华文仿宋" w:cs="华文仿宋"/>
          <w:b/>
          <w:bCs/>
          <w:color w:val="auto"/>
          <w:kern w:val="0"/>
        </w:rPr>
        <w:t>不接受</w:t>
      </w:r>
      <w:r>
        <w:rPr>
          <w:rFonts w:hint="eastAsia" w:ascii="华文仿宋" w:hAnsi="华文仿宋" w:cs="华文仿宋"/>
          <w:b/>
          <w:bCs/>
          <w:color w:val="auto"/>
        </w:rPr>
        <w:t>联合体投标，不允许分包。</w:t>
      </w:r>
      <w:r>
        <w:rPr>
          <w:rFonts w:hint="eastAsia" w:ascii="华文仿宋" w:hAnsi="华文仿宋" w:cs="华文仿宋"/>
          <w:color w:val="auto"/>
        </w:rPr>
        <w:t>投标人提供《非联合体不分包投标声明》，</w:t>
      </w:r>
      <w:r>
        <w:rPr>
          <w:rFonts w:hint="eastAsia" w:ascii="华文仿宋" w:hAnsi="华文仿宋" w:cs="华文仿宋"/>
          <w:color w:val="auto"/>
          <w:lang w:eastAsia="zh-CN"/>
        </w:rPr>
        <w:t>视为独立投标，不分包。</w:t>
      </w:r>
    </w:p>
    <w:p w14:paraId="66883CA1">
      <w:pPr>
        <w:spacing w:line="440" w:lineRule="exact"/>
        <w:ind w:firstLine="426" w:firstLineChars="200"/>
        <w:rPr>
          <w:rFonts w:ascii="宋体" w:hAnsi="宋体" w:eastAsia="宋体" w:cs="宋体"/>
          <w:color w:val="auto"/>
          <w:sz w:val="21"/>
          <w:szCs w:val="21"/>
        </w:rPr>
      </w:pPr>
      <w:r>
        <w:rPr>
          <w:rFonts w:hint="eastAsia" w:ascii="宋体" w:hAnsi="宋体" w:eastAsia="宋体" w:cs="宋体"/>
          <w:color w:val="auto"/>
          <w:sz w:val="21"/>
          <w:szCs w:val="21"/>
        </w:rPr>
        <w:t>备注：</w:t>
      </w:r>
      <w:r>
        <w:rPr>
          <w:rFonts w:hint="eastAsia" w:ascii="宋体" w:hAnsi="宋体" w:eastAsia="宋体" w:cs="宋体"/>
          <w:color w:val="auto"/>
          <w:sz w:val="21"/>
          <w:szCs w:val="21"/>
          <w:lang w:val="en-US" w:eastAsia="zh-CN"/>
        </w:rPr>
        <w:t>1.</w:t>
      </w:r>
      <w:r>
        <w:rPr>
          <w:rFonts w:hint="eastAsia" w:ascii="宋体" w:hAnsi="宋体" w:eastAsia="宋体" w:cs="宋体"/>
          <w:color w:val="auto"/>
          <w:sz w:val="21"/>
          <w:szCs w:val="21"/>
        </w:rPr>
        <w:t>以上资格要求均为必备资格，需提供相关证明文件并加盖投标人公章（如相关证明材料由第三方出具，应有第三方公章），缺少其中任何一项，其投标文件视为无效文件。</w:t>
      </w:r>
    </w:p>
    <w:p w14:paraId="731B1085">
      <w:pPr>
        <w:spacing w:line="440" w:lineRule="exact"/>
        <w:ind w:firstLine="426" w:firstLineChars="200"/>
        <w:rPr>
          <w:rFonts w:ascii="宋体" w:hAnsi="宋体" w:eastAsia="宋体" w:cs="宋体"/>
          <w:color w:val="auto"/>
          <w:sz w:val="21"/>
          <w:szCs w:val="21"/>
        </w:rPr>
      </w:pPr>
      <w:r>
        <w:rPr>
          <w:rFonts w:hint="eastAsia" w:ascii="宋体" w:hAnsi="宋体" w:eastAsia="宋体" w:cs="宋体"/>
          <w:color w:val="auto"/>
          <w:sz w:val="21"/>
          <w:szCs w:val="21"/>
          <w:lang w:val="en-US" w:eastAsia="zh-CN"/>
        </w:rPr>
        <w:t>2.《承诺函》、</w:t>
      </w:r>
      <w:r>
        <w:rPr>
          <w:rFonts w:hint="eastAsia" w:ascii="宋体" w:hAnsi="宋体" w:eastAsia="宋体" w:cs="宋体"/>
          <w:color w:val="auto"/>
          <w:sz w:val="21"/>
          <w:szCs w:val="21"/>
        </w:rPr>
        <w:t>《供应商信用记录书面声明函》、《法定代表人授权委托书》</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《书面声明》、《残疾人福利性单位声明函》、《非联合体不分包投标声明》应按招标文件第六章第一部分给定的格式填写。</w:t>
      </w:r>
    </w:p>
    <w:p w14:paraId="38063FF4">
      <w:pPr>
        <w:spacing w:line="440" w:lineRule="exact"/>
        <w:ind w:firstLine="426" w:firstLineChars="200"/>
        <w:rPr>
          <w:rFonts w:ascii="宋体" w:hAnsi="宋体" w:eastAsia="宋体" w:cs="宋体"/>
          <w:color w:val="auto"/>
          <w:sz w:val="21"/>
          <w:szCs w:val="21"/>
        </w:rPr>
      </w:pP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lang w:eastAsia="zh-CN"/>
        </w:rPr>
        <w:t>法人的</w:t>
      </w:r>
      <w:r>
        <w:rPr>
          <w:rFonts w:hint="eastAsia" w:ascii="宋体" w:hAnsi="宋体" w:eastAsia="宋体" w:cs="宋体"/>
          <w:color w:val="auto"/>
          <w:sz w:val="21"/>
          <w:szCs w:val="21"/>
        </w:rPr>
        <w:t>分支机构参与投标时，投标文件中应附</w:t>
      </w:r>
      <w:r>
        <w:rPr>
          <w:rFonts w:hint="eastAsia" w:ascii="宋体" w:hAnsi="宋体" w:eastAsia="宋体" w:cs="宋体"/>
          <w:color w:val="auto"/>
          <w:sz w:val="21"/>
          <w:szCs w:val="21"/>
          <w:lang w:eastAsia="zh-CN"/>
        </w:rPr>
        <w:t>总公司给分支机构</w:t>
      </w:r>
      <w:r>
        <w:rPr>
          <w:rFonts w:hint="eastAsia" w:ascii="宋体" w:hAnsi="宋体" w:eastAsia="宋体" w:cs="宋体"/>
          <w:color w:val="auto"/>
          <w:sz w:val="21"/>
          <w:szCs w:val="21"/>
        </w:rPr>
        <w:t>出具的授权书。</w:t>
      </w:r>
      <w:r>
        <w:rPr>
          <w:rFonts w:hint="eastAsia" w:ascii="宋体" w:hAnsi="宋体" w:eastAsia="宋体" w:cs="宋体"/>
          <w:color w:val="auto"/>
          <w:sz w:val="21"/>
          <w:szCs w:val="21"/>
          <w:lang w:eastAsia="zh-CN"/>
        </w:rPr>
        <w:t>授权书附在《法定代表人授权委托书》后，如无授权，将被视为无效文件。</w:t>
      </w:r>
      <w:r>
        <w:rPr>
          <w:rFonts w:hint="eastAsia" w:ascii="宋体" w:hAnsi="宋体" w:eastAsia="宋体" w:cs="宋体"/>
          <w:color w:val="auto"/>
          <w:sz w:val="21"/>
          <w:szCs w:val="21"/>
        </w:rPr>
        <w:t>法人只能授权一家分支机构参与投标，且不能与分支机构同时参与投标。</w:t>
      </w:r>
    </w:p>
    <w:p w14:paraId="4868B356">
      <w:pPr>
        <w:spacing w:line="500" w:lineRule="exact"/>
        <w:ind w:firstLine="566" w:firstLineChars="200"/>
        <w:rPr>
          <w:rFonts w:hint="eastAsia" w:cs="华文仿宋"/>
          <w:b/>
          <w:bCs/>
          <w:color w:val="auto"/>
        </w:rPr>
      </w:pPr>
      <w:r>
        <w:rPr>
          <w:rFonts w:hint="eastAsia" w:ascii="华文仿宋" w:hAnsi="华文仿宋" w:cs="华文仿宋"/>
          <w:b/>
          <w:bCs/>
          <w:color w:val="auto"/>
        </w:rPr>
        <w:t>十一</w:t>
      </w:r>
      <w:r>
        <w:rPr>
          <w:rFonts w:hint="eastAsia" w:cs="华文仿宋"/>
          <w:b/>
          <w:bCs/>
          <w:color w:val="auto"/>
        </w:rPr>
        <w:t>、执行的其他政府采购政策</w:t>
      </w:r>
    </w:p>
    <w:p w14:paraId="425DD0ED">
      <w:pPr>
        <w:spacing w:line="500" w:lineRule="exact"/>
        <w:ind w:firstLine="283" w:firstLineChars="100"/>
        <w:rPr>
          <w:rFonts w:hint="eastAsia" w:ascii="华文仿宋" w:hAnsi="华文仿宋" w:cs="华文仿宋"/>
          <w:b/>
          <w:bCs/>
          <w:color w:val="auto"/>
          <w:highlight w:val="none"/>
        </w:rPr>
      </w:pPr>
      <w:r>
        <w:rPr>
          <w:rFonts w:hint="eastAsia" w:ascii="华文仿宋" w:hAnsi="华文仿宋" w:cs="华文仿宋"/>
          <w:b/>
          <w:bCs/>
          <w:color w:val="auto"/>
          <w:highlight w:val="none"/>
          <w:lang w:eastAsia="zh-CN"/>
        </w:rPr>
        <w:t>（</w:t>
      </w:r>
      <w:r>
        <w:rPr>
          <w:rFonts w:hint="eastAsia" w:ascii="华文仿宋" w:hAnsi="华文仿宋" w:cs="华文仿宋"/>
          <w:b/>
          <w:bCs/>
          <w:color w:val="auto"/>
          <w:highlight w:val="none"/>
          <w:lang w:val="en-US" w:eastAsia="zh-CN"/>
        </w:rPr>
        <w:t>一</w:t>
      </w:r>
      <w:r>
        <w:rPr>
          <w:rFonts w:hint="eastAsia" w:ascii="华文仿宋" w:hAnsi="华文仿宋" w:cs="华文仿宋"/>
          <w:b/>
          <w:bCs/>
          <w:color w:val="auto"/>
          <w:highlight w:val="none"/>
          <w:lang w:eastAsia="zh-CN"/>
        </w:rPr>
        <w:t>）</w:t>
      </w:r>
      <w:r>
        <w:rPr>
          <w:rFonts w:hint="eastAsia" w:ascii="华文仿宋" w:hAnsi="华文仿宋" w:cs="华文仿宋"/>
          <w:b/>
          <w:bCs/>
          <w:color w:val="auto"/>
          <w:highlight w:val="none"/>
          <w:lang w:val="en-US" w:eastAsia="zh-CN"/>
        </w:rPr>
        <w:t>本项目</w:t>
      </w:r>
      <w:r>
        <w:rPr>
          <w:rFonts w:hint="eastAsia" w:ascii="华文仿宋" w:hAnsi="华文仿宋" w:cs="华文仿宋"/>
          <w:b/>
          <w:bCs/>
          <w:color w:val="auto"/>
          <w:highlight w:val="none"/>
        </w:rPr>
        <w:t>落实政府采购政策</w:t>
      </w:r>
    </w:p>
    <w:p w14:paraId="00A627C3">
      <w:pPr>
        <w:spacing w:line="500" w:lineRule="exact"/>
        <w:ind w:firstLine="566" w:firstLineChars="200"/>
        <w:rPr>
          <w:rFonts w:hint="eastAsia" w:ascii="华文仿宋" w:hAnsi="华文仿宋" w:cs="华文仿宋"/>
          <w:color w:val="auto"/>
        </w:rPr>
      </w:pPr>
      <w:r>
        <w:rPr>
          <w:rFonts w:hint="eastAsia"/>
          <w:b/>
          <w:bCs/>
          <w:color w:val="auto"/>
          <w:highlight w:val="none"/>
        </w:rPr>
        <w:t>本项目为专门面向</w:t>
      </w:r>
      <w:r>
        <w:rPr>
          <w:rFonts w:hint="eastAsia"/>
          <w:b/>
          <w:bCs/>
          <w:color w:val="auto"/>
          <w:highlight w:val="none"/>
          <w:lang w:val="en-US" w:eastAsia="zh-CN"/>
        </w:rPr>
        <w:t>中小</w:t>
      </w:r>
      <w:r>
        <w:rPr>
          <w:rFonts w:hint="eastAsia"/>
          <w:b/>
          <w:bCs/>
          <w:color w:val="auto"/>
          <w:highlight w:val="none"/>
        </w:rPr>
        <w:t>企业项目</w:t>
      </w:r>
      <w:r>
        <w:rPr>
          <w:rFonts w:hint="eastAsia"/>
          <w:color w:val="auto"/>
          <w:highlight w:val="none"/>
        </w:rPr>
        <w:t>，</w:t>
      </w:r>
      <w:r>
        <w:rPr>
          <w:rFonts w:hint="eastAsia"/>
          <w:color w:val="auto"/>
        </w:rPr>
        <w:t>供应商应为</w:t>
      </w:r>
      <w:r>
        <w:rPr>
          <w:rFonts w:hint="eastAsia" w:ascii="仿宋" w:hAnsi="仿宋" w:eastAsia="仿宋" w:cs="华文仿宋"/>
          <w:color w:val="auto"/>
          <w:lang w:val="en-US" w:eastAsia="zh-CN"/>
        </w:rPr>
        <w:t>中</w:t>
      </w:r>
      <w:r>
        <w:rPr>
          <w:rFonts w:hint="eastAsia" w:ascii="仿宋" w:hAnsi="仿宋" w:eastAsia="仿宋" w:cs="华文仿宋"/>
          <w:color w:val="auto"/>
        </w:rPr>
        <w:t>型、</w:t>
      </w:r>
      <w:r>
        <w:rPr>
          <w:rFonts w:hint="eastAsia" w:ascii="仿宋" w:hAnsi="仿宋" w:eastAsia="仿宋" w:cs="华文仿宋"/>
          <w:color w:val="auto"/>
          <w:lang w:val="en-US" w:eastAsia="zh-CN"/>
        </w:rPr>
        <w:t>小</w:t>
      </w:r>
      <w:r>
        <w:rPr>
          <w:rFonts w:hint="eastAsia" w:ascii="仿宋" w:hAnsi="仿宋" w:eastAsia="仿宋" w:cs="华文仿宋"/>
          <w:color w:val="auto"/>
        </w:rPr>
        <w:t>型</w:t>
      </w:r>
      <w:r>
        <w:rPr>
          <w:rFonts w:hint="eastAsia" w:ascii="仿宋" w:hAnsi="仿宋" w:eastAsia="仿宋" w:cs="华文仿宋"/>
          <w:color w:val="auto"/>
          <w:lang w:eastAsia="zh-CN"/>
        </w:rPr>
        <w:t>、</w:t>
      </w:r>
      <w:r>
        <w:rPr>
          <w:rFonts w:hint="eastAsia" w:ascii="仿宋" w:hAnsi="仿宋" w:eastAsia="仿宋" w:cs="华文仿宋"/>
          <w:color w:val="auto"/>
          <w:lang w:val="en-US" w:eastAsia="zh-CN"/>
        </w:rPr>
        <w:t>微型</w:t>
      </w:r>
      <w:r>
        <w:rPr>
          <w:rFonts w:hint="eastAsia" w:ascii="仿宋" w:hAnsi="仿宋" w:eastAsia="仿宋" w:cs="华文仿宋"/>
          <w:color w:val="auto"/>
        </w:rPr>
        <w:t>企业</w:t>
      </w:r>
      <w:r>
        <w:rPr>
          <w:rFonts w:hint="eastAsia"/>
          <w:color w:val="auto"/>
        </w:rPr>
        <w:t>或监狱企业或残疾人福利性单位。供应</w:t>
      </w:r>
      <w:r>
        <w:rPr>
          <w:rFonts w:hint="eastAsia"/>
          <w:color w:val="auto"/>
          <w:highlight w:val="none"/>
        </w:rPr>
        <w:t>商</w:t>
      </w:r>
      <w:r>
        <w:rPr>
          <w:rFonts w:hint="eastAsia"/>
          <w:color w:val="auto"/>
        </w:rPr>
        <w:t>为</w:t>
      </w:r>
      <w:r>
        <w:rPr>
          <w:rFonts w:hint="eastAsia" w:ascii="仿宋" w:hAnsi="仿宋" w:eastAsia="仿宋" w:cs="华文仿宋"/>
          <w:color w:val="auto"/>
          <w:lang w:val="en-US" w:eastAsia="zh-CN"/>
        </w:rPr>
        <w:t>中</w:t>
      </w:r>
      <w:r>
        <w:rPr>
          <w:rFonts w:hint="eastAsia" w:ascii="仿宋" w:hAnsi="仿宋" w:eastAsia="仿宋" w:cs="华文仿宋"/>
          <w:color w:val="auto"/>
        </w:rPr>
        <w:t>型、</w:t>
      </w:r>
      <w:r>
        <w:rPr>
          <w:rFonts w:hint="eastAsia" w:ascii="仿宋" w:hAnsi="仿宋" w:eastAsia="仿宋" w:cs="华文仿宋"/>
          <w:color w:val="auto"/>
          <w:lang w:val="en-US" w:eastAsia="zh-CN"/>
        </w:rPr>
        <w:t>小</w:t>
      </w:r>
      <w:r>
        <w:rPr>
          <w:rFonts w:hint="eastAsia" w:ascii="仿宋" w:hAnsi="仿宋" w:eastAsia="仿宋" w:cs="华文仿宋"/>
          <w:color w:val="auto"/>
        </w:rPr>
        <w:t>型</w:t>
      </w:r>
      <w:r>
        <w:rPr>
          <w:rFonts w:hint="eastAsia" w:ascii="仿宋" w:hAnsi="仿宋" w:eastAsia="仿宋" w:cs="华文仿宋"/>
          <w:color w:val="auto"/>
          <w:lang w:eastAsia="zh-CN"/>
        </w:rPr>
        <w:t>、</w:t>
      </w:r>
      <w:r>
        <w:rPr>
          <w:rFonts w:hint="eastAsia" w:ascii="仿宋" w:hAnsi="仿宋" w:eastAsia="仿宋" w:cs="华文仿宋"/>
          <w:color w:val="auto"/>
          <w:lang w:val="en-US" w:eastAsia="zh-CN"/>
        </w:rPr>
        <w:t>微型</w:t>
      </w:r>
      <w:r>
        <w:rPr>
          <w:rFonts w:hint="eastAsia"/>
          <w:color w:val="auto"/>
          <w:highlight w:val="none"/>
        </w:rPr>
        <w:t>企业</w:t>
      </w:r>
      <w:r>
        <w:rPr>
          <w:rFonts w:hint="eastAsia" w:ascii="仿宋" w:hAnsi="仿宋" w:eastAsia="仿宋" w:cs="华文仿宋"/>
          <w:color w:val="auto"/>
        </w:rPr>
        <w:t>的</w:t>
      </w:r>
      <w:r>
        <w:rPr>
          <w:rFonts w:hint="eastAsia"/>
          <w:color w:val="auto"/>
          <w:highlight w:val="none"/>
        </w:rPr>
        <w:t>提供《中小企业声明函》，且企业的划分标准所属行业</w:t>
      </w:r>
      <w:r>
        <w:rPr>
          <w:rFonts w:hint="eastAsia"/>
          <w:color w:val="auto"/>
          <w:highlight w:val="none"/>
          <w:lang w:val="en-US" w:eastAsia="zh-CN"/>
        </w:rPr>
        <w:t>一标段</w:t>
      </w:r>
      <w:r>
        <w:rPr>
          <w:rFonts w:hint="eastAsia"/>
          <w:color w:val="auto"/>
          <w:highlight w:val="none"/>
        </w:rPr>
        <w:t>为</w:t>
      </w:r>
      <w:r>
        <w:rPr>
          <w:rFonts w:hint="eastAsia"/>
          <w:color w:val="auto"/>
          <w:highlight w:val="none"/>
          <w:lang w:val="en-US" w:eastAsia="zh-CN"/>
        </w:rPr>
        <w:t>其他未列明行业，二标段为物业管理</w:t>
      </w:r>
      <w:r>
        <w:rPr>
          <w:rFonts w:hint="eastAsia"/>
          <w:color w:val="auto"/>
          <w:highlight w:val="none"/>
        </w:rPr>
        <w:t>；</w:t>
      </w:r>
      <w:r>
        <w:rPr>
          <w:rFonts w:hint="eastAsia"/>
          <w:color w:val="auto"/>
        </w:rPr>
        <w:t>供应商为监狱企业的，应提供监狱企业的证明文件；供应商为残疾人福利性单位的，应提供《残疾人福利性单位声明函》</w:t>
      </w:r>
      <w:r>
        <w:rPr>
          <w:rFonts w:hint="eastAsia"/>
          <w:color w:val="auto"/>
          <w:lang w:eastAsia="zh-CN"/>
        </w:rPr>
        <w:t>（</w:t>
      </w:r>
      <w:r>
        <w:rPr>
          <w:rFonts w:hint="eastAsia" w:ascii="Calibri Light" w:hAnsi="Calibri Light" w:eastAsia="华文仿宋" w:cs="Calibri Light"/>
          <w:b w:val="0"/>
          <w:bCs w:val="0"/>
          <w:color w:val="auto"/>
          <w:kern w:val="2"/>
          <w:sz w:val="28"/>
          <w:szCs w:val="28"/>
          <w:highlight w:val="none"/>
          <w:lang w:val="en-US" w:eastAsia="zh-CN" w:bidi="ar-SA"/>
        </w:rPr>
        <w:t>监狱企业或残疾人福利性单位视同小型、微型企业</w:t>
      </w:r>
      <w:r>
        <w:rPr>
          <w:rFonts w:hint="eastAsia"/>
          <w:color w:val="auto"/>
          <w:lang w:eastAsia="zh-CN"/>
        </w:rPr>
        <w:t>）</w:t>
      </w:r>
      <w:r>
        <w:rPr>
          <w:rFonts w:hint="eastAsia"/>
          <w:color w:val="auto"/>
        </w:rPr>
        <w:t>。</w:t>
      </w:r>
    </w:p>
    <w:p w14:paraId="071F1946">
      <w:pPr>
        <w:spacing w:line="500" w:lineRule="exact"/>
        <w:ind w:firstLine="283" w:firstLineChars="100"/>
        <w:rPr>
          <w:rFonts w:hint="eastAsia" w:cs="华文仿宋"/>
          <w:b/>
          <w:bCs/>
          <w:color w:val="auto"/>
        </w:rPr>
      </w:pPr>
      <w:r>
        <w:rPr>
          <w:rFonts w:hint="eastAsia" w:ascii="华文仿宋" w:hAnsi="华文仿宋" w:cs="华文仿宋"/>
          <w:b/>
          <w:bCs/>
          <w:color w:val="auto"/>
          <w:lang w:eastAsia="zh-CN"/>
        </w:rPr>
        <w:t>（</w:t>
      </w:r>
      <w:r>
        <w:rPr>
          <w:rFonts w:hint="eastAsia" w:ascii="华文仿宋" w:hAnsi="华文仿宋" w:cs="华文仿宋"/>
          <w:b/>
          <w:bCs/>
          <w:color w:val="auto"/>
          <w:lang w:val="en-US" w:eastAsia="zh-CN"/>
        </w:rPr>
        <w:t>二</w:t>
      </w:r>
      <w:r>
        <w:rPr>
          <w:rFonts w:hint="eastAsia" w:ascii="华文仿宋" w:hAnsi="华文仿宋" w:cs="华文仿宋"/>
          <w:b/>
          <w:bCs/>
          <w:color w:val="auto"/>
          <w:lang w:eastAsia="zh-CN"/>
        </w:rPr>
        <w:t>）</w:t>
      </w:r>
      <w:r>
        <w:rPr>
          <w:rFonts w:hint="eastAsia" w:ascii="Calibri Light" w:hAnsi="Calibri Light" w:cs="华文仿宋"/>
          <w:b/>
          <w:bCs/>
          <w:color w:val="auto"/>
          <w:lang w:val="en-US" w:eastAsia="zh-CN"/>
        </w:rPr>
        <w:t>其他政府采购政策</w:t>
      </w:r>
    </w:p>
    <w:p w14:paraId="096044E7">
      <w:pPr>
        <w:spacing w:line="500" w:lineRule="exact"/>
        <w:ind w:firstLine="566" w:firstLineChars="200"/>
        <w:rPr>
          <w:rFonts w:ascii="华文仿宋" w:cs="Times New Roman"/>
          <w:color w:val="auto"/>
        </w:rPr>
      </w:pPr>
      <w:r>
        <w:rPr>
          <w:rFonts w:ascii="华文仿宋" w:hAnsi="华文仿宋" w:cs="华文仿宋"/>
          <w:color w:val="auto"/>
        </w:rPr>
        <w:t>1</w:t>
      </w:r>
      <w:r>
        <w:rPr>
          <w:rFonts w:hint="eastAsia" w:ascii="华文仿宋" w:hAnsi="华文仿宋" w:cs="华文仿宋"/>
          <w:color w:val="auto"/>
          <w:lang w:val="en-US" w:eastAsia="zh-CN"/>
        </w:rPr>
        <w:t>.</w:t>
      </w:r>
      <w:r>
        <w:rPr>
          <w:rFonts w:hint="eastAsia" w:ascii="华文仿宋" w:hAnsi="华文仿宋" w:cs="华文仿宋"/>
          <w:color w:val="auto"/>
        </w:rPr>
        <w:t>《关于在政府采购活动中查询及使用信用记录有关问题的通知》（财库</w:t>
      </w:r>
      <w:r>
        <w:rPr>
          <w:rFonts w:hint="eastAsia" w:ascii="仿宋" w:hAnsi="仿宋" w:eastAsia="仿宋" w:cs="仿宋"/>
          <w:color w:val="auto"/>
        </w:rPr>
        <w:t>〔</w:t>
      </w:r>
      <w:r>
        <w:rPr>
          <w:rFonts w:ascii="仿宋" w:hAnsi="仿宋" w:eastAsia="仿宋" w:cs="仿宋"/>
          <w:color w:val="auto"/>
        </w:rPr>
        <w:t>2016</w:t>
      </w:r>
      <w:r>
        <w:rPr>
          <w:rFonts w:hint="eastAsia" w:ascii="仿宋" w:hAnsi="仿宋" w:eastAsia="仿宋" w:cs="仿宋"/>
          <w:color w:val="auto"/>
        </w:rPr>
        <w:t>〕</w:t>
      </w:r>
      <w:r>
        <w:rPr>
          <w:rFonts w:ascii="仿宋" w:hAnsi="仿宋" w:eastAsia="仿宋" w:cs="仿宋"/>
          <w:color w:val="auto"/>
        </w:rPr>
        <w:t>125</w:t>
      </w:r>
      <w:r>
        <w:rPr>
          <w:rFonts w:hint="eastAsia" w:ascii="华文仿宋" w:hAnsi="华文仿宋" w:cs="华文仿宋"/>
          <w:color w:val="auto"/>
        </w:rPr>
        <w:t>号）。</w:t>
      </w:r>
    </w:p>
    <w:p w14:paraId="507FB7B9">
      <w:pPr>
        <w:spacing w:line="500" w:lineRule="exact"/>
        <w:ind w:firstLine="566" w:firstLineChars="200"/>
        <w:rPr>
          <w:rFonts w:ascii="华文仿宋" w:cs="Times New Roman"/>
          <w:color w:val="auto"/>
        </w:rPr>
      </w:pPr>
      <w:r>
        <w:rPr>
          <w:rFonts w:ascii="华文仿宋" w:hAnsi="华文仿宋" w:cs="华文仿宋"/>
          <w:color w:val="auto"/>
        </w:rPr>
        <w:t>2</w:t>
      </w:r>
      <w:r>
        <w:rPr>
          <w:rFonts w:hint="eastAsia" w:ascii="华文仿宋" w:hAnsi="华文仿宋" w:cs="华文仿宋"/>
          <w:color w:val="auto"/>
          <w:lang w:val="en-US" w:eastAsia="zh-CN"/>
        </w:rPr>
        <w:t>.</w:t>
      </w:r>
      <w:r>
        <w:rPr>
          <w:rFonts w:hint="eastAsia" w:ascii="华文仿宋" w:hAnsi="华文仿宋" w:cs="华文仿宋"/>
          <w:color w:val="auto"/>
        </w:rPr>
        <w:t>《政府采购促进中小企业发展管理办法》（财库</w:t>
      </w:r>
      <w:r>
        <w:rPr>
          <w:rFonts w:hint="eastAsia" w:ascii="仿宋" w:hAnsi="仿宋" w:eastAsia="仿宋" w:cs="仿宋"/>
          <w:color w:val="auto"/>
        </w:rPr>
        <w:t>〔</w:t>
      </w:r>
      <w:r>
        <w:rPr>
          <w:rFonts w:ascii="仿宋" w:hAnsi="仿宋" w:eastAsia="仿宋" w:cs="仿宋"/>
          <w:color w:val="auto"/>
        </w:rPr>
        <w:t>20</w:t>
      </w:r>
      <w:r>
        <w:rPr>
          <w:rFonts w:hint="eastAsia" w:ascii="仿宋" w:hAnsi="仿宋" w:eastAsia="仿宋" w:cs="仿宋"/>
          <w:color w:val="auto"/>
        </w:rPr>
        <w:t>20〕46</w:t>
      </w:r>
      <w:r>
        <w:rPr>
          <w:rFonts w:hint="eastAsia" w:ascii="华文仿宋" w:hAnsi="华文仿宋" w:cs="华文仿宋"/>
          <w:color w:val="auto"/>
        </w:rPr>
        <w:t>号）、《关于政府采购支持监狱企业发展有关问题的通知》（财库</w:t>
      </w:r>
      <w:r>
        <w:rPr>
          <w:rFonts w:hint="eastAsia" w:ascii="仿宋" w:hAnsi="仿宋" w:eastAsia="仿宋" w:cs="仿宋"/>
          <w:color w:val="auto"/>
        </w:rPr>
        <w:t>〔</w:t>
      </w:r>
      <w:r>
        <w:rPr>
          <w:rFonts w:ascii="仿宋" w:hAnsi="仿宋" w:eastAsia="仿宋" w:cs="仿宋"/>
          <w:color w:val="auto"/>
        </w:rPr>
        <w:t>2014</w:t>
      </w:r>
      <w:r>
        <w:rPr>
          <w:rFonts w:hint="eastAsia" w:ascii="仿宋" w:hAnsi="仿宋" w:eastAsia="仿宋" w:cs="仿宋"/>
          <w:color w:val="auto"/>
        </w:rPr>
        <w:t>〕</w:t>
      </w:r>
      <w:r>
        <w:rPr>
          <w:rFonts w:ascii="仿宋" w:hAnsi="仿宋" w:eastAsia="仿宋" w:cs="仿宋"/>
          <w:color w:val="auto"/>
        </w:rPr>
        <w:t>68</w:t>
      </w:r>
      <w:r>
        <w:rPr>
          <w:rFonts w:hint="eastAsia" w:ascii="华文仿宋" w:hAnsi="华文仿宋" w:cs="华文仿宋"/>
          <w:color w:val="auto"/>
        </w:rPr>
        <w:t>号）以及《关于促进残疾人就业政府采购政策的通知》（财库</w:t>
      </w:r>
      <w:r>
        <w:rPr>
          <w:rFonts w:hint="eastAsia" w:ascii="仿宋" w:hAnsi="仿宋" w:eastAsia="仿宋" w:cs="仿宋"/>
          <w:color w:val="auto"/>
        </w:rPr>
        <w:t>〔</w:t>
      </w:r>
      <w:r>
        <w:rPr>
          <w:rFonts w:ascii="仿宋" w:hAnsi="仿宋" w:eastAsia="仿宋" w:cs="仿宋"/>
          <w:color w:val="auto"/>
        </w:rPr>
        <w:t>2017</w:t>
      </w:r>
      <w:r>
        <w:rPr>
          <w:rFonts w:hint="eastAsia" w:ascii="仿宋" w:hAnsi="仿宋" w:eastAsia="仿宋" w:cs="仿宋"/>
          <w:color w:val="auto"/>
        </w:rPr>
        <w:t>〕</w:t>
      </w:r>
      <w:r>
        <w:rPr>
          <w:rFonts w:ascii="仿宋" w:hAnsi="仿宋" w:eastAsia="仿宋" w:cs="仿宋"/>
          <w:color w:val="auto"/>
        </w:rPr>
        <w:t>141</w:t>
      </w:r>
      <w:r>
        <w:rPr>
          <w:rFonts w:hint="eastAsia" w:ascii="华文仿宋" w:hAnsi="华文仿宋" w:cs="华文仿宋"/>
          <w:color w:val="auto"/>
        </w:rPr>
        <w:t>号）。</w:t>
      </w:r>
    </w:p>
    <w:p w14:paraId="2D6E2229">
      <w:pPr>
        <w:spacing w:line="500" w:lineRule="exact"/>
        <w:ind w:firstLine="566" w:firstLineChars="200"/>
        <w:rPr>
          <w:rFonts w:ascii="华文仿宋" w:cs="Times New Roman"/>
          <w:color w:val="auto"/>
        </w:rPr>
      </w:pPr>
      <w:r>
        <w:rPr>
          <w:rFonts w:ascii="华文仿宋" w:hAnsi="华文仿宋" w:cs="华文仿宋"/>
          <w:color w:val="auto"/>
        </w:rPr>
        <w:t>3</w:t>
      </w:r>
      <w:r>
        <w:rPr>
          <w:rFonts w:hint="eastAsia" w:ascii="华文仿宋" w:hAnsi="华文仿宋" w:cs="华文仿宋"/>
          <w:color w:val="auto"/>
          <w:lang w:val="en-US" w:eastAsia="zh-CN"/>
        </w:rPr>
        <w:t>.</w:t>
      </w:r>
      <w:r>
        <w:rPr>
          <w:rFonts w:hint="eastAsia" w:ascii="华文仿宋" w:hAnsi="华文仿宋" w:cs="华文仿宋"/>
          <w:color w:val="auto"/>
        </w:rPr>
        <w:t>国务院办公厅《关于建立政府强制采购节能产品制度的通知》（国办发</w:t>
      </w:r>
      <w:r>
        <w:rPr>
          <w:rFonts w:hint="eastAsia" w:ascii="仿宋" w:hAnsi="仿宋" w:eastAsia="仿宋" w:cs="仿宋"/>
          <w:color w:val="auto"/>
        </w:rPr>
        <w:t>〔</w:t>
      </w:r>
      <w:r>
        <w:rPr>
          <w:rFonts w:ascii="仿宋" w:hAnsi="仿宋" w:eastAsia="仿宋" w:cs="仿宋"/>
          <w:color w:val="auto"/>
        </w:rPr>
        <w:t>2007</w:t>
      </w:r>
      <w:r>
        <w:rPr>
          <w:rFonts w:hint="eastAsia" w:ascii="仿宋" w:hAnsi="仿宋" w:eastAsia="仿宋" w:cs="仿宋"/>
          <w:color w:val="auto"/>
        </w:rPr>
        <w:t>〕</w:t>
      </w:r>
      <w:r>
        <w:rPr>
          <w:rFonts w:ascii="仿宋" w:hAnsi="仿宋" w:eastAsia="仿宋" w:cs="仿宋"/>
          <w:color w:val="auto"/>
        </w:rPr>
        <w:t>51</w:t>
      </w:r>
      <w:r>
        <w:rPr>
          <w:rFonts w:hint="eastAsia" w:ascii="华文仿宋" w:hAnsi="华文仿宋" w:cs="华文仿宋"/>
          <w:color w:val="auto"/>
        </w:rPr>
        <w:t>号）。财政部、国家发改委、生态环境部、市场监管总局联合印发《关于调整优化节能产品、环境标志产品政府采购执行机制的通知》（财库</w:t>
      </w:r>
      <w:r>
        <w:rPr>
          <w:rFonts w:hint="eastAsia" w:ascii="仿宋" w:hAnsi="仿宋" w:eastAsia="仿宋" w:cs="仿宋"/>
          <w:color w:val="auto"/>
        </w:rPr>
        <w:t>〔2019〕9</w:t>
      </w:r>
      <w:r>
        <w:rPr>
          <w:rFonts w:hint="eastAsia" w:ascii="华文仿宋" w:hAnsi="华文仿宋" w:cs="华文仿宋"/>
          <w:color w:val="auto"/>
        </w:rPr>
        <w:t>号）。</w:t>
      </w:r>
    </w:p>
    <w:p w14:paraId="2B1E81F2">
      <w:pPr>
        <w:widowControl w:val="0"/>
        <w:spacing w:line="500" w:lineRule="exact"/>
        <w:ind w:firstLine="566" w:firstLineChars="200"/>
        <w:rPr>
          <w:rFonts w:ascii="华文仿宋" w:hAnsi="华文仿宋" w:cs="华文仿宋"/>
          <w:color w:val="auto"/>
        </w:rPr>
      </w:pPr>
      <w:r>
        <w:rPr>
          <w:rFonts w:ascii="华文仿宋" w:hAnsi="华文仿宋" w:cs="华文仿宋"/>
          <w:color w:val="auto"/>
        </w:rPr>
        <w:t>4</w:t>
      </w:r>
      <w:r>
        <w:rPr>
          <w:rFonts w:hint="eastAsia" w:ascii="华文仿宋" w:hAnsi="华文仿宋" w:cs="华文仿宋"/>
          <w:color w:val="auto"/>
          <w:lang w:val="en-US" w:eastAsia="zh-CN"/>
        </w:rPr>
        <w:t>.</w:t>
      </w:r>
      <w:r>
        <w:rPr>
          <w:rFonts w:hint="eastAsia" w:ascii="华文仿宋" w:hAnsi="华文仿宋" w:cs="华文仿宋"/>
          <w:color w:val="auto"/>
        </w:rPr>
        <w:t>《财政部农业农村部 国家乡村振兴局关于运用政府采购政策支持乡村产业振兴的通知》（财库〔</w:t>
      </w:r>
      <w:r>
        <w:rPr>
          <w:rFonts w:hint="eastAsia" w:ascii="仿宋" w:hAnsi="仿宋" w:eastAsia="仿宋" w:cs="仿宋"/>
          <w:color w:val="auto"/>
        </w:rPr>
        <w:t>2021</w:t>
      </w:r>
      <w:r>
        <w:rPr>
          <w:rFonts w:hint="eastAsia" w:ascii="华文仿宋" w:hAnsi="华文仿宋" w:cs="华文仿宋"/>
          <w:color w:val="auto"/>
        </w:rPr>
        <w:t>〕</w:t>
      </w:r>
      <w:r>
        <w:rPr>
          <w:rFonts w:hint="eastAsia" w:ascii="仿宋" w:hAnsi="仿宋" w:eastAsia="仿宋" w:cs="仿宋"/>
          <w:color w:val="auto"/>
        </w:rPr>
        <w:t>19</w:t>
      </w:r>
      <w:r>
        <w:rPr>
          <w:rFonts w:hint="eastAsia" w:ascii="华文仿宋" w:hAnsi="华文仿宋" w:cs="华文仿宋"/>
          <w:color w:val="auto"/>
        </w:rPr>
        <w:t>号）、《财政部农业农村部 国家乡村振兴局 中华全国供销合作总社关于印发&lt;关于深入开展政府采购脱贫地区农副产品工作推进乡村产业振兴的实施意见&gt;的通知》（财库</w:t>
      </w:r>
      <w:r>
        <w:rPr>
          <w:rFonts w:hint="eastAsia" w:ascii="仿宋" w:hAnsi="仿宋" w:eastAsia="仿宋" w:cs="仿宋"/>
          <w:color w:val="auto"/>
        </w:rPr>
        <w:t>〔2021〕20</w:t>
      </w:r>
      <w:r>
        <w:rPr>
          <w:rFonts w:hint="eastAsia" w:ascii="华文仿宋" w:hAnsi="华文仿宋" w:cs="华文仿宋"/>
          <w:color w:val="auto"/>
        </w:rPr>
        <w:t>号）。</w:t>
      </w:r>
    </w:p>
    <w:p w14:paraId="6020BF0F">
      <w:pPr>
        <w:pStyle w:val="12"/>
        <w:widowControl w:val="0"/>
        <w:spacing w:afterLines="0" w:line="500" w:lineRule="exact"/>
        <w:ind w:firstLine="566" w:firstLineChars="200"/>
        <w:rPr>
          <w:rFonts w:ascii="华文仿宋" w:hAnsi="华文仿宋" w:cs="华文仿宋"/>
          <w:color w:val="auto"/>
          <w:sz w:val="28"/>
          <w:szCs w:val="28"/>
        </w:rPr>
      </w:pPr>
      <w:r>
        <w:rPr>
          <w:rFonts w:hint="eastAsia" w:ascii="华文仿宋" w:hAnsi="华文仿宋" w:cs="华文仿宋"/>
          <w:color w:val="auto"/>
          <w:sz w:val="28"/>
          <w:szCs w:val="28"/>
        </w:rPr>
        <w:t>5</w:t>
      </w:r>
      <w:r>
        <w:rPr>
          <w:rFonts w:hint="eastAsia" w:ascii="华文仿宋" w:hAnsi="华文仿宋" w:cs="华文仿宋"/>
          <w:color w:val="auto"/>
          <w:sz w:val="28"/>
          <w:szCs w:val="28"/>
          <w:lang w:val="en-US" w:eastAsia="zh-CN"/>
        </w:rPr>
        <w:t>.</w:t>
      </w:r>
      <w:r>
        <w:rPr>
          <w:rFonts w:hint="eastAsia" w:ascii="华文仿宋" w:hAnsi="华文仿宋" w:cs="华文仿宋"/>
          <w:color w:val="auto"/>
          <w:sz w:val="28"/>
          <w:szCs w:val="28"/>
        </w:rPr>
        <w:t>《陕西省财政厅关于加快推进我省中小企业政府采购信用融资工作的通知》（陕财办采</w:t>
      </w:r>
      <w:r>
        <w:rPr>
          <w:rFonts w:hint="eastAsia" w:ascii="仿宋" w:hAnsi="仿宋" w:eastAsia="仿宋" w:cs="仿宋"/>
          <w:color w:val="auto"/>
          <w:sz w:val="28"/>
          <w:szCs w:val="28"/>
        </w:rPr>
        <w:t>〔2020〕15</w:t>
      </w:r>
      <w:r>
        <w:rPr>
          <w:rFonts w:hint="eastAsia" w:ascii="华文仿宋" w:hAnsi="华文仿宋" w:cs="华文仿宋"/>
          <w:color w:val="auto"/>
          <w:sz w:val="28"/>
          <w:szCs w:val="28"/>
        </w:rPr>
        <w:t>号）、陕西省财政厅关于印发《陕西省中小企业政府采购信用融资办法》（陕财办采</w:t>
      </w:r>
      <w:r>
        <w:rPr>
          <w:rFonts w:hint="eastAsia" w:ascii="仿宋" w:hAnsi="仿宋" w:eastAsia="仿宋" w:cs="仿宋"/>
          <w:color w:val="auto"/>
          <w:sz w:val="28"/>
          <w:szCs w:val="28"/>
        </w:rPr>
        <w:t>〔2018〕23</w:t>
      </w:r>
      <w:r>
        <w:rPr>
          <w:rFonts w:hint="eastAsia" w:ascii="华文仿宋" w:hAnsi="华文仿宋" w:cs="华文仿宋"/>
          <w:color w:val="auto"/>
          <w:sz w:val="28"/>
          <w:szCs w:val="28"/>
        </w:rPr>
        <w:t>号）。</w:t>
      </w:r>
    </w:p>
    <w:p w14:paraId="4377107C">
      <w:pPr>
        <w:spacing w:line="500" w:lineRule="exact"/>
        <w:ind w:firstLine="566" w:firstLineChars="200"/>
        <w:rPr>
          <w:rFonts w:cs="华文仿宋"/>
          <w:b/>
          <w:bCs/>
          <w:color w:val="auto"/>
        </w:rPr>
      </w:pPr>
      <w:r>
        <w:rPr>
          <w:rFonts w:hint="eastAsia" w:ascii="华文仿宋" w:hAnsi="华文仿宋" w:cs="华文仿宋"/>
          <w:color w:val="auto"/>
        </w:rPr>
        <w:t>6</w:t>
      </w:r>
      <w:r>
        <w:rPr>
          <w:rFonts w:hint="eastAsia" w:ascii="华文仿宋" w:hAnsi="华文仿宋" w:cs="华文仿宋"/>
          <w:color w:val="auto"/>
          <w:lang w:val="en-US" w:eastAsia="zh-CN"/>
        </w:rPr>
        <w:t>.</w:t>
      </w:r>
      <w:r>
        <w:rPr>
          <w:rFonts w:hint="eastAsia" w:ascii="华文仿宋" w:hAnsi="华文仿宋" w:cs="华文仿宋"/>
          <w:color w:val="auto"/>
        </w:rPr>
        <w:t>详见《投标人须知》中“</w:t>
      </w:r>
      <w:r>
        <w:rPr>
          <w:rFonts w:hint="eastAsia" w:ascii="华文仿宋" w:hAnsi="华文仿宋" w:cs="华文仿宋"/>
          <w:color w:val="auto"/>
          <w:lang w:val="en-US" w:eastAsia="zh-CN"/>
        </w:rPr>
        <w:t>相关</w:t>
      </w:r>
      <w:r>
        <w:rPr>
          <w:rFonts w:hint="eastAsia" w:ascii="华文仿宋" w:hAnsi="华文仿宋" w:cs="华文仿宋"/>
          <w:color w:val="auto"/>
        </w:rPr>
        <w:t>政府采购政策</w:t>
      </w:r>
      <w:r>
        <w:rPr>
          <w:rFonts w:hint="eastAsia" w:ascii="华文仿宋" w:hAnsi="华文仿宋" w:cs="华文仿宋"/>
          <w:color w:val="auto"/>
          <w:lang w:val="en-US" w:eastAsia="zh-CN"/>
        </w:rPr>
        <w:t>文件</w:t>
      </w:r>
      <w:r>
        <w:rPr>
          <w:rFonts w:hint="eastAsia" w:ascii="华文仿宋" w:hAnsi="华文仿宋" w:cs="华文仿宋"/>
          <w:color w:val="auto"/>
        </w:rPr>
        <w:t>”有关内容。</w:t>
      </w:r>
    </w:p>
    <w:p w14:paraId="092BFBD1">
      <w:pPr>
        <w:spacing w:line="500" w:lineRule="exact"/>
        <w:ind w:firstLine="566" w:firstLineChars="200"/>
        <w:rPr>
          <w:rFonts w:cs="Times New Roman"/>
          <w:b/>
          <w:bCs/>
          <w:color w:val="auto"/>
        </w:rPr>
      </w:pPr>
      <w:r>
        <w:rPr>
          <w:rFonts w:hint="eastAsia" w:cs="华文仿宋"/>
          <w:b/>
          <w:bCs/>
          <w:color w:val="auto"/>
        </w:rPr>
        <w:t>十二、获取招标文件的时间及方式</w:t>
      </w:r>
    </w:p>
    <w:p w14:paraId="250337FD">
      <w:pPr>
        <w:wordWrap w:val="0"/>
        <w:spacing w:line="500" w:lineRule="exact"/>
        <w:ind w:firstLine="566" w:firstLineChars="200"/>
        <w:rPr>
          <w:rFonts w:ascii="华文仿宋" w:cs="Times New Roman"/>
          <w:color w:val="auto"/>
        </w:rPr>
      </w:pPr>
      <w:r>
        <w:rPr>
          <w:rFonts w:hint="eastAsia" w:ascii="华文仿宋" w:hAnsi="华文仿宋" w:cs="华文仿宋"/>
          <w:color w:val="auto"/>
          <w:lang w:val="en-US" w:eastAsia="zh-CN"/>
        </w:rPr>
        <w:t>1.</w:t>
      </w:r>
      <w:r>
        <w:rPr>
          <w:rFonts w:hint="eastAsia" w:ascii="华文仿宋" w:hAnsi="华文仿宋" w:cs="华文仿宋"/>
          <w:color w:val="auto"/>
        </w:rPr>
        <w:t>获取方式：投标人可登录全国公共资源交易平台（陕西省·延安市）（ http://ya.sxggzyjy.cn/），选择“电子交易平台</w:t>
      </w:r>
      <w:r>
        <w:rPr>
          <w:rFonts w:ascii="华文仿宋" w:hAnsi="华文仿宋" w:cs="华文仿宋"/>
          <w:color w:val="auto"/>
        </w:rPr>
        <w:t>—</w:t>
      </w:r>
      <w:r>
        <w:rPr>
          <w:rFonts w:hint="eastAsia" w:ascii="华文仿宋" w:hAnsi="华文仿宋" w:cs="华文仿宋"/>
          <w:color w:val="auto"/>
        </w:rPr>
        <w:t>政府采购交易系统</w:t>
      </w:r>
      <w:r>
        <w:rPr>
          <w:rFonts w:ascii="华文仿宋" w:hAnsi="华文仿宋" w:cs="华文仿宋"/>
          <w:color w:val="auto"/>
        </w:rPr>
        <w:t>—</w:t>
      </w:r>
      <w:r>
        <w:rPr>
          <w:rFonts w:hint="eastAsia" w:ascii="华文仿宋" w:hAnsi="华文仿宋" w:cs="华文仿宋"/>
          <w:color w:val="auto"/>
        </w:rPr>
        <w:t>企业端”</w:t>
      </w:r>
      <w:r>
        <w:rPr>
          <w:rFonts w:hint="eastAsia" w:ascii="华文仿宋" w:hAnsi="华文仿宋" w:cs="华文仿宋"/>
          <w:color w:val="auto"/>
          <w:lang w:val="en-US" w:eastAsia="zh-CN"/>
        </w:rPr>
        <w:t>通过CA锁</w:t>
      </w:r>
      <w:r>
        <w:rPr>
          <w:rFonts w:hint="eastAsia" w:ascii="华文仿宋" w:hAnsi="华文仿宋" w:cs="华文仿宋"/>
          <w:color w:val="auto"/>
        </w:rPr>
        <w:t>进行登录，登录后选择“交易乙方”身份进入投标人界面后，选择有意向的项目点击“我要投标”，参与投标活动。然后在〖我的项目〗中点击“项目流程</w:t>
      </w:r>
      <w:r>
        <w:rPr>
          <w:rFonts w:ascii="华文仿宋" w:hAnsi="华文仿宋" w:cs="华文仿宋"/>
          <w:color w:val="auto"/>
        </w:rPr>
        <w:t>&gt;</w:t>
      </w:r>
      <w:r>
        <w:rPr>
          <w:rFonts w:hint="eastAsia" w:ascii="华文仿宋" w:hAnsi="华文仿宋" w:cs="华文仿宋"/>
          <w:color w:val="auto"/>
          <w:lang w:val="en-US" w:eastAsia="zh-CN"/>
        </w:rPr>
        <w:t>招标文件领取</w:t>
      </w:r>
      <w:r>
        <w:rPr>
          <w:rFonts w:hint="eastAsia" w:ascii="华文仿宋" w:hAnsi="华文仿宋" w:cs="华文仿宋"/>
          <w:color w:val="auto"/>
        </w:rPr>
        <w:t>”免费下载电子招标文件。</w:t>
      </w:r>
    </w:p>
    <w:p w14:paraId="38A00F71">
      <w:pPr>
        <w:spacing w:line="500" w:lineRule="exact"/>
        <w:ind w:firstLine="566" w:firstLineChars="200"/>
        <w:rPr>
          <w:rFonts w:ascii="华文仿宋" w:cs="Times New Roman"/>
          <w:color w:val="auto"/>
        </w:rPr>
      </w:pPr>
      <w:r>
        <w:rPr>
          <w:rFonts w:hint="eastAsia" w:ascii="仿宋" w:hAnsi="仿宋" w:eastAsia="仿宋" w:cs="仿宋"/>
          <w:color w:val="auto"/>
        </w:rPr>
        <w:t>2</w:t>
      </w:r>
      <w:r>
        <w:rPr>
          <w:rFonts w:hint="eastAsia" w:ascii="华文仿宋" w:hAnsi="华文仿宋" w:eastAsia="仿宋" w:cs="华文仿宋"/>
          <w:color w:val="auto"/>
          <w:lang w:val="en-US" w:eastAsia="zh-CN"/>
        </w:rPr>
        <w:t>.</w:t>
      </w:r>
      <w:r>
        <w:rPr>
          <w:rFonts w:hint="eastAsia" w:ascii="华文仿宋" w:hAnsi="华文仿宋" w:cs="华文仿宋"/>
          <w:color w:val="auto"/>
        </w:rPr>
        <w:t>投标人初次使用交易平台，须先完成诚信入库登记、数字认证证书（</w:t>
      </w:r>
      <w:r>
        <w:rPr>
          <w:rFonts w:hint="eastAsia" w:ascii="仿宋" w:hAnsi="仿宋" w:eastAsia="仿宋" w:cs="仿宋"/>
          <w:color w:val="auto"/>
        </w:rPr>
        <w:t>CA</w:t>
      </w:r>
      <w:r>
        <w:rPr>
          <w:rFonts w:hint="eastAsia" w:ascii="华文仿宋" w:hAnsi="华文仿宋" w:cs="华文仿宋"/>
          <w:color w:val="auto"/>
        </w:rPr>
        <w:t>锁）认证及企业信息绑定。相关操作流程详见全国公共资源交易平台（陕西省·延安市）网站〖首页·〉服务指南·〉下载专区〗中的《延安市公共资源交易中心政府采购电子招投标全流程操作手册》。</w:t>
      </w:r>
    </w:p>
    <w:p w14:paraId="6F888CB4">
      <w:pPr>
        <w:wordWrap w:val="0"/>
        <w:spacing w:line="500" w:lineRule="exact"/>
        <w:ind w:firstLine="566" w:firstLineChars="200"/>
        <w:rPr>
          <w:rFonts w:ascii="仿宋" w:hAnsi="仿宋" w:eastAsia="仿宋" w:cs="Times New Roman"/>
          <w:color w:val="auto"/>
        </w:rPr>
      </w:pPr>
      <w:r>
        <w:rPr>
          <w:rFonts w:hint="eastAsia" w:ascii="仿宋" w:hAnsi="仿宋" w:eastAsia="仿宋" w:cs="仿宋"/>
          <w:color w:val="auto"/>
        </w:rPr>
        <w:t>3</w:t>
      </w:r>
      <w:r>
        <w:rPr>
          <w:rFonts w:hint="eastAsia" w:ascii="华文仿宋" w:hAnsi="华文仿宋" w:eastAsia="仿宋" w:cs="华文仿宋"/>
          <w:color w:val="auto"/>
          <w:lang w:val="en-US" w:eastAsia="zh-CN"/>
        </w:rPr>
        <w:t>.</w:t>
      </w:r>
      <w:r>
        <w:rPr>
          <w:rFonts w:hint="eastAsia" w:ascii="华文仿宋" w:hAnsi="华文仿宋" w:cs="华文仿宋"/>
          <w:color w:val="auto"/>
        </w:rPr>
        <w:t>数字认证证书（</w:t>
      </w:r>
      <w:r>
        <w:rPr>
          <w:rFonts w:hint="eastAsia" w:ascii="仿宋" w:hAnsi="仿宋" w:eastAsia="仿宋" w:cs="仿宋"/>
          <w:color w:val="auto"/>
        </w:rPr>
        <w:t>CA</w:t>
      </w:r>
      <w:r>
        <w:rPr>
          <w:rFonts w:hint="eastAsia" w:ascii="华文仿宋" w:hAnsi="华文仿宋" w:cs="华文仿宋"/>
          <w:color w:val="auto"/>
        </w:rPr>
        <w:t>锁）办理流程可参照https://www.snca.com.cn/notice/show/</w:t>
      </w:r>
      <w:r>
        <w:rPr>
          <w:rFonts w:hint="eastAsia" w:ascii="仿宋" w:hAnsi="仿宋" w:eastAsia="仿宋" w:cs="仿宋"/>
          <w:color w:val="auto"/>
        </w:rPr>
        <w:t>533</w:t>
      </w:r>
      <w:r>
        <w:rPr>
          <w:rFonts w:hint="eastAsia" w:ascii="华文仿宋" w:hAnsi="华文仿宋" w:cs="华文仿宋"/>
          <w:color w:val="auto"/>
        </w:rPr>
        <w:t>.html</w:t>
      </w:r>
      <w:r>
        <w:rPr>
          <w:rFonts w:hint="eastAsia" w:ascii="仿宋" w:hAnsi="仿宋" w:eastAsia="仿宋" w:cs="仿宋"/>
          <w:color w:val="auto"/>
        </w:rPr>
        <w:t>，</w:t>
      </w:r>
      <w:r>
        <w:rPr>
          <w:rFonts w:hint="eastAsia" w:ascii="华文仿宋" w:hAnsi="华文仿宋" w:cs="华文仿宋"/>
          <w:color w:val="auto"/>
        </w:rPr>
        <w:t>现场办理地址：延安市新区为民服务中心南区东楼（7号楼）A2楼，咨询电话：</w:t>
      </w:r>
      <w:r>
        <w:rPr>
          <w:rFonts w:ascii="仿宋" w:hAnsi="仿宋" w:eastAsia="仿宋" w:cs="仿宋"/>
          <w:color w:val="auto"/>
        </w:rPr>
        <w:t>0</w:t>
      </w:r>
      <w:r>
        <w:rPr>
          <w:rFonts w:hint="eastAsia" w:ascii="仿宋" w:hAnsi="仿宋" w:eastAsia="仿宋" w:cs="仿宋"/>
          <w:color w:val="auto"/>
          <w:lang w:val="en-US" w:eastAsia="zh-CN"/>
        </w:rPr>
        <w:t>911</w:t>
      </w:r>
      <w:r>
        <w:rPr>
          <w:rFonts w:ascii="仿宋" w:hAnsi="仿宋" w:eastAsia="仿宋" w:cs="仿宋"/>
          <w:color w:val="auto"/>
        </w:rPr>
        <w:t>-</w:t>
      </w:r>
      <w:r>
        <w:rPr>
          <w:rFonts w:hint="eastAsia" w:ascii="仿宋" w:hAnsi="仿宋" w:eastAsia="仿宋" w:cs="仿宋"/>
          <w:color w:val="auto"/>
          <w:lang w:val="en-US" w:eastAsia="zh-CN"/>
        </w:rPr>
        <w:t>2162266</w:t>
      </w:r>
      <w:r>
        <w:rPr>
          <w:rFonts w:hint="eastAsia" w:ascii="华文仿宋" w:hAnsi="华文仿宋" w:cs="华文仿宋"/>
          <w:color w:val="auto"/>
        </w:rPr>
        <w:t>。</w:t>
      </w:r>
    </w:p>
    <w:p w14:paraId="3AC0D9E4">
      <w:pPr>
        <w:spacing w:line="500" w:lineRule="exact"/>
        <w:ind w:firstLine="566" w:firstLineChars="200"/>
        <w:rPr>
          <w:rFonts w:ascii="仿宋" w:hAnsi="仿宋" w:eastAsia="仿宋" w:cs="仿宋"/>
          <w:b/>
          <w:bCs/>
          <w:color w:val="auto"/>
          <w:highlight w:val="none"/>
        </w:rPr>
      </w:pPr>
      <w:r>
        <w:rPr>
          <w:rFonts w:hint="eastAsia" w:ascii="仿宋" w:hAnsi="仿宋" w:eastAsia="仿宋" w:cs="仿宋"/>
          <w:b/>
          <w:bCs/>
          <w:color w:val="auto"/>
        </w:rPr>
        <w:t>4</w:t>
      </w:r>
      <w:r>
        <w:rPr>
          <w:rFonts w:hint="eastAsia" w:ascii="仿宋" w:hAnsi="仿宋" w:eastAsia="仿宋" w:cs="仿宋"/>
          <w:b/>
          <w:bCs/>
          <w:color w:val="auto"/>
          <w:lang w:val="en-US" w:eastAsia="zh-CN"/>
        </w:rPr>
        <w:t>.</w:t>
      </w:r>
      <w:r>
        <w:rPr>
          <w:rFonts w:hint="eastAsia" w:ascii="仿宋" w:hAnsi="仿宋" w:eastAsia="仿宋" w:cs="仿宋"/>
          <w:b/>
          <w:bCs/>
          <w:color w:val="auto"/>
        </w:rPr>
        <w:t>获取时</w:t>
      </w:r>
      <w:r>
        <w:rPr>
          <w:rFonts w:hint="eastAsia" w:ascii="仿宋" w:hAnsi="仿宋" w:eastAsia="仿宋" w:cs="仿宋"/>
          <w:b/>
          <w:bCs/>
          <w:color w:val="auto"/>
          <w:highlight w:val="none"/>
        </w:rPr>
        <w:t>间：202</w:t>
      </w:r>
      <w:r>
        <w:rPr>
          <w:rFonts w:hint="eastAsia" w:ascii="仿宋" w:hAnsi="仿宋" w:eastAsia="仿宋" w:cs="仿宋"/>
          <w:b/>
          <w:bCs/>
          <w:color w:val="auto"/>
          <w:highlight w:val="none"/>
          <w:lang w:val="en-US" w:eastAsia="zh-CN"/>
        </w:rPr>
        <w:t>6</w:t>
      </w:r>
      <w:r>
        <w:rPr>
          <w:rFonts w:hint="eastAsia" w:ascii="仿宋" w:hAnsi="仿宋" w:eastAsia="仿宋" w:cs="仿宋"/>
          <w:b/>
          <w:bCs/>
          <w:color w:val="auto"/>
          <w:highlight w:val="none"/>
        </w:rPr>
        <w:t>年</w:t>
      </w:r>
      <w:r>
        <w:rPr>
          <w:rFonts w:hint="eastAsia" w:ascii="仿宋" w:hAnsi="仿宋" w:eastAsia="仿宋" w:cs="仿宋"/>
          <w:b/>
          <w:bCs/>
          <w:color w:val="auto"/>
          <w:highlight w:val="none"/>
          <w:lang w:val="en-US" w:eastAsia="zh-CN"/>
        </w:rPr>
        <w:t>8</w:t>
      </w:r>
      <w:r>
        <w:rPr>
          <w:rFonts w:hint="eastAsia" w:ascii="仿宋" w:hAnsi="仿宋" w:eastAsia="仿宋" w:cs="仿宋"/>
          <w:b/>
          <w:bCs/>
          <w:color w:val="auto"/>
          <w:highlight w:val="none"/>
        </w:rPr>
        <w:t>月</w:t>
      </w:r>
      <w:r>
        <w:rPr>
          <w:rFonts w:hint="eastAsia" w:ascii="仿宋" w:hAnsi="仿宋" w:eastAsia="仿宋" w:cs="仿宋"/>
          <w:b/>
          <w:bCs/>
          <w:color w:val="auto"/>
          <w:highlight w:val="none"/>
          <w:lang w:val="en-US" w:eastAsia="zh-CN"/>
        </w:rPr>
        <w:t>10</w:t>
      </w:r>
      <w:r>
        <w:rPr>
          <w:rFonts w:hint="eastAsia" w:ascii="仿宋" w:hAnsi="仿宋" w:eastAsia="仿宋" w:cs="仿宋"/>
          <w:b/>
          <w:bCs/>
          <w:color w:val="auto"/>
          <w:highlight w:val="none"/>
        </w:rPr>
        <w:t>日至202</w:t>
      </w:r>
      <w:r>
        <w:rPr>
          <w:rFonts w:hint="eastAsia" w:ascii="仿宋" w:hAnsi="仿宋" w:eastAsia="仿宋" w:cs="仿宋"/>
          <w:b/>
          <w:bCs/>
          <w:color w:val="auto"/>
          <w:highlight w:val="none"/>
          <w:lang w:val="en-US" w:eastAsia="zh-CN"/>
        </w:rPr>
        <w:t>6</w:t>
      </w:r>
      <w:r>
        <w:rPr>
          <w:rFonts w:hint="eastAsia" w:ascii="仿宋" w:hAnsi="仿宋" w:eastAsia="仿宋" w:cs="仿宋"/>
          <w:b/>
          <w:bCs/>
          <w:color w:val="auto"/>
          <w:highlight w:val="none"/>
        </w:rPr>
        <w:t>年</w:t>
      </w:r>
      <w:r>
        <w:rPr>
          <w:rFonts w:hint="eastAsia" w:ascii="仿宋" w:hAnsi="仿宋" w:eastAsia="仿宋" w:cs="仿宋"/>
          <w:b/>
          <w:bCs/>
          <w:color w:val="auto"/>
          <w:highlight w:val="none"/>
          <w:lang w:val="en-US" w:eastAsia="zh-CN"/>
        </w:rPr>
        <w:t>8</w:t>
      </w:r>
      <w:r>
        <w:rPr>
          <w:rFonts w:hint="eastAsia" w:ascii="仿宋" w:hAnsi="仿宋" w:eastAsia="仿宋" w:cs="仿宋"/>
          <w:b/>
          <w:bCs/>
          <w:color w:val="auto"/>
          <w:highlight w:val="none"/>
        </w:rPr>
        <w:t>月</w:t>
      </w:r>
      <w:r>
        <w:rPr>
          <w:rFonts w:hint="eastAsia" w:ascii="仿宋" w:hAnsi="仿宋" w:eastAsia="仿宋" w:cs="仿宋"/>
          <w:b/>
          <w:bCs/>
          <w:color w:val="auto"/>
          <w:highlight w:val="none"/>
          <w:lang w:val="en-US" w:eastAsia="zh-CN"/>
        </w:rPr>
        <w:t>18</w:t>
      </w:r>
      <w:r>
        <w:rPr>
          <w:rFonts w:hint="eastAsia" w:ascii="仿宋" w:hAnsi="仿宋" w:eastAsia="仿宋" w:cs="仿宋"/>
          <w:b/>
          <w:bCs/>
          <w:color w:val="auto"/>
          <w:highlight w:val="none"/>
        </w:rPr>
        <w:t>日，每天上午08:</w:t>
      </w:r>
      <w:r>
        <w:rPr>
          <w:rFonts w:hint="eastAsia" w:ascii="仿宋" w:hAnsi="仿宋" w:eastAsia="仿宋" w:cs="仿宋"/>
          <w:b/>
          <w:bCs/>
          <w:color w:val="auto"/>
          <w:highlight w:val="none"/>
          <w:lang w:val="en-US" w:eastAsia="zh-CN"/>
        </w:rPr>
        <w:t>30</w:t>
      </w:r>
      <w:r>
        <w:rPr>
          <w:rFonts w:hint="eastAsia" w:ascii="仿宋" w:hAnsi="仿宋" w:eastAsia="仿宋" w:cs="仿宋"/>
          <w:b/>
          <w:bCs/>
          <w:color w:val="auto"/>
          <w:highlight w:val="none"/>
        </w:rPr>
        <w:t>:00至12:00:00，下午</w:t>
      </w:r>
      <w:r>
        <w:rPr>
          <w:rFonts w:hint="eastAsia" w:ascii="仿宋" w:hAnsi="仿宋" w:eastAsia="仿宋" w:cs="仿宋"/>
          <w:b/>
          <w:bCs/>
          <w:color w:val="auto"/>
          <w:highlight w:val="none"/>
          <w:lang w:val="en-US" w:eastAsia="zh-CN"/>
        </w:rPr>
        <w:t>15</w:t>
      </w:r>
      <w:r>
        <w:rPr>
          <w:rFonts w:hint="eastAsia" w:ascii="仿宋" w:hAnsi="仿宋" w:eastAsia="仿宋" w:cs="仿宋"/>
          <w:b/>
          <w:bCs/>
          <w:color w:val="auto"/>
          <w:highlight w:val="none"/>
        </w:rPr>
        <w:t>:</w:t>
      </w:r>
      <w:r>
        <w:rPr>
          <w:rFonts w:hint="eastAsia" w:ascii="仿宋" w:hAnsi="仿宋" w:eastAsia="仿宋" w:cs="仿宋"/>
          <w:b/>
          <w:bCs/>
          <w:color w:val="auto"/>
          <w:highlight w:val="none"/>
          <w:lang w:val="en-US" w:eastAsia="zh-CN"/>
        </w:rPr>
        <w:t>00</w:t>
      </w:r>
      <w:r>
        <w:rPr>
          <w:rFonts w:hint="eastAsia" w:ascii="仿宋" w:hAnsi="仿宋" w:eastAsia="仿宋" w:cs="仿宋"/>
          <w:b/>
          <w:bCs/>
          <w:color w:val="auto"/>
          <w:highlight w:val="none"/>
        </w:rPr>
        <w:t>:00至1</w:t>
      </w:r>
      <w:r>
        <w:rPr>
          <w:rFonts w:hint="eastAsia" w:ascii="仿宋" w:hAnsi="仿宋" w:eastAsia="仿宋" w:cs="仿宋"/>
          <w:b/>
          <w:bCs/>
          <w:color w:val="auto"/>
          <w:highlight w:val="none"/>
          <w:lang w:val="en-US" w:eastAsia="zh-CN"/>
        </w:rPr>
        <w:t>7</w:t>
      </w:r>
      <w:r>
        <w:rPr>
          <w:rFonts w:hint="eastAsia" w:ascii="仿宋" w:hAnsi="仿宋" w:eastAsia="仿宋" w:cs="仿宋"/>
          <w:b/>
          <w:bCs/>
          <w:color w:val="auto"/>
          <w:highlight w:val="none"/>
        </w:rPr>
        <w:t>:</w:t>
      </w:r>
      <w:r>
        <w:rPr>
          <w:rFonts w:hint="eastAsia" w:ascii="仿宋" w:hAnsi="仿宋" w:eastAsia="仿宋" w:cs="仿宋"/>
          <w:b/>
          <w:bCs/>
          <w:color w:val="auto"/>
          <w:highlight w:val="none"/>
          <w:lang w:val="en-US" w:eastAsia="zh-CN"/>
        </w:rPr>
        <w:t>3</w:t>
      </w:r>
      <w:r>
        <w:rPr>
          <w:rFonts w:hint="eastAsia" w:ascii="仿宋" w:hAnsi="仿宋" w:eastAsia="仿宋" w:cs="仿宋"/>
          <w:b/>
          <w:bCs/>
          <w:color w:val="auto"/>
          <w:highlight w:val="none"/>
        </w:rPr>
        <w:t>0:00（北京时间,法定节假日除外）</w:t>
      </w:r>
    </w:p>
    <w:p w14:paraId="209943AE">
      <w:pPr>
        <w:spacing w:line="500" w:lineRule="exact"/>
        <w:ind w:firstLine="566" w:firstLineChars="200"/>
        <w:rPr>
          <w:rFonts w:ascii="华文仿宋" w:cs="Times New Roman"/>
          <w:color w:val="auto"/>
          <w:highlight w:val="none"/>
          <w:lang w:val="zh-CN"/>
        </w:rPr>
      </w:pPr>
      <w:r>
        <w:rPr>
          <w:rFonts w:hint="eastAsia" w:ascii="华文仿宋" w:hAnsi="华文仿宋" w:cs="华文仿宋"/>
          <w:b/>
          <w:bCs/>
          <w:color w:val="auto"/>
          <w:highlight w:val="none"/>
        </w:rPr>
        <w:t>十三、投标保证金的交纳</w:t>
      </w:r>
    </w:p>
    <w:p w14:paraId="6A856E2A">
      <w:pPr>
        <w:spacing w:line="500" w:lineRule="exact"/>
        <w:ind w:firstLine="566" w:firstLineChars="200"/>
        <w:rPr>
          <w:rFonts w:ascii="华文仿宋" w:hAnsi="华文仿宋" w:cs="华文仿宋"/>
          <w:color w:val="auto"/>
          <w:highlight w:val="none"/>
        </w:rPr>
      </w:pPr>
      <w:r>
        <w:rPr>
          <w:rFonts w:hint="eastAsia" w:ascii="华文仿宋" w:hAnsi="华文仿宋" w:cs="华文仿宋"/>
          <w:color w:val="auto"/>
          <w:highlight w:val="none"/>
        </w:rPr>
        <w:t>本项目不收取投标保证金。</w:t>
      </w:r>
    </w:p>
    <w:p w14:paraId="312A09DF">
      <w:pPr>
        <w:spacing w:line="500" w:lineRule="exact"/>
        <w:ind w:firstLine="566" w:firstLineChars="200"/>
        <w:rPr>
          <w:rFonts w:cs="Times New Roman"/>
          <w:color w:val="auto"/>
        </w:rPr>
      </w:pPr>
      <w:r>
        <w:rPr>
          <w:rFonts w:hint="eastAsia" w:cs="华文仿宋"/>
          <w:b/>
          <w:bCs/>
          <w:color w:val="auto"/>
          <w:lang w:val="en-US" w:eastAsia="zh-CN"/>
        </w:rPr>
        <w:t>十四、</w:t>
      </w:r>
      <w:r>
        <w:rPr>
          <w:rFonts w:hint="eastAsia" w:cs="华文仿宋"/>
          <w:b/>
          <w:bCs/>
          <w:color w:val="auto"/>
        </w:rPr>
        <w:t>提交投标文件截止时间及开标时间和地点</w:t>
      </w:r>
    </w:p>
    <w:p w14:paraId="2F4F144E">
      <w:pPr>
        <w:spacing w:line="500" w:lineRule="exact"/>
        <w:ind w:firstLine="566" w:firstLineChars="200"/>
        <w:rPr>
          <w:rFonts w:cs="Times New Roman"/>
          <w:color w:val="auto"/>
        </w:rPr>
      </w:pPr>
      <w:r>
        <w:rPr>
          <w:rFonts w:hint="eastAsia" w:ascii="仿宋" w:hAnsi="仿宋" w:eastAsia="仿宋" w:cs="仿宋"/>
          <w:b/>
          <w:bCs/>
          <w:color w:val="auto"/>
        </w:rPr>
        <w:t>1</w:t>
      </w:r>
      <w:r>
        <w:rPr>
          <w:rFonts w:hint="eastAsia" w:ascii="仿宋" w:hAnsi="仿宋" w:eastAsia="仿宋" w:cs="仿宋"/>
          <w:b/>
          <w:bCs/>
          <w:color w:val="auto"/>
          <w:lang w:val="en-US" w:eastAsia="zh-CN"/>
        </w:rPr>
        <w:t>.</w:t>
      </w:r>
      <w:r>
        <w:rPr>
          <w:rFonts w:hint="eastAsia" w:cs="华文仿宋"/>
          <w:b/>
          <w:bCs/>
          <w:color w:val="auto"/>
        </w:rPr>
        <w:t>提交投标文件：电子投标文件一份</w:t>
      </w:r>
      <w:r>
        <w:rPr>
          <w:rFonts w:hint="eastAsia" w:cs="华文仿宋"/>
          <w:color w:val="auto"/>
        </w:rPr>
        <w:t>。</w:t>
      </w:r>
    </w:p>
    <w:p w14:paraId="5CD7A692">
      <w:pPr>
        <w:spacing w:line="500" w:lineRule="exact"/>
        <w:ind w:firstLine="566" w:firstLineChars="200"/>
        <w:rPr>
          <w:rFonts w:cs="Times New Roman"/>
          <w:color w:val="auto"/>
          <w:highlight w:val="none"/>
        </w:rPr>
      </w:pPr>
      <w:r>
        <w:rPr>
          <w:rFonts w:hint="eastAsia" w:cs="华文仿宋"/>
          <w:color w:val="auto"/>
        </w:rPr>
        <w:t>电子投标文件（</w:t>
      </w:r>
      <w:r>
        <w:rPr>
          <w:color w:val="auto"/>
        </w:rPr>
        <w:t>*</w:t>
      </w:r>
      <w:r>
        <w:rPr>
          <w:rFonts w:hint="eastAsia" w:ascii="仿宋" w:hAnsi="仿宋" w:eastAsia="仿宋" w:cs="仿宋"/>
          <w:color w:val="auto"/>
        </w:rPr>
        <w:t>.SXSTF</w:t>
      </w:r>
      <w:r>
        <w:rPr>
          <w:rFonts w:hint="eastAsia" w:cs="华文仿宋"/>
          <w:color w:val="auto"/>
        </w:rPr>
        <w:t>）可于提交投标文件截止时间前任意时段登录全国公共资源交易平台（陕西省</w:t>
      </w:r>
      <w:r>
        <w:rPr>
          <w:rFonts w:hint="eastAsia" w:ascii="华文仿宋" w:hAnsi="华文仿宋" w:cs="华文仿宋"/>
          <w:color w:val="auto"/>
        </w:rPr>
        <w:t>·延安市</w:t>
      </w:r>
      <w:r>
        <w:rPr>
          <w:rFonts w:hint="eastAsia" w:cs="华文仿宋"/>
          <w:color w:val="auto"/>
        </w:rPr>
        <w:t>）网站进行提交，逾期系统将拒绝接收。</w:t>
      </w:r>
    </w:p>
    <w:p w14:paraId="30F3CE39">
      <w:pPr>
        <w:spacing w:line="500" w:lineRule="exact"/>
        <w:ind w:firstLine="566" w:firstLineChars="200"/>
        <w:rPr>
          <w:rFonts w:ascii="仿宋" w:hAnsi="仿宋" w:eastAsia="仿宋" w:cs="仿宋"/>
          <w:b/>
          <w:bCs/>
          <w:color w:val="auto"/>
          <w:highlight w:val="none"/>
        </w:rPr>
      </w:pPr>
      <w:r>
        <w:rPr>
          <w:rFonts w:hint="eastAsia" w:ascii="仿宋" w:hAnsi="仿宋" w:eastAsia="仿宋" w:cs="仿宋"/>
          <w:b/>
          <w:bCs/>
          <w:color w:val="auto"/>
          <w:highlight w:val="none"/>
        </w:rPr>
        <w:t>2</w:t>
      </w:r>
      <w:r>
        <w:rPr>
          <w:rFonts w:hint="eastAsia" w:ascii="仿宋" w:hAnsi="仿宋" w:eastAsia="仿宋" w:cs="仿宋"/>
          <w:b/>
          <w:bCs/>
          <w:color w:val="auto"/>
          <w:highlight w:val="none"/>
          <w:lang w:val="en-US" w:eastAsia="zh-CN"/>
        </w:rPr>
        <w:t>.</w:t>
      </w:r>
      <w:r>
        <w:rPr>
          <w:rFonts w:hint="eastAsia" w:cs="华文仿宋"/>
          <w:b/>
          <w:bCs/>
          <w:color w:val="auto"/>
          <w:highlight w:val="none"/>
        </w:rPr>
        <w:t>提交投标文件截止时间：</w:t>
      </w:r>
      <w:r>
        <w:rPr>
          <w:rFonts w:hint="eastAsia" w:ascii="仿宋" w:hAnsi="仿宋" w:eastAsia="仿宋" w:cs="仿宋"/>
          <w:b/>
          <w:bCs/>
          <w:color w:val="auto"/>
          <w:highlight w:val="none"/>
        </w:rPr>
        <w:t>202</w:t>
      </w:r>
      <w:r>
        <w:rPr>
          <w:rFonts w:hint="eastAsia" w:ascii="仿宋" w:hAnsi="仿宋" w:eastAsia="仿宋" w:cs="仿宋"/>
          <w:b/>
          <w:bCs/>
          <w:color w:val="auto"/>
          <w:highlight w:val="none"/>
          <w:lang w:val="en-US" w:eastAsia="zh-CN"/>
        </w:rPr>
        <w:t>6</w:t>
      </w:r>
      <w:r>
        <w:rPr>
          <w:rFonts w:hint="eastAsia" w:ascii="仿宋" w:hAnsi="仿宋" w:eastAsia="仿宋" w:cs="仿宋"/>
          <w:b/>
          <w:bCs/>
          <w:color w:val="auto"/>
          <w:highlight w:val="none"/>
        </w:rPr>
        <w:t>年</w:t>
      </w:r>
      <w:r>
        <w:rPr>
          <w:rFonts w:hint="eastAsia" w:ascii="仿宋" w:hAnsi="仿宋" w:eastAsia="仿宋" w:cs="仿宋"/>
          <w:b/>
          <w:bCs/>
          <w:color w:val="auto"/>
          <w:highlight w:val="none"/>
          <w:lang w:val="en-US" w:eastAsia="zh-CN"/>
        </w:rPr>
        <w:t>9</w:t>
      </w:r>
      <w:r>
        <w:rPr>
          <w:rFonts w:hint="eastAsia" w:ascii="仿宋" w:hAnsi="仿宋" w:eastAsia="仿宋" w:cs="仿宋"/>
          <w:b/>
          <w:bCs/>
          <w:color w:val="auto"/>
          <w:highlight w:val="none"/>
        </w:rPr>
        <w:t>月</w:t>
      </w:r>
      <w:r>
        <w:rPr>
          <w:rFonts w:hint="eastAsia" w:ascii="仿宋" w:hAnsi="仿宋" w:eastAsia="仿宋" w:cs="仿宋"/>
          <w:b/>
          <w:bCs/>
          <w:color w:val="auto"/>
          <w:highlight w:val="none"/>
          <w:lang w:val="en-US" w:eastAsia="zh-CN"/>
        </w:rPr>
        <w:t>1</w:t>
      </w:r>
      <w:r>
        <w:rPr>
          <w:rFonts w:hint="eastAsia" w:ascii="仿宋" w:hAnsi="仿宋" w:eastAsia="仿宋" w:cs="仿宋"/>
          <w:b/>
          <w:bCs/>
          <w:color w:val="auto"/>
          <w:highlight w:val="none"/>
        </w:rPr>
        <w:t>日</w:t>
      </w:r>
      <w:r>
        <w:rPr>
          <w:rFonts w:hint="eastAsia" w:ascii="仿宋" w:hAnsi="仿宋" w:eastAsia="仿宋" w:cs="仿宋"/>
          <w:b/>
          <w:bCs/>
          <w:color w:val="auto"/>
          <w:highlight w:val="none"/>
          <w:lang w:val="en-US" w:eastAsia="zh-CN"/>
        </w:rPr>
        <w:t xml:space="preserve"> 09</w:t>
      </w:r>
      <w:r>
        <w:rPr>
          <w:rFonts w:hint="eastAsia" w:ascii="仿宋" w:hAnsi="仿宋" w:eastAsia="仿宋" w:cs="仿宋"/>
          <w:b/>
          <w:bCs/>
          <w:color w:val="auto"/>
          <w:highlight w:val="none"/>
        </w:rPr>
        <w:t>:</w:t>
      </w:r>
      <w:r>
        <w:rPr>
          <w:rFonts w:hint="eastAsia" w:ascii="仿宋" w:hAnsi="仿宋" w:eastAsia="仿宋" w:cs="仿宋"/>
          <w:b/>
          <w:bCs/>
          <w:color w:val="auto"/>
          <w:highlight w:val="none"/>
          <w:lang w:val="en-US" w:eastAsia="zh-CN"/>
        </w:rPr>
        <w:t>0</w:t>
      </w:r>
      <w:r>
        <w:rPr>
          <w:rFonts w:hint="eastAsia" w:ascii="仿宋" w:hAnsi="仿宋" w:eastAsia="仿宋" w:cs="仿宋"/>
          <w:b/>
          <w:bCs/>
          <w:color w:val="auto"/>
          <w:highlight w:val="none"/>
        </w:rPr>
        <w:t>0</w:t>
      </w:r>
    </w:p>
    <w:p w14:paraId="408E3BA3">
      <w:pPr>
        <w:spacing w:line="500" w:lineRule="exact"/>
        <w:ind w:firstLine="566" w:firstLineChars="200"/>
        <w:rPr>
          <w:rFonts w:cs="Times New Roman"/>
          <w:b/>
          <w:bCs/>
          <w:color w:val="auto"/>
          <w:highlight w:val="none"/>
        </w:rPr>
      </w:pPr>
      <w:r>
        <w:rPr>
          <w:rFonts w:hint="eastAsia" w:ascii="仿宋" w:hAnsi="仿宋" w:eastAsia="仿宋" w:cs="仿宋"/>
          <w:b/>
          <w:bCs/>
          <w:color w:val="auto"/>
          <w:highlight w:val="none"/>
        </w:rPr>
        <w:t>3</w:t>
      </w:r>
      <w:r>
        <w:rPr>
          <w:rFonts w:hint="eastAsia" w:ascii="仿宋" w:hAnsi="仿宋" w:eastAsia="仿宋" w:cs="仿宋"/>
          <w:b/>
          <w:bCs/>
          <w:color w:val="auto"/>
          <w:highlight w:val="none"/>
          <w:lang w:val="en-US" w:eastAsia="zh-CN"/>
        </w:rPr>
        <w:t>.</w:t>
      </w:r>
      <w:r>
        <w:rPr>
          <w:rFonts w:hint="eastAsia" w:cs="华文仿宋"/>
          <w:b/>
          <w:bCs/>
          <w:color w:val="auto"/>
          <w:highlight w:val="none"/>
        </w:rPr>
        <w:t>开标时间：同提交投标文件截止时间</w:t>
      </w:r>
    </w:p>
    <w:p w14:paraId="47661EF4">
      <w:pPr>
        <w:spacing w:line="500" w:lineRule="exact"/>
        <w:ind w:left="847" w:leftChars="201" w:hanging="279" w:hangingChars="99"/>
        <w:rPr>
          <w:rFonts w:hint="eastAsia" w:cs="华文仿宋"/>
          <w:color w:val="auto"/>
          <w:highlight w:val="none"/>
        </w:rPr>
      </w:pPr>
      <w:r>
        <w:rPr>
          <w:rFonts w:hint="eastAsia" w:ascii="仿宋" w:hAnsi="仿宋" w:eastAsia="仿宋" w:cs="仿宋"/>
          <w:b/>
          <w:bCs/>
          <w:color w:val="auto"/>
          <w:highlight w:val="none"/>
        </w:rPr>
        <w:t>4</w:t>
      </w:r>
      <w:r>
        <w:rPr>
          <w:rFonts w:hint="eastAsia" w:ascii="仿宋" w:hAnsi="仿宋" w:eastAsia="仿宋" w:cs="仿宋"/>
          <w:b/>
          <w:bCs/>
          <w:color w:val="auto"/>
          <w:highlight w:val="none"/>
          <w:lang w:val="en-US" w:eastAsia="zh-CN"/>
        </w:rPr>
        <w:t>.</w:t>
      </w:r>
      <w:r>
        <w:rPr>
          <w:rFonts w:hint="eastAsia" w:cs="华文仿宋"/>
          <w:b/>
          <w:bCs/>
          <w:color w:val="auto"/>
          <w:highlight w:val="none"/>
        </w:rPr>
        <w:t>开标地点：</w:t>
      </w:r>
      <w:r>
        <w:rPr>
          <w:rFonts w:hint="eastAsia" w:cs="华文仿宋"/>
          <w:color w:val="auto"/>
          <w:highlight w:val="none"/>
        </w:rPr>
        <w:t>延安市新区为民服务中心南区东楼二楼公共</w:t>
      </w:r>
      <w:r>
        <w:rPr>
          <w:rFonts w:hint="eastAsia" w:cs="华文仿宋"/>
          <w:color w:val="auto"/>
          <w:highlight w:val="none"/>
          <w:lang w:val="en-US" w:eastAsia="zh-CN"/>
        </w:rPr>
        <w:t>资源</w:t>
      </w:r>
      <w:r>
        <w:rPr>
          <w:rFonts w:hint="eastAsia" w:cs="华文仿宋"/>
          <w:color w:val="auto"/>
          <w:highlight w:val="none"/>
        </w:rPr>
        <w:t>交</w:t>
      </w:r>
    </w:p>
    <w:p w14:paraId="1E57D0F9">
      <w:pPr>
        <w:spacing w:line="500" w:lineRule="exact"/>
        <w:rPr>
          <w:rFonts w:hint="default" w:cs="华文仿宋"/>
          <w:color w:val="auto"/>
          <w:highlight w:val="none"/>
          <w:lang w:val="en-US"/>
        </w:rPr>
      </w:pPr>
      <w:r>
        <w:rPr>
          <w:rFonts w:hint="eastAsia" w:cs="华文仿宋"/>
          <w:color w:val="auto"/>
          <w:highlight w:val="none"/>
        </w:rPr>
        <w:t>易中心</w:t>
      </w:r>
      <w:r>
        <w:rPr>
          <w:rFonts w:hint="eastAsia" w:cs="华文仿宋"/>
          <w:color w:val="auto"/>
          <w:highlight w:val="none"/>
          <w:lang w:val="en-US" w:eastAsia="zh-CN"/>
        </w:rPr>
        <w:t>开标8室</w:t>
      </w:r>
    </w:p>
    <w:p w14:paraId="624ED2E0">
      <w:pPr>
        <w:pStyle w:val="27"/>
        <w:keepNext w:val="0"/>
        <w:keepLines w:val="0"/>
        <w:pageBreakBefore w:val="0"/>
        <w:widowControl/>
        <w:numPr>
          <w:ilvl w:val="255"/>
          <w:numId w:val="0"/>
        </w:numPr>
        <w:kinsoku/>
        <w:wordWrap w:val="0"/>
        <w:overflowPunct/>
        <w:topLinePunct w:val="0"/>
        <w:autoSpaceDE/>
        <w:autoSpaceDN/>
        <w:bidi w:val="0"/>
        <w:adjustRightInd/>
        <w:snapToGrid/>
        <w:spacing w:afterLines="0" w:line="500" w:lineRule="exact"/>
        <w:ind w:firstLine="566" w:firstLineChars="200"/>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rPr>
        <w:t>5</w:t>
      </w:r>
      <w:r>
        <w:rPr>
          <w:rFonts w:hint="eastAsia" w:ascii="仿宋" w:hAnsi="仿宋" w:eastAsia="仿宋" w:cs="仿宋"/>
          <w:b/>
          <w:bCs/>
          <w:color w:val="auto"/>
          <w:sz w:val="28"/>
          <w:szCs w:val="28"/>
          <w:highlight w:val="none"/>
          <w:lang w:val="en-US" w:eastAsia="zh-CN"/>
        </w:rPr>
        <w:t>.评标地点：</w:t>
      </w:r>
      <w:r>
        <w:rPr>
          <w:rFonts w:hint="eastAsia" w:ascii="仿宋" w:hAnsi="仿宋" w:eastAsia="仿宋" w:cs="仿宋"/>
          <w:b w:val="0"/>
          <w:bCs w:val="0"/>
          <w:color w:val="auto"/>
          <w:sz w:val="28"/>
          <w:szCs w:val="28"/>
          <w:highlight w:val="none"/>
          <w:lang w:val="en-US" w:eastAsia="zh-CN"/>
        </w:rPr>
        <w:t>延安市新区为民服务中心南区东楼二楼公共资源交易中心评标室</w:t>
      </w:r>
    </w:p>
    <w:p w14:paraId="1B96E96A">
      <w:pPr>
        <w:pStyle w:val="27"/>
        <w:keepNext w:val="0"/>
        <w:keepLines w:val="0"/>
        <w:pageBreakBefore w:val="0"/>
        <w:widowControl/>
        <w:numPr>
          <w:ilvl w:val="255"/>
          <w:numId w:val="0"/>
        </w:numPr>
        <w:kinsoku/>
        <w:wordWrap w:val="0"/>
        <w:overflowPunct/>
        <w:topLinePunct w:val="0"/>
        <w:autoSpaceDE/>
        <w:autoSpaceDN/>
        <w:bidi w:val="0"/>
        <w:adjustRightInd/>
        <w:snapToGrid/>
        <w:spacing w:afterLines="0" w:line="500" w:lineRule="exact"/>
        <w:ind w:firstLine="566" w:firstLineChars="200"/>
        <w:rPr>
          <w:rFonts w:hint="eastAsia" w:ascii="华文仿宋" w:hAnsi="华文仿宋" w:cs="华文仿宋"/>
          <w:b w:val="0"/>
          <w:bCs w:val="0"/>
          <w:color w:val="auto"/>
          <w:sz w:val="28"/>
          <w:szCs w:val="28"/>
        </w:rPr>
      </w:pPr>
      <w:r>
        <w:rPr>
          <w:rFonts w:hint="eastAsia" w:ascii="仿宋" w:hAnsi="仿宋" w:eastAsia="仿宋" w:cs="仿宋"/>
          <w:b/>
          <w:bCs/>
          <w:color w:val="auto"/>
          <w:sz w:val="28"/>
          <w:szCs w:val="28"/>
          <w:lang w:val="en-US" w:eastAsia="zh-CN"/>
        </w:rPr>
        <w:t>6.</w:t>
      </w:r>
      <w:r>
        <w:rPr>
          <w:rFonts w:hint="eastAsia" w:ascii="仿宋" w:hAnsi="仿宋" w:eastAsia="仿宋" w:cs="仿宋"/>
          <w:b/>
          <w:bCs/>
          <w:color w:val="auto"/>
          <w:sz w:val="28"/>
          <w:szCs w:val="28"/>
        </w:rPr>
        <w:t>开标形式：</w:t>
      </w:r>
      <w:r>
        <w:rPr>
          <w:rFonts w:hint="eastAsia" w:ascii="华文仿宋" w:hAnsi="华文仿宋" w:cs="华文仿宋"/>
          <w:b/>
          <w:bCs/>
          <w:color w:val="auto"/>
          <w:sz w:val="28"/>
          <w:szCs w:val="28"/>
        </w:rPr>
        <w:t>本项目采用不见面开标方式。</w:t>
      </w:r>
      <w:r>
        <w:rPr>
          <w:rFonts w:hint="eastAsia" w:ascii="华文仿宋" w:hAnsi="华文仿宋" w:cs="华文仿宋"/>
          <w:b w:val="0"/>
          <w:bCs w:val="0"/>
          <w:color w:val="auto"/>
          <w:sz w:val="28"/>
          <w:szCs w:val="28"/>
        </w:rPr>
        <w:t>投标人需在开启前最少一个小时登录全国公共资源交易平台（陕西省·延安市）首页选择“不见面开标-</w:t>
      </w:r>
      <w:r>
        <w:rPr>
          <w:rFonts w:hint="eastAsia" w:ascii="华文仿宋" w:hAnsi="华文仿宋" w:cs="华文仿宋"/>
          <w:b w:val="0"/>
          <w:bCs w:val="0"/>
          <w:color w:val="auto"/>
          <w:sz w:val="28"/>
          <w:szCs w:val="28"/>
          <w:lang w:val="en-US" w:eastAsia="zh-CN"/>
        </w:rPr>
        <w:t>采购项目不见面开标大厅</w:t>
      </w:r>
      <w:r>
        <w:rPr>
          <w:rFonts w:hint="eastAsia" w:ascii="华文仿宋" w:hAnsi="华文仿宋" w:cs="华文仿宋"/>
          <w:b w:val="0"/>
          <w:bCs w:val="0"/>
          <w:color w:val="auto"/>
          <w:sz w:val="28"/>
          <w:szCs w:val="28"/>
        </w:rPr>
        <w:t>”自行调试，并按照工作人员要求进行</w:t>
      </w:r>
      <w:r>
        <w:rPr>
          <w:rFonts w:hint="eastAsia" w:ascii="华文仿宋" w:hAnsi="华文仿宋" w:cs="华文仿宋"/>
          <w:b w:val="0"/>
          <w:bCs w:val="0"/>
          <w:color w:val="auto"/>
          <w:sz w:val="28"/>
          <w:szCs w:val="28"/>
          <w:lang w:val="en-US" w:eastAsia="zh-CN"/>
        </w:rPr>
        <w:t>投</w:t>
      </w:r>
      <w:r>
        <w:rPr>
          <w:rFonts w:hint="eastAsia" w:ascii="华文仿宋" w:hAnsi="华文仿宋" w:cs="华文仿宋"/>
          <w:b w:val="0"/>
          <w:bCs w:val="0"/>
          <w:color w:val="auto"/>
          <w:sz w:val="28"/>
          <w:szCs w:val="28"/>
        </w:rPr>
        <w:t>标文件解密</w:t>
      </w:r>
      <w:r>
        <w:rPr>
          <w:rFonts w:hint="eastAsia" w:ascii="华文仿宋" w:hAnsi="华文仿宋" w:cs="华文仿宋"/>
          <w:b w:val="0"/>
          <w:bCs w:val="0"/>
          <w:color w:val="auto"/>
          <w:sz w:val="28"/>
          <w:szCs w:val="28"/>
          <w:lang w:eastAsia="zh-CN"/>
        </w:rPr>
        <w:t>。</w:t>
      </w:r>
      <w:r>
        <w:rPr>
          <w:rFonts w:hint="eastAsia" w:ascii="华文仿宋" w:hAnsi="华文仿宋" w:cs="华文仿宋"/>
          <w:b w:val="0"/>
          <w:bCs w:val="0"/>
          <w:color w:val="auto"/>
          <w:sz w:val="28"/>
          <w:szCs w:val="28"/>
        </w:rPr>
        <w:t>如遇困难，请拨打系统平台技术支持电话：</w:t>
      </w:r>
    </w:p>
    <w:p w14:paraId="50A7AFAF">
      <w:pPr>
        <w:pStyle w:val="27"/>
        <w:keepNext w:val="0"/>
        <w:keepLines w:val="0"/>
        <w:pageBreakBefore w:val="0"/>
        <w:widowControl/>
        <w:numPr>
          <w:ilvl w:val="255"/>
          <w:numId w:val="0"/>
        </w:numPr>
        <w:kinsoku/>
        <w:wordWrap w:val="0"/>
        <w:overflowPunct/>
        <w:topLinePunct w:val="0"/>
        <w:autoSpaceDE/>
        <w:autoSpaceDN/>
        <w:bidi w:val="0"/>
        <w:adjustRightInd/>
        <w:snapToGrid/>
        <w:spacing w:afterLines="0" w:line="500" w:lineRule="exact"/>
        <w:rPr>
          <w:rFonts w:ascii="华文仿宋" w:hAnsi="华文仿宋" w:cs="华文仿宋"/>
          <w:color w:val="auto"/>
          <w:sz w:val="28"/>
          <w:szCs w:val="28"/>
        </w:rPr>
      </w:pPr>
      <w:r>
        <w:rPr>
          <w:rFonts w:hint="eastAsia" w:ascii="华文仿宋" w:hAnsi="华文仿宋" w:cs="华文仿宋"/>
          <w:b/>
          <w:bCs/>
          <w:color w:val="auto"/>
          <w:sz w:val="28"/>
          <w:szCs w:val="28"/>
        </w:rPr>
        <w:t>051258188039。</w:t>
      </w:r>
    </w:p>
    <w:p w14:paraId="04257497">
      <w:pPr>
        <w:keepNext w:val="0"/>
        <w:keepLines w:val="0"/>
        <w:pageBreakBefore w:val="0"/>
        <w:widowControl/>
        <w:kinsoku/>
        <w:overflowPunct/>
        <w:topLinePunct w:val="0"/>
        <w:autoSpaceDE/>
        <w:autoSpaceDN/>
        <w:bidi w:val="0"/>
        <w:adjustRightInd/>
        <w:snapToGrid/>
        <w:spacing w:line="500" w:lineRule="exact"/>
        <w:ind w:firstLine="566" w:firstLineChars="200"/>
        <w:rPr>
          <w:rFonts w:ascii="华文仿宋" w:hAnsi="华文仿宋" w:cs="华文仿宋"/>
          <w:b/>
          <w:bCs/>
          <w:color w:val="auto"/>
        </w:rPr>
      </w:pPr>
      <w:r>
        <w:rPr>
          <w:rFonts w:hint="eastAsia" w:ascii="华文仿宋" w:hAnsi="华文仿宋" w:cs="华文仿宋"/>
          <w:b/>
          <w:bCs/>
          <w:color w:val="auto"/>
        </w:rPr>
        <w:t>开标时，投标人应按照工作人员要求进行远程解密，如因投标人自身原因，在规定时间内未完成投标文件解密，按无效投标对待。</w:t>
      </w:r>
    </w:p>
    <w:p w14:paraId="34675F66">
      <w:pPr>
        <w:pStyle w:val="27"/>
        <w:keepNext w:val="0"/>
        <w:keepLines w:val="0"/>
        <w:pageBreakBefore w:val="0"/>
        <w:widowControl/>
        <w:kinsoku/>
        <w:wordWrap w:val="0"/>
        <w:overflowPunct/>
        <w:topLinePunct w:val="0"/>
        <w:autoSpaceDE/>
        <w:autoSpaceDN/>
        <w:bidi w:val="0"/>
        <w:adjustRightInd/>
        <w:snapToGrid/>
        <w:spacing w:afterLines="0" w:line="500" w:lineRule="exact"/>
        <w:ind w:left="0" w:leftChars="0" w:firstLine="426" w:firstLineChars="200"/>
        <w:rPr>
          <w:rFonts w:ascii="宋体" w:hAnsi="宋体" w:eastAsia="宋体" w:cs="宋体"/>
          <w:color w:val="auto"/>
          <w:sz w:val="21"/>
          <w:szCs w:val="21"/>
        </w:rPr>
      </w:pPr>
      <w:r>
        <w:rPr>
          <w:rFonts w:hint="eastAsia" w:ascii="宋体" w:hAnsi="宋体" w:eastAsia="宋体" w:cs="宋体"/>
          <w:color w:val="auto"/>
          <w:sz w:val="21"/>
          <w:szCs w:val="21"/>
        </w:rPr>
        <w:t>备注：1</w:t>
      </w:r>
      <w:r>
        <w:rPr>
          <w:rFonts w:hint="eastAsia" w:ascii="宋体" w:hAnsi="宋体" w:eastAsia="宋体" w:cs="宋体"/>
          <w:color w:val="auto"/>
          <w:sz w:val="21"/>
          <w:szCs w:val="21"/>
          <w:lang w:val="en-US" w:eastAsia="zh-CN"/>
        </w:rPr>
        <w:t>.</w:t>
      </w:r>
      <w:r>
        <w:rPr>
          <w:rFonts w:hint="eastAsia" w:ascii="宋体" w:hAnsi="宋体" w:eastAsia="宋体" w:cs="宋体"/>
          <w:color w:val="auto"/>
          <w:sz w:val="21"/>
          <w:szCs w:val="21"/>
        </w:rPr>
        <w:t>相关操作流程详见全国公共资源交易平台（陕西省·延安市）网站〖首页·〉服务指南·〉下载专区〗中的《延安市公共资源交易中心政府采购电子招投标全流程操作手册（供应商版）》。</w:t>
      </w:r>
    </w:p>
    <w:p w14:paraId="44B31B8E">
      <w:pPr>
        <w:pStyle w:val="27"/>
        <w:keepNext w:val="0"/>
        <w:keepLines w:val="0"/>
        <w:pageBreakBefore w:val="0"/>
        <w:widowControl/>
        <w:kinsoku/>
        <w:wordWrap w:val="0"/>
        <w:overflowPunct/>
        <w:topLinePunct w:val="0"/>
        <w:autoSpaceDE/>
        <w:autoSpaceDN/>
        <w:bidi w:val="0"/>
        <w:adjustRightInd/>
        <w:snapToGrid/>
        <w:spacing w:afterLines="0" w:line="500" w:lineRule="exact"/>
        <w:ind w:firstLine="426" w:firstLineChars="200"/>
        <w:rPr>
          <w:rFonts w:ascii="宋体" w:hAnsi="宋体" w:eastAsia="宋体" w:cs="宋体"/>
          <w:color w:val="auto"/>
          <w:sz w:val="21"/>
          <w:szCs w:val="21"/>
        </w:rPr>
      </w:pPr>
      <w:r>
        <w:rPr>
          <w:rFonts w:hint="eastAsia" w:ascii="宋体" w:hAnsi="宋体" w:eastAsia="宋体" w:cs="宋体"/>
          <w:color w:val="auto"/>
          <w:sz w:val="21"/>
          <w:szCs w:val="21"/>
        </w:rPr>
        <w:t>2</w:t>
      </w:r>
      <w:r>
        <w:rPr>
          <w:rFonts w:hint="eastAsia" w:ascii="宋体" w:hAnsi="宋体" w:eastAsia="宋体" w:cs="宋体"/>
          <w:color w:val="auto"/>
          <w:sz w:val="21"/>
          <w:szCs w:val="21"/>
          <w:lang w:val="en-US" w:eastAsia="zh-CN"/>
        </w:rPr>
        <w:t>.</w:t>
      </w:r>
      <w:r>
        <w:rPr>
          <w:rFonts w:hint="eastAsia" w:ascii="宋体" w:hAnsi="宋体" w:eastAsia="宋体" w:cs="宋体"/>
          <w:color w:val="auto"/>
          <w:sz w:val="21"/>
          <w:szCs w:val="21"/>
        </w:rPr>
        <w:t>“规定时间”由现场工作人员具体确定。</w:t>
      </w:r>
    </w:p>
    <w:p w14:paraId="3AA68D2E">
      <w:pPr>
        <w:spacing w:line="500" w:lineRule="exact"/>
        <w:ind w:firstLine="566" w:firstLineChars="200"/>
        <w:rPr>
          <w:rFonts w:hint="eastAsia" w:eastAsia="华文仿宋"/>
          <w:b/>
          <w:bCs/>
          <w:color w:val="auto"/>
          <w:lang w:eastAsia="zh-CN"/>
        </w:rPr>
      </w:pPr>
      <w:r>
        <w:rPr>
          <w:rFonts w:hint="eastAsia"/>
          <w:b/>
          <w:bCs/>
          <w:color w:val="auto"/>
        </w:rPr>
        <w:t>十</w:t>
      </w:r>
      <w:r>
        <w:rPr>
          <w:rFonts w:hint="eastAsia"/>
          <w:b/>
          <w:bCs/>
          <w:color w:val="auto"/>
          <w:lang w:val="en-US" w:eastAsia="zh-CN"/>
        </w:rPr>
        <w:t>五</w:t>
      </w:r>
      <w:r>
        <w:rPr>
          <w:rFonts w:hint="eastAsia"/>
          <w:b/>
          <w:bCs/>
          <w:color w:val="auto"/>
        </w:rPr>
        <w:t>、采购代理机构收费标准：免费</w:t>
      </w:r>
      <w:r>
        <w:rPr>
          <w:rFonts w:hint="eastAsia"/>
          <w:b/>
          <w:bCs/>
          <w:color w:val="auto"/>
          <w:lang w:eastAsia="zh-CN"/>
        </w:rPr>
        <w:t>。</w:t>
      </w:r>
    </w:p>
    <w:p w14:paraId="581716A4">
      <w:pPr>
        <w:spacing w:line="500" w:lineRule="exact"/>
        <w:ind w:firstLine="566" w:firstLineChars="200"/>
        <w:rPr>
          <w:b/>
          <w:bCs/>
          <w:color w:val="auto"/>
        </w:rPr>
      </w:pPr>
      <w:bookmarkStart w:id="28" w:name="_Toc10758_WPSOffice_Level2"/>
      <w:bookmarkEnd w:id="28"/>
      <w:bookmarkStart w:id="29" w:name="_Toc20005"/>
      <w:bookmarkEnd w:id="29"/>
      <w:bookmarkStart w:id="30" w:name="_Toc22849_WPSOffice_Level2"/>
      <w:bookmarkEnd w:id="30"/>
      <w:bookmarkStart w:id="31" w:name="_Toc14110_WPSOffice_Level2"/>
      <w:bookmarkEnd w:id="31"/>
      <w:bookmarkStart w:id="32" w:name="_Toc17917"/>
      <w:bookmarkEnd w:id="32"/>
      <w:r>
        <w:rPr>
          <w:rFonts w:hint="eastAsia"/>
          <w:b/>
          <w:bCs/>
          <w:color w:val="auto"/>
        </w:rPr>
        <w:t>十</w:t>
      </w:r>
      <w:r>
        <w:rPr>
          <w:rFonts w:hint="eastAsia"/>
          <w:b/>
          <w:bCs/>
          <w:color w:val="auto"/>
          <w:lang w:val="en-US" w:eastAsia="zh-CN"/>
        </w:rPr>
        <w:t>六</w:t>
      </w:r>
      <w:r>
        <w:rPr>
          <w:rFonts w:hint="eastAsia"/>
          <w:b/>
          <w:bCs/>
          <w:color w:val="auto"/>
        </w:rPr>
        <w:t>、公告期自发布之日起</w:t>
      </w:r>
      <w:r>
        <w:rPr>
          <w:rFonts w:hint="eastAsia" w:ascii="宋体" w:hAnsi="宋体" w:eastAsia="宋体" w:cs="宋体"/>
          <w:b/>
          <w:bCs/>
          <w:color w:val="auto"/>
          <w:lang w:val="en-US" w:eastAsia="zh-CN"/>
        </w:rPr>
        <w:t>7</w:t>
      </w:r>
      <w:r>
        <w:rPr>
          <w:rFonts w:hint="eastAsia"/>
          <w:b/>
          <w:bCs/>
          <w:color w:val="auto"/>
        </w:rPr>
        <w:t>个工作日。</w:t>
      </w:r>
    </w:p>
    <w:p w14:paraId="6FB0A84E">
      <w:pPr>
        <w:spacing w:before="190" w:beforeLines="50" w:line="500" w:lineRule="exact"/>
        <w:ind w:firstLine="566" w:firstLineChars="200"/>
        <w:rPr>
          <w:rFonts w:hint="eastAsia" w:ascii="宋体" w:hAnsi="宋体" w:eastAsia="宋体" w:cs="宋体"/>
          <w:b/>
          <w:bCs/>
          <w:color w:val="auto"/>
        </w:rPr>
      </w:pPr>
    </w:p>
    <w:p w14:paraId="2F091685">
      <w:pPr>
        <w:spacing w:before="190" w:beforeLines="50" w:line="500" w:lineRule="exact"/>
        <w:ind w:firstLine="566" w:firstLineChars="200"/>
        <w:rPr>
          <w:color w:val="auto"/>
        </w:rPr>
      </w:pPr>
      <w:r>
        <w:rPr>
          <w:rFonts w:hint="eastAsia" w:ascii="宋体" w:hAnsi="宋体" w:eastAsia="宋体" w:cs="宋体"/>
          <w:b/>
          <w:bCs/>
          <w:color w:val="auto"/>
        </w:rPr>
        <w:t>特别提醒：</w:t>
      </w:r>
    </w:p>
    <w:p w14:paraId="2D1CE647">
      <w:pPr>
        <w:wordWrap w:val="0"/>
        <w:spacing w:line="500" w:lineRule="exact"/>
        <w:ind w:firstLine="426" w:firstLineChars="200"/>
        <w:rPr>
          <w:rFonts w:ascii="宋体" w:hAnsi="宋体" w:eastAsia="宋体" w:cs="宋体"/>
          <w:b/>
          <w:bCs/>
          <w:color w:val="auto"/>
          <w:sz w:val="21"/>
          <w:szCs w:val="21"/>
        </w:rPr>
      </w:pPr>
      <w:bookmarkStart w:id="33" w:name="_Toc495014610"/>
      <w:bookmarkStart w:id="34" w:name="_Toc495012770"/>
      <w:bookmarkStart w:id="35" w:name="_Toc495014584"/>
      <w:bookmarkStart w:id="36" w:name="_Toc495014648"/>
      <w:bookmarkStart w:id="37" w:name="_Toc26954"/>
      <w:bookmarkStart w:id="38" w:name="_Toc16643"/>
      <w:bookmarkStart w:id="39" w:name="_Toc445306492"/>
      <w:bookmarkStart w:id="40" w:name="_Toc495012820"/>
      <w:bookmarkStart w:id="41" w:name="_Toc495014953"/>
      <w:bookmarkStart w:id="42" w:name="_Toc8753"/>
      <w:bookmarkStart w:id="43" w:name="_Toc495014919"/>
      <w:r>
        <w:rPr>
          <w:rFonts w:hint="eastAsia" w:ascii="宋体" w:hAnsi="宋体" w:eastAsia="宋体" w:cs="宋体"/>
          <w:b/>
          <w:bCs/>
          <w:color w:val="auto"/>
          <w:sz w:val="21"/>
          <w:szCs w:val="21"/>
        </w:rPr>
        <w:t>1</w:t>
      </w:r>
      <w:r>
        <w:rPr>
          <w:rFonts w:hint="eastAsia" w:ascii="宋体" w:hAnsi="宋体" w:eastAsia="宋体" w:cs="宋体"/>
          <w:b/>
          <w:bCs/>
          <w:color w:val="auto"/>
          <w:sz w:val="21"/>
          <w:szCs w:val="21"/>
          <w:lang w:val="en-US" w:eastAsia="zh-CN"/>
        </w:rPr>
        <w:t>.</w:t>
      </w:r>
      <w:r>
        <w:rPr>
          <w:rFonts w:hint="eastAsia" w:ascii="宋体" w:hAnsi="宋体" w:eastAsia="宋体" w:cs="宋体"/>
          <w:b/>
          <w:bCs/>
          <w:color w:val="auto"/>
          <w:sz w:val="21"/>
          <w:szCs w:val="21"/>
        </w:rPr>
        <w:t>本项目采用电子化投标及远程不见面开标方式。投标人须使用数字认证证书（CA锁）对电子投标文件进行签章、加密、递交及开标时解密等相关招投标事宜。开标前，投标人需登录网络开标大厅。开标时，按照工作人员要求进行远程解密，如因投标人自身原因造成无法解密投标文件，按无效投标对待。</w:t>
      </w:r>
    </w:p>
    <w:p w14:paraId="42CEB7FD">
      <w:pPr>
        <w:wordWrap w:val="0"/>
        <w:spacing w:line="500" w:lineRule="exact"/>
        <w:ind w:firstLine="426" w:firstLineChars="200"/>
        <w:rPr>
          <w:rFonts w:ascii="宋体" w:hAnsi="宋体" w:eastAsia="宋体" w:cs="宋体"/>
          <w:b/>
          <w:bCs/>
          <w:color w:val="auto"/>
          <w:sz w:val="21"/>
          <w:szCs w:val="21"/>
        </w:rPr>
      </w:pPr>
      <w:r>
        <w:rPr>
          <w:rFonts w:hint="eastAsia" w:ascii="宋体" w:hAnsi="宋体" w:eastAsia="宋体" w:cs="宋体"/>
          <w:b/>
          <w:bCs/>
          <w:color w:val="auto"/>
          <w:sz w:val="21"/>
          <w:szCs w:val="21"/>
        </w:rPr>
        <w:t>2</w:t>
      </w:r>
      <w:r>
        <w:rPr>
          <w:rFonts w:hint="eastAsia" w:ascii="宋体" w:hAnsi="宋体" w:eastAsia="宋体" w:cs="宋体"/>
          <w:b/>
          <w:bCs/>
          <w:color w:val="auto"/>
          <w:sz w:val="21"/>
          <w:szCs w:val="21"/>
          <w:lang w:val="en-US" w:eastAsia="zh-CN"/>
        </w:rPr>
        <w:t>.</w:t>
      </w:r>
      <w:r>
        <w:rPr>
          <w:rFonts w:hint="eastAsia" w:ascii="宋体" w:hAnsi="宋体" w:eastAsia="宋体" w:cs="宋体"/>
          <w:b/>
          <w:bCs/>
          <w:color w:val="auto"/>
          <w:sz w:val="21"/>
          <w:szCs w:val="21"/>
        </w:rPr>
        <w:t>制作电子投标文件。投标人须在“全国公共资源交易中心平台（陕西省·延安市）（http://ya.sxggzyjy.cn/）”的“服务指南”栏目“下载专区”中，免费下载“陕西省公共资源交易平台政府采购电子标书制作工具”，并升级至最新版本，使用该</w:t>
      </w:r>
      <w:r>
        <w:rPr>
          <w:rFonts w:hint="eastAsia" w:ascii="宋体" w:hAnsi="宋体" w:eastAsia="宋体" w:cs="宋体"/>
          <w:b/>
          <w:bCs/>
          <w:color w:val="auto"/>
          <w:sz w:val="21"/>
          <w:szCs w:val="21"/>
          <w:lang w:val="en-US" w:eastAsia="zh-CN"/>
        </w:rPr>
        <w:t>客户</w:t>
      </w:r>
      <w:r>
        <w:rPr>
          <w:rFonts w:hint="eastAsia" w:ascii="宋体" w:hAnsi="宋体" w:eastAsia="宋体" w:cs="宋体"/>
          <w:b/>
          <w:bCs/>
          <w:color w:val="auto"/>
          <w:sz w:val="21"/>
          <w:szCs w:val="21"/>
        </w:rPr>
        <w:t>端制作电子投标文件，制作扩展名为“.SXSTF”的电子投标文件。</w:t>
      </w:r>
    </w:p>
    <w:p w14:paraId="3EDF6E29">
      <w:pPr>
        <w:wordWrap w:val="0"/>
        <w:spacing w:line="500" w:lineRule="exact"/>
        <w:ind w:firstLine="426" w:firstLineChars="200"/>
        <w:rPr>
          <w:rFonts w:ascii="宋体" w:hAnsi="宋体" w:eastAsia="宋体" w:cs="宋体"/>
          <w:b/>
          <w:bCs/>
          <w:color w:val="auto"/>
          <w:sz w:val="21"/>
          <w:szCs w:val="21"/>
        </w:rPr>
      </w:pPr>
      <w:r>
        <w:rPr>
          <w:rFonts w:hint="eastAsia" w:ascii="宋体" w:hAnsi="宋体" w:eastAsia="宋体" w:cs="宋体"/>
          <w:b/>
          <w:bCs/>
          <w:color w:val="auto"/>
          <w:sz w:val="21"/>
          <w:szCs w:val="21"/>
        </w:rPr>
        <w:t>3</w:t>
      </w:r>
      <w:r>
        <w:rPr>
          <w:rFonts w:hint="eastAsia" w:ascii="宋体" w:hAnsi="宋体" w:eastAsia="宋体" w:cs="宋体"/>
          <w:b/>
          <w:bCs/>
          <w:color w:val="auto"/>
          <w:sz w:val="21"/>
          <w:szCs w:val="21"/>
          <w:lang w:val="en-US" w:eastAsia="zh-CN"/>
        </w:rPr>
        <w:t>.</w:t>
      </w:r>
      <w:r>
        <w:rPr>
          <w:rFonts w:hint="eastAsia" w:ascii="宋体" w:hAnsi="宋体" w:eastAsia="宋体" w:cs="宋体"/>
          <w:b/>
          <w:bCs/>
          <w:color w:val="auto"/>
          <w:sz w:val="21"/>
          <w:szCs w:val="21"/>
        </w:rPr>
        <w:t>递交电子投标文件。登录全国公共资源交易中心平台（陕西省·延安市）（http://ya.sxggzyjy.cn/），选择“电子交易平台—政府采购交易系统—企业端”进行登录，登录后选择“交易乙方”身份进入，进入菜单“</w:t>
      </w:r>
      <w:r>
        <w:rPr>
          <w:rFonts w:hint="eastAsia" w:ascii="宋体" w:hAnsi="宋体" w:eastAsia="宋体" w:cs="宋体"/>
          <w:b/>
          <w:bCs/>
          <w:color w:val="auto"/>
          <w:sz w:val="21"/>
          <w:szCs w:val="21"/>
          <w:lang w:val="en-US" w:eastAsia="zh-CN"/>
        </w:rPr>
        <w:t>政府采购</w:t>
      </w:r>
      <w:r>
        <w:rPr>
          <w:rFonts w:hint="eastAsia" w:ascii="宋体" w:hAnsi="宋体" w:eastAsia="宋体" w:cs="宋体"/>
          <w:b/>
          <w:bCs/>
          <w:color w:val="auto"/>
          <w:sz w:val="21"/>
          <w:szCs w:val="21"/>
        </w:rPr>
        <w:t>—我的项目—项目流程—上传</w:t>
      </w:r>
      <w:r>
        <w:rPr>
          <w:rFonts w:hint="eastAsia" w:ascii="宋体" w:hAnsi="宋体" w:eastAsia="宋体" w:cs="宋体"/>
          <w:b/>
          <w:bCs/>
          <w:color w:val="auto"/>
          <w:sz w:val="21"/>
          <w:szCs w:val="21"/>
          <w:lang w:val="en-US" w:eastAsia="zh-CN"/>
        </w:rPr>
        <w:t>响应</w:t>
      </w:r>
      <w:r>
        <w:rPr>
          <w:rFonts w:hint="eastAsia" w:ascii="宋体" w:hAnsi="宋体" w:eastAsia="宋体" w:cs="宋体"/>
          <w:b/>
          <w:bCs/>
          <w:color w:val="auto"/>
          <w:sz w:val="21"/>
          <w:szCs w:val="21"/>
        </w:rPr>
        <w:t>文件”，上传加密的电子投标文件。上传成功后，电子化平台将予以记录。</w:t>
      </w:r>
    </w:p>
    <w:p w14:paraId="33ABAC92">
      <w:pPr>
        <w:wordWrap w:val="0"/>
        <w:spacing w:line="500" w:lineRule="exact"/>
        <w:ind w:firstLine="426" w:firstLineChars="200"/>
        <w:rPr>
          <w:rFonts w:ascii="宋体" w:hAnsi="宋体" w:eastAsia="宋体" w:cs="宋体"/>
          <w:b/>
          <w:bCs/>
          <w:color w:val="auto"/>
          <w:sz w:val="21"/>
          <w:szCs w:val="21"/>
        </w:rPr>
      </w:pPr>
      <w:r>
        <w:rPr>
          <w:rFonts w:hint="eastAsia" w:ascii="宋体" w:hAnsi="宋体" w:eastAsia="宋体" w:cs="宋体"/>
          <w:b/>
          <w:bCs/>
          <w:color w:val="auto"/>
          <w:sz w:val="21"/>
          <w:szCs w:val="21"/>
        </w:rPr>
        <w:t>4</w:t>
      </w:r>
      <w:r>
        <w:rPr>
          <w:rFonts w:hint="eastAsia" w:ascii="宋体" w:hAnsi="宋体" w:eastAsia="宋体" w:cs="宋体"/>
          <w:b/>
          <w:bCs/>
          <w:color w:val="auto"/>
          <w:sz w:val="21"/>
          <w:szCs w:val="21"/>
          <w:lang w:val="en-US" w:eastAsia="zh-CN"/>
        </w:rPr>
        <w:t>.</w:t>
      </w:r>
      <w:r>
        <w:rPr>
          <w:rFonts w:hint="eastAsia" w:ascii="宋体" w:hAnsi="宋体" w:eastAsia="宋体" w:cs="宋体"/>
          <w:b/>
          <w:bCs/>
          <w:color w:val="auto"/>
          <w:sz w:val="21"/>
          <w:szCs w:val="21"/>
        </w:rPr>
        <w:t>为了保证远程不见面开标顺利进行，投标人需使用配备音响和拾音设备的电脑提前1小时登录网络开标大厅（相关操作流程见本章第十四条第5款备注（1））。</w:t>
      </w:r>
    </w:p>
    <w:bookmarkEnd w:id="33"/>
    <w:bookmarkEnd w:id="34"/>
    <w:bookmarkEnd w:id="35"/>
    <w:bookmarkEnd w:id="36"/>
    <w:bookmarkEnd w:id="37"/>
    <w:bookmarkEnd w:id="38"/>
    <w:bookmarkEnd w:id="39"/>
    <w:bookmarkEnd w:id="40"/>
    <w:bookmarkEnd w:id="41"/>
    <w:bookmarkEnd w:id="42"/>
    <w:bookmarkEnd w:id="43"/>
    <w:p w14:paraId="13DDD183">
      <w:pPr>
        <w:pStyle w:val="2"/>
        <w:rPr>
          <w:rFonts w:cs="Times New Roman"/>
          <w:color w:val="auto"/>
        </w:rPr>
      </w:pPr>
      <w:bookmarkStart w:id="44" w:name="_Toc1044"/>
      <w:bookmarkEnd w:id="44"/>
      <w:bookmarkStart w:id="45" w:name="_Toc10152"/>
      <w:bookmarkEnd w:id="45"/>
      <w:bookmarkStart w:id="46" w:name="_Toc22925"/>
      <w:bookmarkEnd w:id="46"/>
      <w:bookmarkStart w:id="47" w:name="_Toc18479"/>
      <w:bookmarkEnd w:id="47"/>
      <w:bookmarkStart w:id="48" w:name="_Toc9792"/>
      <w:bookmarkEnd w:id="48"/>
      <w:bookmarkStart w:id="49" w:name="_Toc14432"/>
      <w:bookmarkEnd w:id="49"/>
      <w:bookmarkStart w:id="50" w:name="_Toc14373"/>
      <w:bookmarkEnd w:id="50"/>
      <w:bookmarkStart w:id="51" w:name="_Toc23988"/>
      <w:bookmarkEnd w:id="51"/>
      <w:r>
        <w:rPr>
          <w:rFonts w:hint="eastAsia" w:ascii="黑体" w:hAnsi="黑体" w:eastAsia="黑体" w:cs="黑体"/>
          <w:b w:val="0"/>
          <w:bCs w:val="0"/>
          <w:color w:val="auto"/>
          <w:sz w:val="32"/>
          <w:szCs w:val="32"/>
        </w:rPr>
        <w:br w:type="page"/>
      </w:r>
      <w:r>
        <w:rPr>
          <w:rFonts w:hint="eastAsia" w:ascii="黑体" w:hAnsi="黑体" w:eastAsia="黑体" w:cs="黑体"/>
          <w:b w:val="0"/>
          <w:bCs w:val="0"/>
          <w:color w:val="auto"/>
          <w:sz w:val="32"/>
          <w:szCs w:val="32"/>
        </w:rPr>
        <w:t>第二章  投标人须知</w:t>
      </w:r>
    </w:p>
    <w:p w14:paraId="0076D0F4">
      <w:pPr>
        <w:pStyle w:val="3"/>
        <w:spacing w:line="500" w:lineRule="exact"/>
        <w:ind w:firstLine="566" w:firstLineChars="200"/>
        <w:rPr>
          <w:rFonts w:ascii="华文仿宋" w:cs="Times New Roman"/>
          <w:color w:val="auto"/>
          <w:sz w:val="28"/>
          <w:szCs w:val="28"/>
        </w:rPr>
      </w:pPr>
      <w:bookmarkStart w:id="52" w:name="_Toc10543"/>
      <w:bookmarkEnd w:id="52"/>
      <w:bookmarkStart w:id="53" w:name="_Toc18994"/>
      <w:bookmarkEnd w:id="53"/>
      <w:bookmarkStart w:id="54" w:name="_Toc2341"/>
      <w:bookmarkEnd w:id="54"/>
      <w:bookmarkStart w:id="55" w:name="_Toc9277"/>
      <w:bookmarkEnd w:id="55"/>
      <w:bookmarkStart w:id="56" w:name="_Toc2124"/>
      <w:bookmarkEnd w:id="56"/>
      <w:bookmarkStart w:id="57" w:name="_Toc3177"/>
      <w:bookmarkEnd w:id="57"/>
      <w:bookmarkStart w:id="58" w:name="_Toc6447"/>
      <w:bookmarkEnd w:id="58"/>
      <w:bookmarkStart w:id="59" w:name="_Toc2084"/>
      <w:bookmarkEnd w:id="59"/>
      <w:bookmarkStart w:id="60" w:name="_Toc4935"/>
      <w:bookmarkEnd w:id="60"/>
      <w:bookmarkStart w:id="61" w:name="_Toc12398"/>
      <w:bookmarkEnd w:id="61"/>
      <w:r>
        <w:rPr>
          <w:rFonts w:hint="eastAsia" w:ascii="华文仿宋" w:hAnsi="华文仿宋" w:cs="华文仿宋"/>
          <w:color w:val="auto"/>
          <w:sz w:val="28"/>
          <w:szCs w:val="28"/>
        </w:rPr>
        <w:t>一、定义</w:t>
      </w:r>
    </w:p>
    <w:p w14:paraId="30FE17F7">
      <w:pPr>
        <w:numPr>
          <w:ilvl w:val="0"/>
          <w:numId w:val="0"/>
        </w:numPr>
        <w:spacing w:line="500" w:lineRule="exact"/>
        <w:ind w:leftChars="200"/>
        <w:rPr>
          <w:rFonts w:hint="eastAsia" w:ascii="华文仿宋" w:hAnsi="华文仿宋" w:eastAsia="华文仿宋" w:cs="华文仿宋"/>
          <w:color w:val="auto"/>
          <w:lang w:eastAsia="zh-CN"/>
        </w:rPr>
      </w:pPr>
      <w:r>
        <w:rPr>
          <w:rFonts w:hint="eastAsia" w:ascii="华文仿宋" w:hAnsi="华文仿宋" w:cs="华文仿宋"/>
          <w:color w:val="auto"/>
        </w:rPr>
        <w:t>（一）采购人：</w:t>
      </w:r>
      <w:r>
        <w:rPr>
          <w:rFonts w:hint="eastAsia" w:ascii="华文仿宋" w:hAnsi="华文仿宋" w:cs="华文仿宋"/>
          <w:b w:val="0"/>
          <w:bCs w:val="0"/>
          <w:color w:val="auto"/>
          <w:lang w:val="en-US" w:eastAsia="zh-CN"/>
        </w:rPr>
        <w:t>延安职业技术学院</w:t>
      </w:r>
    </w:p>
    <w:p w14:paraId="054F7DF2">
      <w:pPr>
        <w:spacing w:line="500" w:lineRule="exact"/>
        <w:ind w:firstLine="566" w:firstLineChars="200"/>
        <w:rPr>
          <w:rFonts w:hint="eastAsia" w:ascii="华文仿宋" w:eastAsia="华文仿宋" w:cs="Times New Roman"/>
          <w:color w:val="auto"/>
          <w:lang w:eastAsia="zh-CN"/>
        </w:rPr>
      </w:pPr>
      <w:r>
        <w:rPr>
          <w:rFonts w:hint="eastAsia" w:ascii="华文仿宋" w:hAnsi="华文仿宋" w:cs="华文仿宋"/>
          <w:color w:val="auto"/>
        </w:rPr>
        <w:t>（二）监督机构：</w:t>
      </w:r>
      <w:r>
        <w:rPr>
          <w:rFonts w:hint="eastAsia" w:ascii="华文仿宋" w:hAnsi="华文仿宋" w:cs="华文仿宋"/>
          <w:color w:val="auto"/>
          <w:lang w:val="en-US" w:eastAsia="zh-CN"/>
        </w:rPr>
        <w:t>延安市财政局</w:t>
      </w:r>
    </w:p>
    <w:p w14:paraId="27031128">
      <w:pPr>
        <w:spacing w:line="500" w:lineRule="exact"/>
        <w:ind w:firstLine="566" w:firstLineChars="200"/>
        <w:rPr>
          <w:rFonts w:hint="eastAsia" w:ascii="华文仿宋" w:eastAsia="华文仿宋" w:cs="Times New Roman"/>
          <w:color w:val="auto"/>
          <w:lang w:eastAsia="zh-CN"/>
        </w:rPr>
      </w:pPr>
      <w:r>
        <w:rPr>
          <w:rFonts w:hint="eastAsia" w:ascii="华文仿宋" w:hAnsi="华文仿宋" w:cs="华文仿宋"/>
          <w:color w:val="auto"/>
        </w:rPr>
        <w:t>（三）采购代理机构：</w:t>
      </w:r>
      <w:r>
        <w:rPr>
          <w:rFonts w:hint="eastAsia" w:ascii="华文仿宋" w:hAnsi="华文仿宋" w:cs="华文仿宋"/>
          <w:color w:val="auto"/>
          <w:lang w:eastAsia="zh-CN"/>
        </w:rPr>
        <w:t>延安市公共资源交易中心（延安市市直单位政府采购中心）（</w:t>
      </w:r>
      <w:r>
        <w:rPr>
          <w:rFonts w:hint="eastAsia" w:ascii="华文仿宋" w:hAnsi="华文仿宋" w:cs="华文仿宋"/>
          <w:color w:val="auto"/>
          <w:lang w:val="en-US" w:eastAsia="zh-CN"/>
        </w:rPr>
        <w:t>以下简称：中心</w:t>
      </w:r>
      <w:r>
        <w:rPr>
          <w:rFonts w:hint="eastAsia" w:ascii="华文仿宋" w:hAnsi="华文仿宋" w:cs="华文仿宋"/>
          <w:color w:val="auto"/>
          <w:lang w:eastAsia="zh-CN"/>
        </w:rPr>
        <w:t>）</w:t>
      </w:r>
    </w:p>
    <w:p w14:paraId="5691311E">
      <w:pPr>
        <w:spacing w:line="500" w:lineRule="exact"/>
        <w:ind w:firstLine="566" w:firstLineChars="200"/>
        <w:rPr>
          <w:rFonts w:ascii="华文仿宋" w:cs="Times New Roman"/>
          <w:color w:val="auto"/>
        </w:rPr>
      </w:pPr>
      <w:r>
        <w:rPr>
          <w:rFonts w:hint="eastAsia" w:ascii="华文仿宋" w:hAnsi="华文仿宋" w:cs="华文仿宋"/>
          <w:color w:val="auto"/>
        </w:rPr>
        <w:t>（四）投标人：拟向采购人提供货物、工程或者服务的法人、其他组织或者自然人</w:t>
      </w:r>
    </w:p>
    <w:p w14:paraId="2602C5A2">
      <w:pPr>
        <w:pStyle w:val="3"/>
        <w:spacing w:line="500" w:lineRule="exact"/>
        <w:ind w:firstLine="566" w:firstLineChars="200"/>
        <w:rPr>
          <w:rFonts w:ascii="华文仿宋" w:cs="Times New Roman"/>
          <w:color w:val="auto"/>
          <w:sz w:val="28"/>
          <w:szCs w:val="28"/>
        </w:rPr>
      </w:pPr>
      <w:bookmarkStart w:id="62" w:name="_Toc19809"/>
      <w:bookmarkEnd w:id="62"/>
      <w:bookmarkStart w:id="63" w:name="_Toc1931"/>
      <w:bookmarkEnd w:id="63"/>
      <w:bookmarkStart w:id="64" w:name="_Toc715"/>
      <w:bookmarkEnd w:id="64"/>
      <w:bookmarkStart w:id="65" w:name="_Toc16981"/>
      <w:bookmarkEnd w:id="65"/>
      <w:bookmarkStart w:id="66" w:name="_Toc31905"/>
      <w:bookmarkEnd w:id="66"/>
      <w:bookmarkStart w:id="67" w:name="_Toc4889"/>
      <w:bookmarkEnd w:id="67"/>
      <w:bookmarkStart w:id="68" w:name="_Toc17842"/>
      <w:bookmarkEnd w:id="68"/>
      <w:bookmarkStart w:id="69" w:name="_Toc29476"/>
      <w:bookmarkEnd w:id="69"/>
      <w:bookmarkStart w:id="70" w:name="_Toc31840"/>
      <w:bookmarkEnd w:id="70"/>
      <w:bookmarkStart w:id="71" w:name="_Toc18623"/>
      <w:bookmarkEnd w:id="71"/>
      <w:r>
        <w:rPr>
          <w:rFonts w:hint="eastAsia" w:ascii="华文仿宋" w:hAnsi="华文仿宋" w:cs="华文仿宋"/>
          <w:color w:val="auto"/>
          <w:sz w:val="28"/>
          <w:szCs w:val="28"/>
        </w:rPr>
        <w:t>二、投标人注意事项</w:t>
      </w:r>
    </w:p>
    <w:p w14:paraId="0A41A211">
      <w:pPr>
        <w:pStyle w:val="3"/>
        <w:spacing w:line="500" w:lineRule="exact"/>
        <w:ind w:firstLine="566" w:firstLineChars="200"/>
        <w:rPr>
          <w:rFonts w:ascii="华文仿宋" w:cs="Times New Roman"/>
          <w:color w:val="auto"/>
          <w:sz w:val="28"/>
          <w:szCs w:val="28"/>
        </w:rPr>
      </w:pPr>
      <w:bookmarkStart w:id="72" w:name="_Toc27849"/>
      <w:bookmarkEnd w:id="72"/>
      <w:bookmarkStart w:id="73" w:name="_Toc17374"/>
      <w:bookmarkEnd w:id="73"/>
      <w:bookmarkStart w:id="74" w:name="_Toc1370"/>
      <w:bookmarkEnd w:id="74"/>
      <w:bookmarkStart w:id="75" w:name="_Toc30161"/>
      <w:bookmarkEnd w:id="75"/>
      <w:bookmarkStart w:id="76" w:name="_Toc27608"/>
      <w:bookmarkEnd w:id="76"/>
      <w:bookmarkStart w:id="77" w:name="_Toc27141"/>
      <w:bookmarkEnd w:id="77"/>
      <w:bookmarkStart w:id="78" w:name="_Toc11128"/>
      <w:bookmarkEnd w:id="78"/>
      <w:bookmarkStart w:id="79" w:name="_Toc10573"/>
      <w:bookmarkEnd w:id="79"/>
      <w:bookmarkStart w:id="80" w:name="_Toc1795"/>
      <w:bookmarkEnd w:id="80"/>
      <w:bookmarkStart w:id="81" w:name="_Toc21886"/>
      <w:bookmarkEnd w:id="81"/>
      <w:bookmarkStart w:id="82" w:name="_Toc22478"/>
      <w:bookmarkEnd w:id="82"/>
      <w:bookmarkStart w:id="83" w:name="_Toc730"/>
      <w:bookmarkEnd w:id="83"/>
      <w:bookmarkStart w:id="84" w:name="_Toc734"/>
      <w:bookmarkEnd w:id="84"/>
      <w:bookmarkStart w:id="85" w:name="_Toc27956"/>
      <w:bookmarkEnd w:id="85"/>
      <w:bookmarkStart w:id="86" w:name="_Toc28589"/>
      <w:bookmarkEnd w:id="86"/>
      <w:bookmarkStart w:id="87" w:name="_Toc24064"/>
      <w:bookmarkEnd w:id="87"/>
      <w:bookmarkStart w:id="88" w:name="_Toc30368"/>
      <w:bookmarkEnd w:id="88"/>
      <w:bookmarkStart w:id="89" w:name="_Toc28058"/>
      <w:bookmarkEnd w:id="89"/>
      <w:bookmarkStart w:id="90" w:name="_Toc23045"/>
      <w:bookmarkEnd w:id="90"/>
      <w:bookmarkStart w:id="91" w:name="_Toc10905"/>
      <w:bookmarkEnd w:id="91"/>
      <w:bookmarkStart w:id="92" w:name="_Toc16764"/>
      <w:bookmarkEnd w:id="92"/>
      <w:bookmarkStart w:id="93" w:name="_Toc37"/>
      <w:bookmarkEnd w:id="93"/>
      <w:bookmarkStart w:id="94" w:name="_Toc24852"/>
      <w:bookmarkEnd w:id="94"/>
      <w:bookmarkStart w:id="95" w:name="_Toc18818"/>
      <w:bookmarkEnd w:id="95"/>
      <w:r>
        <w:rPr>
          <w:rFonts w:hint="eastAsia" w:ascii="华文仿宋" w:hAnsi="华文仿宋" w:cs="华文仿宋"/>
          <w:color w:val="auto"/>
          <w:sz w:val="28"/>
          <w:szCs w:val="28"/>
        </w:rPr>
        <w:t>（一）询问</w:t>
      </w:r>
    </w:p>
    <w:p w14:paraId="15962680">
      <w:pPr>
        <w:spacing w:line="500" w:lineRule="exact"/>
        <w:ind w:firstLine="566" w:firstLineChars="200"/>
        <w:rPr>
          <w:rFonts w:ascii="华文仿宋" w:hAnsi="华文仿宋" w:cs="华文仿宋"/>
          <w:color w:val="auto"/>
        </w:rPr>
      </w:pPr>
      <w:bookmarkStart w:id="96" w:name="_Toc12755"/>
      <w:bookmarkStart w:id="97" w:name="_Toc17968"/>
      <w:bookmarkStart w:id="98" w:name="_Toc16663"/>
      <w:bookmarkStart w:id="99" w:name="_Toc18061"/>
      <w:bookmarkStart w:id="100" w:name="_Toc26397"/>
      <w:bookmarkStart w:id="101" w:name="_Toc10767"/>
      <w:bookmarkStart w:id="102" w:name="_Toc7423"/>
      <w:bookmarkStart w:id="103" w:name="_Toc25620"/>
      <w:bookmarkStart w:id="104" w:name="_Toc2542"/>
      <w:bookmarkStart w:id="105" w:name="_Toc29525"/>
      <w:bookmarkStart w:id="106" w:name="_Toc23676"/>
      <w:bookmarkStart w:id="107" w:name="_Toc11418"/>
      <w:bookmarkStart w:id="108" w:name="_Toc9752"/>
      <w:bookmarkStart w:id="109" w:name="_Toc2552"/>
      <w:bookmarkStart w:id="110" w:name="_Toc5585"/>
      <w:r>
        <w:rPr>
          <w:rFonts w:hint="eastAsia" w:ascii="华文仿宋" w:hAnsi="华文仿宋" w:cs="华文仿宋"/>
          <w:color w:val="auto"/>
        </w:rPr>
        <w:t>投标人针对招标文件（包括采购需求、投标人资格条件、商务条款等）和公开/邀请招标资格审查结果依法提出书面询问的，采购人应在三个工作日内书面答复；投标人向</w:t>
      </w:r>
      <w:r>
        <w:rPr>
          <w:rFonts w:hint="eastAsia" w:ascii="华文仿宋" w:hAnsi="华文仿宋" w:cs="华文仿宋"/>
          <w:color w:val="auto"/>
          <w:lang w:eastAsia="zh-CN"/>
        </w:rPr>
        <w:t>中心</w:t>
      </w:r>
      <w:r>
        <w:rPr>
          <w:rFonts w:hint="eastAsia" w:ascii="华文仿宋" w:hAnsi="华文仿宋" w:cs="华文仿宋"/>
          <w:color w:val="auto"/>
        </w:rPr>
        <w:t>提出书面询问的，</w:t>
      </w:r>
      <w:r>
        <w:rPr>
          <w:rFonts w:hint="eastAsia" w:ascii="华文仿宋" w:hAnsi="华文仿宋" w:cs="华文仿宋"/>
          <w:color w:val="auto"/>
          <w:lang w:eastAsia="zh-CN"/>
        </w:rPr>
        <w:t>中心</w:t>
      </w:r>
      <w:r>
        <w:rPr>
          <w:rFonts w:hint="eastAsia" w:ascii="华文仿宋" w:hAnsi="华文仿宋" w:cs="华文仿宋"/>
          <w:color w:val="auto"/>
        </w:rPr>
        <w:t>应告知采购人并协助采购人做出答复。</w:t>
      </w:r>
    </w:p>
    <w:p w14:paraId="0C62D6C8">
      <w:pPr>
        <w:spacing w:line="500" w:lineRule="exact"/>
        <w:ind w:firstLine="566" w:firstLineChars="200"/>
        <w:rPr>
          <w:rFonts w:ascii="华文仿宋" w:hAnsi="华文仿宋" w:cs="华文仿宋"/>
          <w:color w:val="auto"/>
        </w:rPr>
      </w:pPr>
      <w:r>
        <w:rPr>
          <w:rFonts w:hint="eastAsia" w:ascii="华文仿宋" w:hAnsi="华文仿宋" w:cs="华文仿宋"/>
          <w:color w:val="auto"/>
        </w:rPr>
        <w:t>投标人对采购过程（不含公开/邀请招标资格审查结果）、中标（成交）结果，向</w:t>
      </w:r>
      <w:r>
        <w:rPr>
          <w:rFonts w:hint="eastAsia" w:ascii="华文仿宋" w:hAnsi="华文仿宋" w:cs="华文仿宋"/>
          <w:color w:val="auto"/>
          <w:lang w:eastAsia="zh-CN"/>
        </w:rPr>
        <w:t>中心</w:t>
      </w:r>
      <w:r>
        <w:rPr>
          <w:rFonts w:hint="eastAsia" w:ascii="华文仿宋" w:hAnsi="华文仿宋" w:cs="华文仿宋"/>
          <w:color w:val="auto"/>
        </w:rPr>
        <w:t>提出书面询问的，</w:t>
      </w:r>
      <w:r>
        <w:rPr>
          <w:rFonts w:hint="eastAsia" w:ascii="华文仿宋" w:hAnsi="华文仿宋" w:cs="华文仿宋"/>
          <w:color w:val="auto"/>
          <w:lang w:eastAsia="zh-CN"/>
        </w:rPr>
        <w:t>中心</w:t>
      </w:r>
      <w:r>
        <w:rPr>
          <w:rFonts w:hint="eastAsia" w:ascii="华文仿宋" w:hAnsi="华文仿宋" w:cs="华文仿宋"/>
          <w:color w:val="auto"/>
        </w:rPr>
        <w:t>应在三个工作日内书面答复。</w:t>
      </w:r>
    </w:p>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p w14:paraId="4BFC4070">
      <w:pPr>
        <w:pStyle w:val="3"/>
        <w:spacing w:line="500" w:lineRule="exact"/>
        <w:ind w:firstLine="566" w:firstLineChars="200"/>
        <w:rPr>
          <w:rFonts w:ascii="华文仿宋" w:cs="Times New Roman"/>
          <w:color w:val="auto"/>
          <w:sz w:val="28"/>
          <w:szCs w:val="28"/>
        </w:rPr>
      </w:pPr>
      <w:bookmarkStart w:id="111" w:name="_Toc27356"/>
      <w:bookmarkEnd w:id="111"/>
      <w:bookmarkStart w:id="112" w:name="_Toc21561"/>
      <w:bookmarkEnd w:id="112"/>
      <w:bookmarkStart w:id="113" w:name="_Toc9640"/>
      <w:bookmarkEnd w:id="113"/>
      <w:bookmarkStart w:id="114" w:name="_Toc11623"/>
      <w:bookmarkEnd w:id="114"/>
      <w:bookmarkStart w:id="115" w:name="_Toc17556"/>
      <w:bookmarkEnd w:id="115"/>
      <w:bookmarkStart w:id="116" w:name="_Toc860"/>
      <w:bookmarkEnd w:id="116"/>
      <w:bookmarkStart w:id="117" w:name="_Toc6193"/>
      <w:bookmarkEnd w:id="117"/>
      <w:bookmarkStart w:id="118" w:name="_Toc12428"/>
      <w:bookmarkEnd w:id="118"/>
      <w:bookmarkStart w:id="119" w:name="_Toc7955"/>
      <w:bookmarkEnd w:id="119"/>
      <w:r>
        <w:rPr>
          <w:rFonts w:hint="eastAsia" w:ascii="华文仿宋" w:hAnsi="华文仿宋" w:cs="华文仿宋"/>
          <w:color w:val="auto"/>
          <w:sz w:val="28"/>
          <w:szCs w:val="28"/>
        </w:rPr>
        <w:t>（二）现场踏勘及标前答疑会</w:t>
      </w:r>
    </w:p>
    <w:p w14:paraId="591F8244">
      <w:pPr>
        <w:pStyle w:val="7"/>
        <w:spacing w:afterLines="0" w:line="500" w:lineRule="exact"/>
        <w:ind w:firstLine="566" w:firstLineChars="200"/>
        <w:rPr>
          <w:color w:val="auto"/>
        </w:rPr>
      </w:pPr>
      <w:r>
        <w:rPr>
          <w:rFonts w:hint="eastAsia"/>
          <w:color w:val="auto"/>
        </w:rPr>
        <w:t>采购项目安排现场考察和标前答疑的，采购人应尽量在现场予以解答（口头提问可口头答复），现场不能做出解答的，应在三个工作日内书面答复，并交由</w:t>
      </w:r>
      <w:r>
        <w:rPr>
          <w:rFonts w:hint="eastAsia" w:ascii="华文仿宋" w:hAnsi="华文仿宋" w:cs="华文仿宋"/>
          <w:color w:val="auto"/>
          <w:lang w:eastAsia="zh-CN"/>
        </w:rPr>
        <w:t>中心</w:t>
      </w:r>
      <w:r>
        <w:rPr>
          <w:rFonts w:hint="eastAsia"/>
          <w:color w:val="auto"/>
        </w:rPr>
        <w:t>在财政部门指定的媒体上发布。</w:t>
      </w:r>
    </w:p>
    <w:p w14:paraId="4725E4AE">
      <w:pPr>
        <w:spacing w:afterLines="0" w:line="500" w:lineRule="exact"/>
        <w:ind w:firstLine="566" w:firstLineChars="200"/>
        <w:rPr>
          <w:rFonts w:ascii="华文仿宋" w:hAnsi="华文仿宋" w:cs="华文仿宋"/>
          <w:bCs/>
          <w:color w:val="auto"/>
        </w:rPr>
      </w:pPr>
      <w:r>
        <w:rPr>
          <w:rFonts w:hint="eastAsia"/>
          <w:color w:val="auto"/>
        </w:rPr>
        <w:t>答复内容可能影响投标文件编制的，应当顺延开标时间。</w:t>
      </w:r>
      <w:r>
        <w:rPr>
          <w:rFonts w:hint="eastAsia" w:ascii="华文仿宋" w:hAnsi="华文仿宋" w:cs="华文仿宋"/>
          <w:bCs/>
          <w:color w:val="auto"/>
        </w:rPr>
        <w:t>凡未参加现场踏勘和标前答疑的投标人，由此造成的偏差由各投标人自行负责。</w:t>
      </w:r>
    </w:p>
    <w:p w14:paraId="1644003D">
      <w:pPr>
        <w:spacing w:afterLines="0" w:line="500" w:lineRule="exact"/>
        <w:ind w:firstLine="566" w:firstLineChars="200"/>
        <w:rPr>
          <w:rFonts w:hint="eastAsia" w:ascii="华文仿宋" w:hAnsi="华文仿宋" w:cs="华文仿宋"/>
          <w:b/>
          <w:color w:val="auto"/>
        </w:rPr>
      </w:pPr>
      <w:r>
        <w:rPr>
          <w:rFonts w:hint="eastAsia" w:ascii="华文仿宋" w:hAnsi="华文仿宋" w:cs="华文仿宋"/>
          <w:b/>
          <w:color w:val="auto"/>
        </w:rPr>
        <w:t>本项目</w:t>
      </w:r>
      <w:r>
        <w:rPr>
          <w:rFonts w:hint="eastAsia" w:ascii="华文仿宋" w:hAnsi="华文仿宋" w:cs="华文仿宋"/>
          <w:b/>
          <w:color w:val="auto"/>
          <w:lang w:val="en-US" w:eastAsia="zh-CN"/>
        </w:rPr>
        <w:t>不进行</w:t>
      </w:r>
      <w:r>
        <w:rPr>
          <w:rFonts w:hint="eastAsia" w:ascii="华文仿宋" w:hAnsi="华文仿宋" w:cs="华文仿宋"/>
          <w:b/>
          <w:color w:val="auto"/>
        </w:rPr>
        <w:t>集中踏勘和标前答疑。</w:t>
      </w:r>
    </w:p>
    <w:p w14:paraId="33E9C226">
      <w:pPr>
        <w:pStyle w:val="3"/>
        <w:spacing w:line="500" w:lineRule="exact"/>
        <w:ind w:firstLine="566" w:firstLineChars="200"/>
        <w:rPr>
          <w:rFonts w:ascii="华文仿宋" w:cs="Times New Roman"/>
          <w:color w:val="auto"/>
          <w:sz w:val="28"/>
          <w:szCs w:val="28"/>
        </w:rPr>
      </w:pPr>
      <w:bookmarkStart w:id="120" w:name="_Toc32452"/>
      <w:bookmarkEnd w:id="120"/>
      <w:bookmarkStart w:id="121" w:name="_Toc25374"/>
      <w:bookmarkEnd w:id="121"/>
      <w:bookmarkStart w:id="122" w:name="_Toc31489"/>
      <w:bookmarkEnd w:id="122"/>
      <w:bookmarkStart w:id="123" w:name="_Toc24893"/>
      <w:bookmarkEnd w:id="123"/>
      <w:bookmarkStart w:id="124" w:name="_Toc2"/>
      <w:bookmarkEnd w:id="124"/>
      <w:bookmarkStart w:id="125" w:name="_Toc19650"/>
      <w:bookmarkEnd w:id="125"/>
      <w:bookmarkStart w:id="126" w:name="_Toc9167"/>
      <w:bookmarkEnd w:id="126"/>
      <w:bookmarkStart w:id="127" w:name="_Toc15669"/>
      <w:bookmarkEnd w:id="127"/>
      <w:bookmarkStart w:id="128" w:name="_Toc12086"/>
      <w:bookmarkEnd w:id="128"/>
      <w:bookmarkStart w:id="129" w:name="_Toc25161"/>
      <w:bookmarkEnd w:id="129"/>
      <w:bookmarkStart w:id="130" w:name="_Toc19048"/>
      <w:bookmarkEnd w:id="130"/>
      <w:bookmarkStart w:id="131" w:name="_Toc4494"/>
      <w:bookmarkEnd w:id="131"/>
      <w:bookmarkStart w:id="132" w:name="_Toc21760"/>
      <w:bookmarkEnd w:id="132"/>
      <w:bookmarkStart w:id="133" w:name="_Toc29658"/>
      <w:bookmarkEnd w:id="133"/>
      <w:bookmarkStart w:id="134" w:name="_Toc23122"/>
      <w:bookmarkEnd w:id="134"/>
      <w:bookmarkStart w:id="135" w:name="_Toc20548"/>
      <w:bookmarkEnd w:id="135"/>
      <w:bookmarkStart w:id="136" w:name="_Toc30373"/>
      <w:bookmarkEnd w:id="136"/>
      <w:bookmarkStart w:id="137" w:name="_Toc7492"/>
      <w:bookmarkEnd w:id="137"/>
      <w:bookmarkStart w:id="138" w:name="_Toc7114"/>
      <w:bookmarkEnd w:id="138"/>
      <w:bookmarkStart w:id="139" w:name="_Toc13711"/>
      <w:bookmarkEnd w:id="139"/>
      <w:bookmarkStart w:id="140" w:name="_Toc17393"/>
      <w:bookmarkEnd w:id="140"/>
      <w:bookmarkStart w:id="141" w:name="_Toc11479"/>
      <w:bookmarkEnd w:id="141"/>
      <w:bookmarkStart w:id="142" w:name="_Toc28768"/>
      <w:bookmarkEnd w:id="142"/>
      <w:bookmarkStart w:id="143" w:name="_Toc13487"/>
      <w:bookmarkEnd w:id="143"/>
      <w:r>
        <w:rPr>
          <w:rFonts w:hint="eastAsia" w:ascii="华文仿宋" w:hAnsi="华文仿宋" w:cs="华文仿宋"/>
          <w:color w:val="auto"/>
          <w:sz w:val="28"/>
          <w:szCs w:val="28"/>
        </w:rPr>
        <w:t>（三）质疑和投诉</w:t>
      </w:r>
    </w:p>
    <w:p w14:paraId="2E6F5E75">
      <w:pPr>
        <w:spacing w:line="500" w:lineRule="exact"/>
        <w:ind w:firstLine="566" w:firstLineChars="200"/>
        <w:contextualSpacing/>
        <w:rPr>
          <w:rFonts w:ascii="华文仿宋" w:hAnsi="华文仿宋" w:cs="华文仿宋"/>
          <w:color w:val="auto"/>
        </w:rPr>
      </w:pPr>
      <w:r>
        <w:rPr>
          <w:rFonts w:hint="eastAsia" w:ascii="华文仿宋" w:hAnsi="华文仿宋" w:cs="华文仿宋"/>
          <w:color w:val="auto"/>
        </w:rPr>
        <w:t>投标人如果认为招标文件（包括采购需求、投标人资格条件、商务条款等）使自身的合法权益受到损害，可以在获取招标文件之日起７个工作日内，以书面形式向采购人提出质疑；投标人如果认为采购过程</w:t>
      </w:r>
      <w:r>
        <w:rPr>
          <w:rFonts w:hint="eastAsia" w:ascii="仿宋" w:hAnsi="仿宋" w:eastAsia="仿宋" w:cs="仿宋"/>
          <w:bCs/>
          <w:color w:val="auto"/>
        </w:rPr>
        <w:t>（不含公开/邀请招标资格审查结果）</w:t>
      </w:r>
      <w:r>
        <w:rPr>
          <w:rFonts w:hint="eastAsia" w:ascii="华文仿宋" w:hAnsi="华文仿宋" w:cs="华文仿宋"/>
          <w:color w:val="auto"/>
        </w:rPr>
        <w:t>或中标结果使自身的合法权益受到损害，可以在知道或应知其权益受到损害之日起7个工作日内，以书面形式向</w:t>
      </w:r>
      <w:r>
        <w:rPr>
          <w:rFonts w:hint="eastAsia" w:ascii="华文仿宋" w:hAnsi="华文仿宋" w:cs="华文仿宋"/>
          <w:color w:val="auto"/>
          <w:lang w:eastAsia="zh-CN"/>
        </w:rPr>
        <w:t>中心</w:t>
      </w:r>
      <w:r>
        <w:rPr>
          <w:rFonts w:hint="eastAsia" w:ascii="华文仿宋" w:hAnsi="华文仿宋" w:cs="华文仿宋"/>
          <w:color w:val="auto"/>
        </w:rPr>
        <w:t>提出质疑。</w:t>
      </w:r>
    </w:p>
    <w:p w14:paraId="010EBD87">
      <w:pPr>
        <w:spacing w:line="500" w:lineRule="exact"/>
        <w:ind w:firstLine="566" w:firstLineChars="200"/>
        <w:rPr>
          <w:rFonts w:ascii="华文仿宋" w:cs="Times New Roman"/>
          <w:color w:val="auto"/>
        </w:rPr>
      </w:pPr>
      <w:r>
        <w:rPr>
          <w:rFonts w:ascii="华文仿宋" w:hAnsi="华文仿宋" w:cs="华文仿宋"/>
          <w:color w:val="auto"/>
        </w:rPr>
        <w:t>1</w:t>
      </w:r>
      <w:r>
        <w:rPr>
          <w:rFonts w:hint="eastAsia" w:ascii="华文仿宋" w:hAnsi="华文仿宋" w:cs="华文仿宋"/>
          <w:color w:val="auto"/>
          <w:lang w:val="en-US" w:eastAsia="zh-CN"/>
        </w:rPr>
        <w:t>.</w:t>
      </w:r>
      <w:r>
        <w:rPr>
          <w:rFonts w:hint="eastAsia" w:ascii="华文仿宋" w:hAnsi="华文仿宋" w:cs="华文仿宋"/>
          <w:color w:val="auto"/>
        </w:rPr>
        <w:t>投标人提出质疑应当提交质疑函和必要的证明材料，并按财政部《质疑函范本》给定的格式进行填写，范本下载详见【财政部国库司（gks.mof.gov.cn）】网站〖首页</w:t>
      </w:r>
      <w:r>
        <w:rPr>
          <w:rFonts w:ascii="华文仿宋" w:cs="Times New Roman"/>
          <w:color w:val="auto"/>
        </w:rPr>
        <w:t>•</w:t>
      </w:r>
      <w:r>
        <w:rPr>
          <w:rFonts w:hint="eastAsia" w:ascii="华文仿宋" w:hAnsi="华文仿宋" w:cs="华文仿宋"/>
          <w:color w:val="auto"/>
        </w:rPr>
        <w:t>〉政府采购管理〗栏目中的《政府采购供应商质疑函范本》。</w:t>
      </w:r>
    </w:p>
    <w:p w14:paraId="7114CDF8">
      <w:pPr>
        <w:spacing w:line="500" w:lineRule="exact"/>
        <w:ind w:firstLine="566" w:firstLineChars="200"/>
        <w:rPr>
          <w:rFonts w:ascii="华文仿宋" w:cs="Times New Roman"/>
          <w:color w:val="auto"/>
        </w:rPr>
      </w:pPr>
      <w:r>
        <w:rPr>
          <w:rFonts w:hint="eastAsia" w:ascii="华文仿宋" w:hAnsi="华文仿宋" w:cs="华文仿宋"/>
          <w:color w:val="auto"/>
        </w:rPr>
        <w:t>《政府采购供应商质疑函范本》链接地址：</w:t>
      </w:r>
    </w:p>
    <w:p w14:paraId="1480E75D">
      <w:pPr>
        <w:spacing w:line="500" w:lineRule="exact"/>
        <w:ind w:firstLine="566" w:firstLineChars="200"/>
        <w:rPr>
          <w:rFonts w:hint="eastAsia" w:ascii="仿宋" w:hAnsi="仿宋" w:eastAsia="仿宋" w:cs="仿宋"/>
          <w:color w:val="auto"/>
          <w:sz w:val="28"/>
          <w:szCs w:val="28"/>
        </w:rPr>
      </w:pPr>
      <w:r>
        <w:rPr>
          <w:rFonts w:hint="eastAsia" w:ascii="仿宋" w:hAnsi="仿宋" w:eastAsia="仿宋" w:cs="仿宋"/>
          <w:color w:val="auto"/>
          <w:sz w:val="28"/>
          <w:szCs w:val="28"/>
        </w:rPr>
        <w:t>http://gks.mof.gov.cn/ztztz/zhengfucaigouguanli/201802/t20180201_2804589.htm</w:t>
      </w:r>
    </w:p>
    <w:p w14:paraId="19E04F1F">
      <w:pPr>
        <w:spacing w:line="500" w:lineRule="exact"/>
        <w:ind w:firstLine="566" w:firstLineChars="200"/>
        <w:rPr>
          <w:rFonts w:ascii="华文仿宋" w:cs="Times New Roman"/>
          <w:color w:val="auto"/>
        </w:rPr>
      </w:pPr>
      <w:r>
        <w:rPr>
          <w:rFonts w:ascii="华文仿宋" w:hAnsi="华文仿宋" w:cs="华文仿宋"/>
          <w:color w:val="auto"/>
        </w:rPr>
        <w:t>2</w:t>
      </w:r>
      <w:r>
        <w:rPr>
          <w:rFonts w:hint="eastAsia" w:ascii="华文仿宋" w:hAnsi="华文仿宋" w:cs="华文仿宋"/>
          <w:color w:val="auto"/>
          <w:lang w:val="en-US" w:eastAsia="zh-CN"/>
        </w:rPr>
        <w:t>.</w:t>
      </w:r>
      <w:r>
        <w:rPr>
          <w:rFonts w:hint="eastAsia" w:ascii="华文仿宋" w:hAnsi="华文仿宋" w:cs="华文仿宋"/>
          <w:color w:val="auto"/>
        </w:rPr>
        <w:t>质疑人为自然人的，应当由本人签字；质疑人为法人或者其他组织的，应当由法定代表人、主要负责人，或者其授权代表签字或者盖章，并加盖公章。被授权代表办理质疑事项时，除提交质疑函外，还应当提交授权委托书及被授权代表的有效身份证明，授权委托书应当载明委托代理的具体权限和事项。</w:t>
      </w:r>
    </w:p>
    <w:p w14:paraId="557C57FC">
      <w:pPr>
        <w:spacing w:line="500" w:lineRule="exact"/>
        <w:ind w:firstLine="566" w:firstLineChars="200"/>
        <w:rPr>
          <w:rFonts w:ascii="华文仿宋" w:cs="Times New Roman"/>
          <w:color w:val="auto"/>
        </w:rPr>
      </w:pPr>
      <w:r>
        <w:rPr>
          <w:rFonts w:ascii="华文仿宋" w:hAnsi="华文仿宋" w:cs="华文仿宋"/>
          <w:color w:val="auto"/>
        </w:rPr>
        <w:t>3</w:t>
      </w:r>
      <w:r>
        <w:rPr>
          <w:rFonts w:hint="eastAsia" w:ascii="华文仿宋" w:hAnsi="华文仿宋" w:cs="华文仿宋"/>
          <w:color w:val="auto"/>
          <w:lang w:val="en-US" w:eastAsia="zh-CN"/>
        </w:rPr>
        <w:t>.</w:t>
      </w:r>
      <w:r>
        <w:rPr>
          <w:rFonts w:hint="eastAsia" w:ascii="华文仿宋" w:hAnsi="华文仿宋" w:cs="华文仿宋"/>
          <w:color w:val="auto"/>
        </w:rPr>
        <w:t>在法定质疑期内，针对同一采购程序环节的质疑应当一次性提出。</w:t>
      </w:r>
      <w:r>
        <w:rPr>
          <w:rFonts w:hint="eastAsia" w:ascii="华文仿宋" w:hAnsi="华文仿宋" w:cs="华文仿宋"/>
          <w:color w:val="auto"/>
          <w:lang w:eastAsia="zh-CN"/>
        </w:rPr>
        <w:t>中心</w:t>
      </w:r>
      <w:r>
        <w:rPr>
          <w:rFonts w:hint="eastAsia" w:ascii="华文仿宋" w:hAnsi="华文仿宋" w:cs="华文仿宋"/>
          <w:color w:val="auto"/>
        </w:rPr>
        <w:t>或采购人将在收到书面质疑后</w:t>
      </w:r>
      <w:r>
        <w:rPr>
          <w:rFonts w:ascii="仿宋" w:hAnsi="仿宋" w:eastAsia="仿宋" w:cs="仿宋"/>
          <w:color w:val="auto"/>
        </w:rPr>
        <w:t>7</w:t>
      </w:r>
      <w:r>
        <w:rPr>
          <w:rFonts w:hint="eastAsia" w:ascii="华文仿宋" w:hAnsi="华文仿宋" w:cs="华文仿宋"/>
          <w:color w:val="auto"/>
        </w:rPr>
        <w:t>个工作日内做出答复，并以书面形式通知质疑人和其他有关投标人。</w:t>
      </w:r>
    </w:p>
    <w:p w14:paraId="394C5F58">
      <w:pPr>
        <w:spacing w:line="500" w:lineRule="exact"/>
        <w:ind w:firstLine="566" w:firstLineChars="200"/>
        <w:rPr>
          <w:rFonts w:ascii="华文仿宋" w:cs="Times New Roman"/>
          <w:color w:val="auto"/>
        </w:rPr>
      </w:pPr>
      <w:r>
        <w:rPr>
          <w:rFonts w:ascii="华文仿宋" w:hAnsi="华文仿宋" w:cs="华文仿宋"/>
          <w:color w:val="auto"/>
        </w:rPr>
        <w:t>4</w:t>
      </w:r>
      <w:r>
        <w:rPr>
          <w:rFonts w:hint="eastAsia" w:ascii="华文仿宋" w:hAnsi="华文仿宋" w:cs="华文仿宋"/>
          <w:color w:val="auto"/>
          <w:lang w:val="en-US" w:eastAsia="zh-CN"/>
        </w:rPr>
        <w:t>.</w:t>
      </w:r>
      <w:r>
        <w:rPr>
          <w:rFonts w:hint="eastAsia" w:ascii="华文仿宋" w:hAnsi="华文仿宋" w:cs="华文仿宋"/>
          <w:color w:val="auto"/>
        </w:rPr>
        <w:t>有下列情形之一的，属于无效质疑，</w:t>
      </w:r>
      <w:r>
        <w:rPr>
          <w:rFonts w:hint="eastAsia" w:ascii="华文仿宋" w:hAnsi="华文仿宋" w:cs="华文仿宋"/>
          <w:color w:val="auto"/>
          <w:lang w:eastAsia="zh-CN"/>
        </w:rPr>
        <w:t>中心</w:t>
      </w:r>
      <w:r>
        <w:rPr>
          <w:rFonts w:hint="eastAsia" w:ascii="华文仿宋" w:hAnsi="华文仿宋" w:cs="华文仿宋"/>
          <w:color w:val="auto"/>
        </w:rPr>
        <w:t>和采购人不予受理：</w:t>
      </w:r>
    </w:p>
    <w:p w14:paraId="006B90F8">
      <w:pPr>
        <w:spacing w:line="500" w:lineRule="exact"/>
        <w:ind w:firstLine="566" w:firstLineChars="200"/>
        <w:rPr>
          <w:rFonts w:ascii="华文仿宋" w:cs="Times New Roman"/>
          <w:color w:val="auto"/>
        </w:rPr>
      </w:pPr>
      <w:r>
        <w:rPr>
          <w:rFonts w:hint="eastAsia" w:ascii="华文仿宋" w:hAnsi="华文仿宋" w:cs="华文仿宋"/>
          <w:color w:val="auto"/>
        </w:rPr>
        <w:t>（</w:t>
      </w:r>
      <w:r>
        <w:rPr>
          <w:rFonts w:ascii="华文仿宋" w:hAnsi="华文仿宋" w:cs="华文仿宋"/>
          <w:color w:val="auto"/>
        </w:rPr>
        <w:t>1</w:t>
      </w:r>
      <w:r>
        <w:rPr>
          <w:rFonts w:hint="eastAsia" w:ascii="华文仿宋" w:hAnsi="华文仿宋" w:cs="华文仿宋"/>
          <w:color w:val="auto"/>
        </w:rPr>
        <w:t>）质疑人不是参与本次政府采购项目的投标人或潜在投标人；</w:t>
      </w:r>
    </w:p>
    <w:p w14:paraId="4259B907">
      <w:pPr>
        <w:spacing w:line="500" w:lineRule="exact"/>
        <w:ind w:firstLine="566" w:firstLineChars="200"/>
        <w:rPr>
          <w:rFonts w:ascii="华文仿宋" w:cs="Times New Roman"/>
          <w:color w:val="auto"/>
        </w:rPr>
      </w:pPr>
      <w:r>
        <w:rPr>
          <w:rFonts w:hint="eastAsia" w:ascii="华文仿宋" w:hAnsi="华文仿宋" w:cs="华文仿宋"/>
          <w:color w:val="auto"/>
        </w:rPr>
        <w:t>（</w:t>
      </w:r>
      <w:r>
        <w:rPr>
          <w:rFonts w:ascii="华文仿宋" w:hAnsi="华文仿宋" w:cs="华文仿宋"/>
          <w:color w:val="auto"/>
        </w:rPr>
        <w:t>2</w:t>
      </w:r>
      <w:r>
        <w:rPr>
          <w:rFonts w:hint="eastAsia" w:ascii="华文仿宋" w:hAnsi="华文仿宋" w:cs="华文仿宋"/>
          <w:color w:val="auto"/>
        </w:rPr>
        <w:t>）质疑人与质疑事项不存在利害关系的；</w:t>
      </w:r>
    </w:p>
    <w:p w14:paraId="1583C64D">
      <w:pPr>
        <w:spacing w:line="500" w:lineRule="exact"/>
        <w:ind w:firstLine="566" w:firstLineChars="200"/>
        <w:rPr>
          <w:rFonts w:ascii="华文仿宋" w:cs="Times New Roman"/>
          <w:color w:val="auto"/>
        </w:rPr>
      </w:pPr>
      <w:r>
        <w:rPr>
          <w:rFonts w:hint="eastAsia" w:ascii="华文仿宋" w:hAnsi="华文仿宋" w:cs="华文仿宋"/>
          <w:color w:val="auto"/>
        </w:rPr>
        <w:t>（</w:t>
      </w:r>
      <w:r>
        <w:rPr>
          <w:rFonts w:ascii="华文仿宋" w:hAnsi="华文仿宋" w:cs="华文仿宋"/>
          <w:color w:val="auto"/>
        </w:rPr>
        <w:t>3</w:t>
      </w:r>
      <w:r>
        <w:rPr>
          <w:rFonts w:hint="eastAsia" w:ascii="华文仿宋" w:hAnsi="华文仿宋" w:cs="华文仿宋"/>
          <w:color w:val="auto"/>
        </w:rPr>
        <w:t>）未在法定期限内提出质疑的；</w:t>
      </w:r>
    </w:p>
    <w:p w14:paraId="09C75AC1">
      <w:pPr>
        <w:spacing w:line="500" w:lineRule="exact"/>
        <w:ind w:firstLine="566" w:firstLineChars="200"/>
        <w:rPr>
          <w:rFonts w:ascii="华文仿宋" w:cs="Times New Roman"/>
          <w:color w:val="auto"/>
        </w:rPr>
      </w:pPr>
      <w:r>
        <w:rPr>
          <w:rFonts w:hint="eastAsia" w:ascii="华文仿宋" w:hAnsi="华文仿宋" w:cs="华文仿宋"/>
          <w:color w:val="auto"/>
        </w:rPr>
        <w:t>（</w:t>
      </w:r>
      <w:r>
        <w:rPr>
          <w:rFonts w:ascii="华文仿宋" w:hAnsi="华文仿宋" w:cs="华文仿宋"/>
          <w:color w:val="auto"/>
        </w:rPr>
        <w:t>4</w:t>
      </w:r>
      <w:r>
        <w:rPr>
          <w:rFonts w:hint="eastAsia" w:ascii="华文仿宋" w:hAnsi="华文仿宋" w:cs="华文仿宋"/>
          <w:color w:val="auto"/>
        </w:rPr>
        <w:t>）质疑未以书面形式提出，或质疑函主要内容构成不完整的，或缺乏必要的证明材料及证明材料不完整的；</w:t>
      </w:r>
    </w:p>
    <w:p w14:paraId="288C6184">
      <w:pPr>
        <w:spacing w:line="500" w:lineRule="exact"/>
        <w:ind w:firstLine="566" w:firstLineChars="200"/>
        <w:rPr>
          <w:rFonts w:ascii="华文仿宋" w:cs="Times New Roman"/>
          <w:color w:val="auto"/>
        </w:rPr>
      </w:pPr>
      <w:r>
        <w:rPr>
          <w:rFonts w:hint="eastAsia" w:ascii="华文仿宋" w:hAnsi="华文仿宋" w:cs="华文仿宋"/>
          <w:color w:val="auto"/>
        </w:rPr>
        <w:t>（</w:t>
      </w:r>
      <w:r>
        <w:rPr>
          <w:rFonts w:ascii="华文仿宋" w:hAnsi="华文仿宋" w:cs="华文仿宋"/>
          <w:color w:val="auto"/>
        </w:rPr>
        <w:t>5</w:t>
      </w:r>
      <w:r>
        <w:rPr>
          <w:rFonts w:hint="eastAsia" w:ascii="华文仿宋" w:hAnsi="华文仿宋" w:cs="华文仿宋"/>
          <w:color w:val="auto"/>
        </w:rPr>
        <w:t>）质疑函没有合法有效的签字、盖章或授权的；</w:t>
      </w:r>
    </w:p>
    <w:p w14:paraId="66AF3115">
      <w:pPr>
        <w:spacing w:line="500" w:lineRule="exact"/>
        <w:ind w:firstLine="566" w:firstLineChars="200"/>
        <w:rPr>
          <w:rFonts w:ascii="华文仿宋" w:cs="Times New Roman"/>
          <w:color w:val="auto"/>
        </w:rPr>
      </w:pPr>
      <w:r>
        <w:rPr>
          <w:rFonts w:hint="eastAsia" w:ascii="华文仿宋" w:hAnsi="华文仿宋" w:cs="华文仿宋"/>
          <w:color w:val="auto"/>
        </w:rPr>
        <w:t>（</w:t>
      </w:r>
      <w:r>
        <w:rPr>
          <w:rFonts w:ascii="华文仿宋" w:hAnsi="华文仿宋" w:cs="华文仿宋"/>
          <w:color w:val="auto"/>
        </w:rPr>
        <w:t>6</w:t>
      </w:r>
      <w:r>
        <w:rPr>
          <w:rFonts w:hint="eastAsia" w:ascii="华文仿宋" w:hAnsi="华文仿宋" w:cs="华文仿宋"/>
          <w:color w:val="auto"/>
        </w:rPr>
        <w:t>）以非法手段取得证据、材料的；</w:t>
      </w:r>
    </w:p>
    <w:p w14:paraId="2B318386">
      <w:pPr>
        <w:spacing w:line="500" w:lineRule="exact"/>
        <w:ind w:firstLine="566" w:firstLineChars="200"/>
        <w:rPr>
          <w:rFonts w:ascii="华文仿宋" w:cs="Times New Roman"/>
          <w:color w:val="auto"/>
        </w:rPr>
      </w:pPr>
      <w:r>
        <w:rPr>
          <w:rFonts w:hint="eastAsia" w:ascii="华文仿宋" w:hAnsi="华文仿宋" w:cs="华文仿宋"/>
          <w:color w:val="auto"/>
        </w:rPr>
        <w:t>（</w:t>
      </w:r>
      <w:r>
        <w:rPr>
          <w:rFonts w:ascii="华文仿宋" w:hAnsi="华文仿宋" w:cs="华文仿宋"/>
          <w:color w:val="auto"/>
        </w:rPr>
        <w:t>7</w:t>
      </w:r>
      <w:r>
        <w:rPr>
          <w:rFonts w:hint="eastAsia" w:ascii="华文仿宋" w:hAnsi="华文仿宋" w:cs="华文仿宋"/>
          <w:color w:val="auto"/>
        </w:rPr>
        <w:t>）质疑答复后，同一质疑人就同一事项再次提出质疑的；</w:t>
      </w:r>
    </w:p>
    <w:p w14:paraId="7FAF20AD">
      <w:pPr>
        <w:spacing w:line="500" w:lineRule="exact"/>
        <w:ind w:firstLine="566" w:firstLineChars="200"/>
        <w:rPr>
          <w:rFonts w:ascii="华文仿宋" w:cs="Times New Roman"/>
          <w:color w:val="auto"/>
        </w:rPr>
      </w:pPr>
      <w:r>
        <w:rPr>
          <w:rFonts w:hint="eastAsia" w:ascii="华文仿宋" w:hAnsi="华文仿宋" w:cs="华文仿宋"/>
          <w:color w:val="auto"/>
        </w:rPr>
        <w:t>（</w:t>
      </w:r>
      <w:r>
        <w:rPr>
          <w:rFonts w:ascii="华文仿宋" w:hAnsi="华文仿宋" w:cs="华文仿宋"/>
          <w:color w:val="auto"/>
        </w:rPr>
        <w:t>8</w:t>
      </w:r>
      <w:r>
        <w:rPr>
          <w:rFonts w:hint="eastAsia" w:ascii="华文仿宋" w:hAnsi="华文仿宋" w:cs="华文仿宋"/>
          <w:color w:val="auto"/>
        </w:rPr>
        <w:t>）不符合法律、法规、规章和政府采购监管机构规定的其他条件的。</w:t>
      </w:r>
    </w:p>
    <w:p w14:paraId="0E2A05DE">
      <w:pPr>
        <w:spacing w:line="500" w:lineRule="exact"/>
        <w:ind w:firstLine="566" w:firstLineChars="200"/>
        <w:rPr>
          <w:rFonts w:ascii="华文仿宋" w:cs="Times New Roman"/>
          <w:color w:val="auto"/>
        </w:rPr>
      </w:pPr>
      <w:r>
        <w:rPr>
          <w:rFonts w:ascii="华文仿宋" w:hAnsi="华文仿宋" w:cs="华文仿宋"/>
          <w:color w:val="auto"/>
        </w:rPr>
        <w:t>5</w:t>
      </w:r>
      <w:r>
        <w:rPr>
          <w:rFonts w:hint="eastAsia" w:ascii="华文仿宋" w:hAnsi="华文仿宋" w:cs="华文仿宋"/>
          <w:color w:val="auto"/>
          <w:lang w:val="en-US" w:eastAsia="zh-CN"/>
        </w:rPr>
        <w:t>.</w:t>
      </w:r>
      <w:r>
        <w:rPr>
          <w:rFonts w:hint="eastAsia" w:ascii="华文仿宋" w:hAnsi="华文仿宋" w:cs="华文仿宋"/>
          <w:color w:val="auto"/>
        </w:rPr>
        <w:t>质疑人对</w:t>
      </w:r>
      <w:r>
        <w:rPr>
          <w:rFonts w:hint="eastAsia" w:ascii="华文仿宋" w:hAnsi="华文仿宋" w:cs="华文仿宋"/>
          <w:color w:val="auto"/>
          <w:lang w:eastAsia="zh-CN"/>
        </w:rPr>
        <w:t>中心</w:t>
      </w:r>
      <w:r>
        <w:rPr>
          <w:rFonts w:hint="eastAsia" w:ascii="华文仿宋" w:hAnsi="华文仿宋" w:cs="华文仿宋"/>
          <w:color w:val="auto"/>
        </w:rPr>
        <w:t>或采购人的答复不满意，以及</w:t>
      </w:r>
      <w:r>
        <w:rPr>
          <w:rFonts w:hint="eastAsia" w:ascii="华文仿宋" w:hAnsi="华文仿宋" w:cs="华文仿宋"/>
          <w:color w:val="auto"/>
          <w:lang w:eastAsia="zh-CN"/>
        </w:rPr>
        <w:t>中心</w:t>
      </w:r>
      <w:r>
        <w:rPr>
          <w:rFonts w:hint="eastAsia" w:ascii="华文仿宋" w:hAnsi="华文仿宋" w:cs="华文仿宋"/>
          <w:color w:val="auto"/>
        </w:rPr>
        <w:t>或采购人未在规定时间内做出答复的，可以在答复期满后</w:t>
      </w:r>
      <w:r>
        <w:rPr>
          <w:rFonts w:ascii="仿宋" w:hAnsi="仿宋" w:eastAsia="仿宋" w:cs="仿宋"/>
          <w:color w:val="auto"/>
        </w:rPr>
        <w:t>15</w:t>
      </w:r>
      <w:r>
        <w:rPr>
          <w:rFonts w:hint="eastAsia" w:ascii="华文仿宋" w:hAnsi="华文仿宋" w:cs="华文仿宋"/>
          <w:color w:val="auto"/>
        </w:rPr>
        <w:t>个工作日内向政府采购监管机构提出投诉。</w:t>
      </w:r>
    </w:p>
    <w:p w14:paraId="516CFD23">
      <w:pPr>
        <w:spacing w:line="500" w:lineRule="exact"/>
        <w:ind w:firstLine="566" w:firstLineChars="200"/>
        <w:rPr>
          <w:rFonts w:ascii="华文仿宋" w:cs="Times New Roman"/>
          <w:color w:val="auto"/>
        </w:rPr>
      </w:pPr>
      <w:r>
        <w:rPr>
          <w:rFonts w:ascii="华文仿宋" w:hAnsi="华文仿宋" w:cs="华文仿宋"/>
          <w:color w:val="auto"/>
        </w:rPr>
        <w:t>6</w:t>
      </w:r>
      <w:r>
        <w:rPr>
          <w:rFonts w:hint="eastAsia" w:ascii="华文仿宋" w:hAnsi="华文仿宋" w:cs="华文仿宋"/>
          <w:color w:val="auto"/>
          <w:lang w:val="en-US" w:eastAsia="zh-CN"/>
        </w:rPr>
        <w:t>.</w:t>
      </w:r>
      <w:r>
        <w:rPr>
          <w:rFonts w:hint="eastAsia" w:ascii="华文仿宋" w:hAnsi="华文仿宋" w:cs="华文仿宋"/>
          <w:color w:val="auto"/>
        </w:rPr>
        <w:t>投标人投诉的事项不得超出已质疑事项的范围。</w:t>
      </w:r>
    </w:p>
    <w:p w14:paraId="560C7332">
      <w:pPr>
        <w:spacing w:line="500" w:lineRule="exact"/>
        <w:ind w:firstLine="566" w:firstLineChars="200"/>
        <w:rPr>
          <w:rFonts w:ascii="华文仿宋" w:cs="Times New Roman"/>
          <w:b/>
          <w:bCs/>
          <w:color w:val="auto"/>
        </w:rPr>
      </w:pPr>
      <w:r>
        <w:rPr>
          <w:rFonts w:ascii="华文仿宋" w:hAnsi="华文仿宋" w:cs="华文仿宋"/>
          <w:color w:val="auto"/>
        </w:rPr>
        <w:t>7</w:t>
      </w:r>
      <w:r>
        <w:rPr>
          <w:rFonts w:hint="eastAsia" w:ascii="华文仿宋" w:hAnsi="华文仿宋" w:cs="华文仿宋"/>
          <w:color w:val="auto"/>
          <w:lang w:val="en-US" w:eastAsia="zh-CN"/>
        </w:rPr>
        <w:t>.</w:t>
      </w:r>
      <w:r>
        <w:rPr>
          <w:rFonts w:hint="eastAsia" w:ascii="华文仿宋" w:hAnsi="华文仿宋" w:cs="华文仿宋"/>
          <w:b/>
          <w:bCs/>
          <w:color w:val="auto"/>
        </w:rPr>
        <w:t>对捏造事实、提供虚假材料进行质疑、投诉的行为予以严肃处理：</w:t>
      </w:r>
    </w:p>
    <w:p w14:paraId="307F2755">
      <w:pPr>
        <w:spacing w:line="500" w:lineRule="exact"/>
        <w:ind w:firstLine="566" w:firstLineChars="200"/>
        <w:rPr>
          <w:rFonts w:ascii="华文仿宋" w:cs="Times New Roman"/>
          <w:color w:val="auto"/>
        </w:rPr>
      </w:pPr>
      <w:r>
        <w:rPr>
          <w:rFonts w:hint="eastAsia" w:ascii="华文仿宋" w:hAnsi="华文仿宋" w:cs="华文仿宋"/>
          <w:color w:val="auto"/>
        </w:rPr>
        <w:t>依据《中华人民共和国政府采购法》及其实施条例、《政府采购货物和服务招标投标管理办法》（财政部令第87号）、《政府采购质疑和投诉办法》等法律法规的规定，投标人质疑、投诉应当有明确的请求和必要的证明材料。</w:t>
      </w:r>
      <w:r>
        <w:rPr>
          <w:rFonts w:hint="eastAsia" w:ascii="华文仿宋" w:hAnsi="华文仿宋" w:cs="华文仿宋"/>
          <w:b/>
          <w:bCs/>
          <w:color w:val="auto"/>
        </w:rPr>
        <w:t>投诉人在全国范围内十二个月内三次以上投诉查无实据的，由财政部门列入不良行为记录名单。</w:t>
      </w:r>
      <w:r>
        <w:rPr>
          <w:rFonts w:hint="eastAsia" w:ascii="华文仿宋" w:hAnsi="华文仿宋" w:cs="华文仿宋"/>
          <w:color w:val="auto"/>
        </w:rPr>
        <w:t>对于捏造事实、提供虚假材料或者以非法手段取得证明材料进行投诉的，财政部门应当予以驳回，并将其列入不良行为记录名单，禁止其一至三年内参加政府采购活动。</w:t>
      </w:r>
    </w:p>
    <w:p w14:paraId="5274C20A">
      <w:pPr>
        <w:spacing w:line="500" w:lineRule="exact"/>
        <w:ind w:firstLine="566" w:firstLineChars="200"/>
        <w:rPr>
          <w:rFonts w:ascii="华文仿宋" w:cs="Times New Roman"/>
          <w:b/>
          <w:bCs/>
          <w:color w:val="auto"/>
        </w:rPr>
      </w:pPr>
      <w:r>
        <w:rPr>
          <w:rFonts w:ascii="华文仿宋" w:hAnsi="华文仿宋" w:cs="华文仿宋"/>
          <w:color w:val="auto"/>
        </w:rPr>
        <w:t>8</w:t>
      </w:r>
      <w:r>
        <w:rPr>
          <w:rFonts w:hint="eastAsia" w:ascii="华文仿宋" w:hAnsi="华文仿宋" w:cs="华文仿宋"/>
          <w:color w:val="auto"/>
          <w:lang w:val="en-US" w:eastAsia="zh-CN"/>
        </w:rPr>
        <w:t>.</w:t>
      </w:r>
      <w:r>
        <w:rPr>
          <w:rFonts w:hint="eastAsia" w:ascii="华文仿宋" w:hAnsi="华文仿宋" w:cs="华文仿宋"/>
          <w:b/>
          <w:bCs/>
          <w:color w:val="auto"/>
        </w:rPr>
        <w:t>对捏造事实诬告陷害他人、诽谤他人的法律适用：</w:t>
      </w:r>
    </w:p>
    <w:p w14:paraId="383E8D3A">
      <w:pPr>
        <w:spacing w:line="500" w:lineRule="exact"/>
        <w:ind w:firstLine="566" w:firstLineChars="200"/>
        <w:rPr>
          <w:rFonts w:ascii="华文仿宋" w:cs="Times New Roman"/>
          <w:color w:val="auto"/>
        </w:rPr>
      </w:pPr>
      <w:r>
        <w:rPr>
          <w:rFonts w:hint="eastAsia" w:ascii="华文仿宋" w:hAnsi="华文仿宋" w:cs="华文仿宋"/>
          <w:color w:val="auto"/>
        </w:rPr>
        <w:t>《中华人民共和国刑法》第</w:t>
      </w:r>
      <w:r>
        <w:rPr>
          <w:rFonts w:ascii="仿宋" w:hAnsi="仿宋" w:eastAsia="仿宋" w:cs="仿宋"/>
          <w:color w:val="auto"/>
        </w:rPr>
        <w:t>243</w:t>
      </w:r>
      <w:r>
        <w:rPr>
          <w:rFonts w:hint="eastAsia" w:ascii="华文仿宋" w:hAnsi="华文仿宋" w:cs="华文仿宋"/>
          <w:color w:val="auto"/>
        </w:rPr>
        <w:t>条【诬告陷害罪】捏造事实诬告陷害他人，意图使他人受刑事追究，情节严重的，处三年以下有期徒刑、拘役或者管制；造成严重后果的，处三年以上十年以下有期徒刑。</w:t>
      </w:r>
    </w:p>
    <w:p w14:paraId="581F8E93">
      <w:pPr>
        <w:spacing w:line="500" w:lineRule="exact"/>
        <w:ind w:firstLine="566" w:firstLineChars="200"/>
        <w:rPr>
          <w:rFonts w:ascii="华文仿宋" w:cs="Times New Roman"/>
          <w:color w:val="auto"/>
        </w:rPr>
      </w:pPr>
      <w:r>
        <w:rPr>
          <w:rFonts w:hint="eastAsia" w:ascii="华文仿宋" w:hAnsi="华文仿宋" w:cs="华文仿宋"/>
          <w:color w:val="auto"/>
        </w:rPr>
        <w:t>《中华人民共和国刑法》第</w:t>
      </w:r>
      <w:r>
        <w:rPr>
          <w:rFonts w:ascii="仿宋" w:hAnsi="仿宋" w:eastAsia="仿宋" w:cs="仿宋"/>
          <w:color w:val="auto"/>
        </w:rPr>
        <w:t>246</w:t>
      </w:r>
      <w:r>
        <w:rPr>
          <w:rFonts w:hint="eastAsia" w:ascii="华文仿宋" w:hAnsi="华文仿宋" w:cs="华文仿宋"/>
          <w:color w:val="auto"/>
        </w:rPr>
        <w:t>条【侮辱罪、诽谤罪】以暴力或者其他方法公然侮辱他人或者捏造事实诽谤他人，情节严重的，处三年以下有期徒刑、拘役、管制或者剥夺政治权利。</w:t>
      </w:r>
    </w:p>
    <w:p w14:paraId="0DC651D3">
      <w:pPr>
        <w:numPr>
          <w:ilvl w:val="0"/>
          <w:numId w:val="0"/>
        </w:numPr>
        <w:spacing w:line="500" w:lineRule="exact"/>
        <w:ind w:firstLine="566" w:firstLineChars="200"/>
        <w:rPr>
          <w:rFonts w:hint="default" w:ascii="华文仿宋" w:hAnsi="华文仿宋" w:cs="华文仿宋"/>
          <w:color w:val="FF0000"/>
          <w:sz w:val="36"/>
          <w:szCs w:val="36"/>
          <w:lang w:val="en-US"/>
        </w:rPr>
      </w:pPr>
      <w:r>
        <w:rPr>
          <w:rFonts w:hint="eastAsia" w:ascii="华文仿宋" w:hAnsi="华文仿宋" w:cs="华文仿宋"/>
          <w:color w:val="auto"/>
          <w:lang w:val="en-US" w:eastAsia="zh-CN"/>
        </w:rPr>
        <w:t>9.</w:t>
      </w:r>
      <w:r>
        <w:rPr>
          <w:rFonts w:hint="eastAsia" w:ascii="华文仿宋" w:hAnsi="华文仿宋" w:cs="华文仿宋"/>
          <w:color w:val="auto"/>
        </w:rPr>
        <w:t>质疑函递交地址：</w:t>
      </w:r>
      <w:r>
        <w:rPr>
          <w:rFonts w:hint="eastAsia" w:ascii="华文仿宋" w:hAnsi="华文仿宋" w:cs="华文仿宋"/>
          <w:color w:val="auto"/>
          <w:lang w:val="en-US" w:eastAsia="zh-CN"/>
        </w:rPr>
        <w:t>中心A233办公室</w:t>
      </w:r>
    </w:p>
    <w:p w14:paraId="29C767FD">
      <w:pPr>
        <w:spacing w:line="500" w:lineRule="exact"/>
        <w:ind w:firstLine="566" w:firstLineChars="200"/>
        <w:rPr>
          <w:rFonts w:hint="default" w:ascii="仿宋" w:hAnsi="仿宋" w:eastAsia="仿宋" w:cs="仿宋"/>
          <w:color w:val="auto"/>
          <w:lang w:val="en-US" w:eastAsia="zh-CN"/>
        </w:rPr>
      </w:pPr>
      <w:r>
        <w:rPr>
          <w:rFonts w:hint="eastAsia" w:ascii="华文仿宋" w:hAnsi="华文仿宋" w:cs="华文仿宋"/>
          <w:color w:val="auto"/>
        </w:rPr>
        <w:t>联系电话：</w:t>
      </w:r>
      <w:r>
        <w:rPr>
          <w:rFonts w:hint="eastAsia" w:ascii="仿宋" w:hAnsi="仿宋" w:eastAsia="仿宋" w:cs="仿宋"/>
          <w:color w:val="auto"/>
          <w:lang w:val="en-US" w:eastAsia="zh-CN"/>
        </w:rPr>
        <w:t>0911-2162209</w:t>
      </w:r>
    </w:p>
    <w:p w14:paraId="41E61088">
      <w:pPr>
        <w:spacing w:line="500" w:lineRule="exact"/>
        <w:ind w:firstLine="566" w:firstLineChars="200"/>
        <w:rPr>
          <w:rFonts w:hint="default" w:ascii="华文仿宋" w:eastAsia="华文仿宋" w:cs="Times New Roman"/>
          <w:color w:val="auto"/>
          <w:lang w:val="en-US" w:eastAsia="zh-CN"/>
        </w:rPr>
      </w:pPr>
      <w:r>
        <w:rPr>
          <w:rFonts w:hint="eastAsia" w:ascii="华文仿宋" w:hAnsi="华文仿宋" w:cs="华文仿宋"/>
          <w:color w:val="auto"/>
        </w:rPr>
        <w:t>投诉书递交地址：延安市新区为民服务中心</w:t>
      </w:r>
      <w:r>
        <w:rPr>
          <w:rFonts w:hint="eastAsia" w:ascii="华文仿宋" w:hAnsi="华文仿宋" w:cs="华文仿宋"/>
          <w:color w:val="auto"/>
          <w:lang w:val="en-US" w:eastAsia="zh-CN"/>
        </w:rPr>
        <w:t>综合楼（1号楼）延安市财政局采购科</w:t>
      </w:r>
    </w:p>
    <w:p w14:paraId="574F4B49">
      <w:pPr>
        <w:spacing w:line="500" w:lineRule="exact"/>
        <w:ind w:firstLine="566" w:firstLineChars="200"/>
        <w:rPr>
          <w:rFonts w:hint="default" w:ascii="华文仿宋" w:eastAsia="华文仿宋" w:cs="Times New Roman"/>
          <w:color w:val="auto"/>
          <w:u w:val="single"/>
          <w:lang w:val="en-US" w:eastAsia="zh-CN"/>
        </w:rPr>
      </w:pPr>
      <w:r>
        <w:rPr>
          <w:rFonts w:hint="eastAsia" w:ascii="华文仿宋" w:hAnsi="华文仿宋" w:cs="华文仿宋"/>
          <w:color w:val="auto"/>
        </w:rPr>
        <w:t>联系电话：</w:t>
      </w:r>
      <w:r>
        <w:rPr>
          <w:rFonts w:hint="eastAsia" w:ascii="仿宋" w:hAnsi="仿宋" w:eastAsia="仿宋" w:cs="仿宋"/>
          <w:color w:val="auto"/>
          <w:lang w:val="en-US" w:eastAsia="zh-CN"/>
        </w:rPr>
        <w:t>0911-7091014</w:t>
      </w:r>
    </w:p>
    <w:p w14:paraId="209A24E6">
      <w:pPr>
        <w:pStyle w:val="3"/>
        <w:spacing w:line="500" w:lineRule="exact"/>
        <w:ind w:firstLine="566" w:firstLineChars="200"/>
        <w:rPr>
          <w:rFonts w:ascii="华文仿宋" w:cs="Times New Roman"/>
          <w:color w:val="auto"/>
          <w:sz w:val="28"/>
          <w:szCs w:val="28"/>
        </w:rPr>
      </w:pPr>
      <w:bookmarkStart w:id="144" w:name="_Toc18065"/>
      <w:bookmarkEnd w:id="144"/>
      <w:bookmarkStart w:id="145" w:name="_Toc8591"/>
      <w:bookmarkEnd w:id="145"/>
      <w:bookmarkStart w:id="146" w:name="_Toc6747"/>
      <w:bookmarkEnd w:id="146"/>
      <w:bookmarkStart w:id="147" w:name="_Toc6063"/>
      <w:bookmarkEnd w:id="147"/>
      <w:bookmarkStart w:id="148" w:name="_Toc13615"/>
      <w:bookmarkEnd w:id="148"/>
      <w:bookmarkStart w:id="149" w:name="_Toc6125"/>
      <w:bookmarkEnd w:id="149"/>
      <w:bookmarkStart w:id="150" w:name="_Toc32709"/>
      <w:bookmarkEnd w:id="150"/>
      <w:bookmarkStart w:id="151" w:name="_Toc12966"/>
      <w:bookmarkEnd w:id="151"/>
      <w:bookmarkStart w:id="152" w:name="_Toc10327"/>
      <w:bookmarkEnd w:id="152"/>
      <w:bookmarkStart w:id="153" w:name="_Toc29424"/>
      <w:bookmarkEnd w:id="153"/>
      <w:bookmarkStart w:id="154" w:name="_Toc3487"/>
      <w:bookmarkEnd w:id="154"/>
      <w:bookmarkStart w:id="155" w:name="_Toc7801"/>
      <w:bookmarkEnd w:id="155"/>
      <w:bookmarkStart w:id="156" w:name="_Toc2698"/>
      <w:bookmarkEnd w:id="156"/>
      <w:r>
        <w:rPr>
          <w:rFonts w:hint="eastAsia" w:ascii="华文仿宋" w:hAnsi="华文仿宋" w:cs="华文仿宋"/>
          <w:color w:val="auto"/>
          <w:sz w:val="28"/>
          <w:szCs w:val="28"/>
        </w:rPr>
        <w:t>（四）关于信用记录的查询和使用</w:t>
      </w:r>
    </w:p>
    <w:p w14:paraId="0DAE49D2">
      <w:pPr>
        <w:wordWrap w:val="0"/>
        <w:spacing w:line="500" w:lineRule="exact"/>
        <w:ind w:firstLine="566" w:firstLineChars="200"/>
        <w:rPr>
          <w:rFonts w:ascii="华文仿宋" w:cs="Times New Roman"/>
          <w:color w:val="auto"/>
        </w:rPr>
      </w:pPr>
      <w:r>
        <w:rPr>
          <w:rFonts w:ascii="华文仿宋" w:hAnsi="华文仿宋" w:cs="华文仿宋"/>
          <w:color w:val="auto"/>
        </w:rPr>
        <w:t>1</w:t>
      </w:r>
      <w:r>
        <w:rPr>
          <w:rFonts w:hint="eastAsia" w:ascii="华文仿宋" w:hAnsi="华文仿宋" w:cs="华文仿宋"/>
          <w:color w:val="auto"/>
          <w:lang w:val="en-US" w:eastAsia="zh-CN"/>
        </w:rPr>
        <w:t>.</w:t>
      </w:r>
      <w:r>
        <w:rPr>
          <w:rFonts w:hint="eastAsia" w:ascii="华文仿宋" w:hAnsi="华文仿宋" w:cs="华文仿宋"/>
          <w:color w:val="auto"/>
        </w:rPr>
        <w:t>采购人将在资格审查阶段通过【</w:t>
      </w:r>
      <w:r>
        <w:rPr>
          <w:color w:val="auto"/>
        </w:rPr>
        <w:fldChar w:fldCharType="begin"/>
      </w:r>
      <w:r>
        <w:rPr>
          <w:color w:val="auto"/>
        </w:rPr>
        <w:instrText xml:space="preserve"> HYPERLINK "http://www.creditchina.gov.cn" </w:instrText>
      </w:r>
      <w:r>
        <w:rPr>
          <w:color w:val="auto"/>
        </w:rPr>
        <w:fldChar w:fldCharType="separate"/>
      </w:r>
      <w:r>
        <w:rPr>
          <w:rStyle w:val="40"/>
          <w:rFonts w:hint="eastAsia" w:ascii="华文仿宋" w:hAnsi="华文仿宋" w:cs="华文仿宋"/>
          <w:color w:val="auto"/>
          <w:sz w:val="28"/>
          <w:szCs w:val="28"/>
        </w:rPr>
        <w:t>信用中国</w:t>
      </w:r>
      <w:r>
        <w:rPr>
          <w:rStyle w:val="40"/>
          <w:rFonts w:hint="eastAsia" w:ascii="华文仿宋" w:hAnsi="华文仿宋" w:cs="华文仿宋"/>
          <w:color w:val="auto"/>
          <w:sz w:val="28"/>
          <w:szCs w:val="28"/>
        </w:rPr>
        <w:fldChar w:fldCharType="end"/>
      </w:r>
      <w:r>
        <w:rPr>
          <w:rFonts w:hint="eastAsia" w:ascii="华文仿宋" w:hAnsi="华文仿宋" w:cs="华文仿宋"/>
          <w:color w:val="auto"/>
        </w:rPr>
        <w:t>（</w:t>
      </w:r>
      <w:r>
        <w:rPr>
          <w:rFonts w:ascii="仿宋" w:hAnsi="仿宋" w:eastAsia="仿宋" w:cs="仿宋"/>
          <w:color w:val="auto"/>
        </w:rPr>
        <w:t>www.creditchina.gov.cn</w:t>
      </w:r>
      <w:r>
        <w:rPr>
          <w:rFonts w:hint="eastAsia" w:ascii="华文仿宋" w:hAnsi="华文仿宋" w:cs="华文仿宋"/>
          <w:color w:val="auto"/>
        </w:rPr>
        <w:t>）】、【</w:t>
      </w:r>
      <w:r>
        <w:rPr>
          <w:color w:val="auto"/>
        </w:rPr>
        <w:fldChar w:fldCharType="begin"/>
      </w:r>
      <w:r>
        <w:rPr>
          <w:color w:val="auto"/>
        </w:rPr>
        <w:instrText xml:space="preserve"> HYPERLINK "http://www.ccgp.gov.cn/cr/list" </w:instrText>
      </w:r>
      <w:r>
        <w:rPr>
          <w:color w:val="auto"/>
        </w:rPr>
        <w:fldChar w:fldCharType="separate"/>
      </w:r>
      <w:r>
        <w:rPr>
          <w:rStyle w:val="40"/>
          <w:rFonts w:hint="eastAsia" w:ascii="华文仿宋" w:hAnsi="华文仿宋" w:cs="华文仿宋"/>
          <w:color w:val="auto"/>
          <w:sz w:val="28"/>
          <w:szCs w:val="28"/>
        </w:rPr>
        <w:t>中国政府采购网</w:t>
      </w:r>
      <w:r>
        <w:rPr>
          <w:rStyle w:val="40"/>
          <w:rFonts w:hint="eastAsia" w:ascii="华文仿宋" w:hAnsi="华文仿宋" w:cs="华文仿宋"/>
          <w:color w:val="auto"/>
          <w:sz w:val="28"/>
          <w:szCs w:val="28"/>
        </w:rPr>
        <w:fldChar w:fldCharType="end"/>
      </w:r>
      <w:r>
        <w:rPr>
          <w:rFonts w:hint="eastAsia" w:ascii="华文仿宋" w:hAnsi="华文仿宋" w:cs="华文仿宋"/>
          <w:color w:val="auto"/>
        </w:rPr>
        <w:t>（</w:t>
      </w:r>
      <w:r>
        <w:rPr>
          <w:rFonts w:ascii="仿宋" w:hAnsi="仿宋" w:eastAsia="仿宋" w:cs="仿宋"/>
          <w:color w:val="auto"/>
        </w:rPr>
        <w:t>www.ccgp.gov.cn</w:t>
      </w:r>
      <w:r>
        <w:rPr>
          <w:rFonts w:hint="eastAsia" w:ascii="华文仿宋" w:hAnsi="华文仿宋" w:cs="华文仿宋"/>
          <w:color w:val="auto"/>
        </w:rPr>
        <w:t>）】网站对投标文件中的《供应商信用记录书面声明函》的信用情况进行甄别。对列入失信被执行人、重大税收违法案件当事人名单、政府采购严重违法失信行为记录名单及其他不符合《中华人民共和国政府采购法》第二十二条规定条件的投标人，根据《关于在政府采购活动中查询及使用信用记录有关问题的通知》（财库</w:t>
      </w:r>
      <w:r>
        <w:rPr>
          <w:rFonts w:hint="eastAsia" w:ascii="仿宋" w:hAnsi="仿宋" w:eastAsia="仿宋" w:cs="仿宋"/>
          <w:color w:val="auto"/>
        </w:rPr>
        <w:t>〔</w:t>
      </w:r>
      <w:r>
        <w:rPr>
          <w:rFonts w:ascii="仿宋" w:hAnsi="仿宋" w:eastAsia="仿宋" w:cs="仿宋"/>
          <w:color w:val="auto"/>
        </w:rPr>
        <w:t>2016</w:t>
      </w:r>
      <w:r>
        <w:rPr>
          <w:rFonts w:hint="eastAsia" w:ascii="仿宋" w:hAnsi="仿宋" w:eastAsia="仿宋" w:cs="仿宋"/>
          <w:color w:val="auto"/>
        </w:rPr>
        <w:t>〕</w:t>
      </w:r>
      <w:r>
        <w:rPr>
          <w:rFonts w:ascii="仿宋" w:hAnsi="仿宋" w:eastAsia="仿宋" w:cs="仿宋"/>
          <w:color w:val="auto"/>
        </w:rPr>
        <w:t>125</w:t>
      </w:r>
      <w:r>
        <w:rPr>
          <w:rFonts w:hint="eastAsia" w:ascii="华文仿宋" w:hAnsi="华文仿宋" w:cs="华文仿宋"/>
          <w:color w:val="auto"/>
        </w:rPr>
        <w:t>号）的第二条第（三）款规定，其投标或成交资格将被取消。</w:t>
      </w:r>
    </w:p>
    <w:p w14:paraId="2BC7DA13">
      <w:pPr>
        <w:spacing w:line="500" w:lineRule="exact"/>
        <w:ind w:firstLine="566" w:firstLineChars="200"/>
        <w:rPr>
          <w:rFonts w:ascii="华文仿宋" w:cs="Times New Roman"/>
          <w:color w:val="auto"/>
        </w:rPr>
      </w:pPr>
      <w:r>
        <w:rPr>
          <w:rFonts w:ascii="华文仿宋" w:hAnsi="华文仿宋" w:cs="华文仿宋"/>
          <w:color w:val="auto"/>
        </w:rPr>
        <w:t>2</w:t>
      </w:r>
      <w:r>
        <w:rPr>
          <w:rFonts w:hint="eastAsia" w:ascii="华文仿宋" w:hAnsi="华文仿宋" w:cs="华文仿宋"/>
          <w:color w:val="auto"/>
          <w:lang w:val="en-US" w:eastAsia="zh-CN"/>
        </w:rPr>
        <w:t>.</w:t>
      </w:r>
      <w:r>
        <w:rPr>
          <w:rFonts w:hint="eastAsia" w:ascii="华文仿宋" w:hAnsi="华文仿宋" w:cs="华文仿宋"/>
          <w:color w:val="auto"/>
        </w:rPr>
        <w:t>投标人在参加政府采购活动前</w:t>
      </w:r>
      <w:r>
        <w:rPr>
          <w:rFonts w:ascii="仿宋" w:hAnsi="仿宋" w:eastAsia="仿宋" w:cs="仿宋"/>
          <w:color w:val="auto"/>
        </w:rPr>
        <w:t>3</w:t>
      </w:r>
      <w:r>
        <w:rPr>
          <w:rFonts w:hint="eastAsia" w:ascii="华文仿宋" w:hAnsi="华文仿宋" w:cs="华文仿宋"/>
          <w:color w:val="auto"/>
        </w:rPr>
        <w:t>年内因违法经营被禁止在一定期限内参加政府采购活动，期限届满的，可以参加政府采购活动的，但投标人应提供相关证明材料。</w:t>
      </w:r>
    </w:p>
    <w:p w14:paraId="283C7249">
      <w:pPr>
        <w:spacing w:line="500" w:lineRule="exact"/>
        <w:ind w:firstLine="566" w:firstLineChars="200"/>
        <w:rPr>
          <w:rFonts w:ascii="华文仿宋" w:cs="Times New Roman"/>
          <w:color w:val="auto"/>
        </w:rPr>
      </w:pPr>
      <w:r>
        <w:rPr>
          <w:rFonts w:ascii="华文仿宋" w:hAnsi="华文仿宋" w:cs="华文仿宋"/>
          <w:color w:val="auto"/>
        </w:rPr>
        <w:t>3</w:t>
      </w:r>
      <w:r>
        <w:rPr>
          <w:rFonts w:hint="eastAsia" w:ascii="华文仿宋" w:hAnsi="华文仿宋" w:cs="华文仿宋"/>
          <w:color w:val="auto"/>
          <w:lang w:val="en-US" w:eastAsia="zh-CN"/>
        </w:rPr>
        <w:t>.</w:t>
      </w:r>
      <w:r>
        <w:rPr>
          <w:rFonts w:hint="eastAsia" w:ascii="华文仿宋" w:hAnsi="华文仿宋" w:cs="华文仿宋"/>
          <w:color w:val="auto"/>
        </w:rPr>
        <w:t>投标人信用记录及企业基本信息查询的时间段为“招标公告发布之日（含当日）至提交投标文件截止之日（含当日）”。信用记录及企业基本信息查询的结果，可以纸质截图或将截图保存至电子介质的形式留存。投标人未如实填报《供应商信用记录书面声明函》的，视为“投标人提供虚假材料谋取中标、成交的”行为。</w:t>
      </w:r>
    </w:p>
    <w:p w14:paraId="721594FC">
      <w:pPr>
        <w:spacing w:line="500" w:lineRule="exact"/>
        <w:ind w:firstLine="566" w:firstLineChars="200"/>
        <w:rPr>
          <w:rFonts w:ascii="华文仿宋" w:cs="Times New Roman"/>
          <w:b/>
          <w:bCs/>
          <w:color w:val="auto"/>
        </w:rPr>
      </w:pPr>
      <w:r>
        <w:rPr>
          <w:rFonts w:ascii="华文仿宋" w:hAnsi="华文仿宋" w:cs="华文仿宋"/>
          <w:color w:val="auto"/>
        </w:rPr>
        <w:t>4</w:t>
      </w:r>
      <w:r>
        <w:rPr>
          <w:rFonts w:hint="eastAsia" w:ascii="华文仿宋" w:hAnsi="华文仿宋" w:cs="华文仿宋"/>
          <w:color w:val="auto"/>
          <w:lang w:val="en-US" w:eastAsia="zh-CN"/>
        </w:rPr>
        <w:t>.</w:t>
      </w:r>
      <w:r>
        <w:rPr>
          <w:rFonts w:hint="eastAsia" w:ascii="华文仿宋" w:hAnsi="华文仿宋" w:cs="华文仿宋"/>
          <w:color w:val="auto"/>
        </w:rPr>
        <w:t>两个以上的自然人、法人或者其他组织组成一个联合体，以一个投标人的身份共同参加政府采购活动的，应当对所有联合体成员进行信用记录查询，联合体成员存在不良信用记录的，视同联合体存在不良信用记录。</w:t>
      </w:r>
    </w:p>
    <w:p w14:paraId="7860D2AA">
      <w:pPr>
        <w:pStyle w:val="4"/>
        <w:pageBreakBefore w:val="0"/>
        <w:widowControl/>
        <w:kinsoku/>
        <w:wordWrap/>
        <w:overflowPunct/>
        <w:topLinePunct w:val="0"/>
        <w:autoSpaceDE/>
        <w:autoSpaceDN/>
        <w:bidi w:val="0"/>
        <w:adjustRightInd/>
        <w:snapToGrid/>
        <w:spacing w:line="500" w:lineRule="exact"/>
        <w:ind w:left="0" w:leftChars="0" w:firstLine="566" w:firstLineChars="200"/>
        <w:jc w:val="left"/>
        <w:rPr>
          <w:rFonts w:hint="eastAsia" w:ascii="宋体" w:hAnsi="宋体" w:eastAsia="宋体" w:cs="宋体"/>
          <w:b/>
          <w:bCs w:val="0"/>
          <w:sz w:val="24"/>
          <w:szCs w:val="24"/>
          <w:u w:val="none"/>
        </w:rPr>
      </w:pPr>
      <w:bookmarkStart w:id="157" w:name="_Toc20160"/>
      <w:bookmarkEnd w:id="157"/>
      <w:bookmarkStart w:id="158" w:name="_Toc2762"/>
      <w:bookmarkEnd w:id="158"/>
      <w:bookmarkStart w:id="159" w:name="_Toc11972"/>
      <w:bookmarkEnd w:id="159"/>
      <w:bookmarkStart w:id="160" w:name="_Toc7784"/>
      <w:bookmarkEnd w:id="160"/>
      <w:bookmarkStart w:id="161" w:name="_Toc5640"/>
      <w:bookmarkEnd w:id="161"/>
      <w:bookmarkStart w:id="162" w:name="_Toc17203"/>
      <w:bookmarkEnd w:id="162"/>
      <w:bookmarkStart w:id="163" w:name="_Toc31225"/>
      <w:bookmarkEnd w:id="163"/>
      <w:bookmarkStart w:id="164" w:name="_Toc12077"/>
      <w:bookmarkEnd w:id="164"/>
      <w:bookmarkStart w:id="165" w:name="_Toc7521"/>
      <w:bookmarkEnd w:id="165"/>
      <w:bookmarkStart w:id="166" w:name="_Toc13983"/>
      <w:bookmarkEnd w:id="166"/>
      <w:bookmarkStart w:id="167" w:name="_Toc22297"/>
      <w:bookmarkEnd w:id="167"/>
      <w:bookmarkStart w:id="168" w:name="_Toc15680"/>
      <w:bookmarkEnd w:id="168"/>
      <w:bookmarkStart w:id="169" w:name="_Toc7552"/>
      <w:bookmarkEnd w:id="169"/>
      <w:bookmarkStart w:id="170" w:name="_Toc23236"/>
      <w:bookmarkStart w:id="171" w:name="_Toc21422"/>
      <w:bookmarkStart w:id="172" w:name="_Toc12893"/>
      <w:bookmarkStart w:id="173" w:name="_Toc10798"/>
      <w:bookmarkStart w:id="174" w:name="_Toc2301"/>
      <w:bookmarkStart w:id="175" w:name="_Toc4320"/>
      <w:bookmarkStart w:id="176" w:name="_Toc22218"/>
      <w:bookmarkStart w:id="177" w:name="_Toc13054"/>
      <w:bookmarkStart w:id="178" w:name="_Toc29629"/>
      <w:r>
        <w:rPr>
          <w:rFonts w:hint="eastAsia" w:ascii="华文仿宋" w:hAnsi="华文仿宋" w:cs="华文仿宋"/>
          <w:color w:val="auto"/>
          <w:sz w:val="28"/>
          <w:szCs w:val="28"/>
          <w:u w:val="none"/>
        </w:rPr>
        <w:t>（五）</w:t>
      </w:r>
      <w:r>
        <w:rPr>
          <w:rFonts w:hint="eastAsia" w:ascii="华文仿宋" w:hAnsi="华文仿宋" w:eastAsia="华文仿宋" w:cs="华文仿宋"/>
          <w:sz w:val="28"/>
          <w:szCs w:val="28"/>
          <w:u w:val="none"/>
          <w:lang w:val="en-US" w:eastAsia="zh-CN"/>
        </w:rPr>
        <w:t>相关</w:t>
      </w:r>
      <w:r>
        <w:rPr>
          <w:rFonts w:hint="eastAsia" w:ascii="华文仿宋" w:hAnsi="华文仿宋" w:eastAsia="华文仿宋" w:cs="华文仿宋"/>
          <w:sz w:val="28"/>
          <w:szCs w:val="28"/>
          <w:u w:val="none"/>
        </w:rPr>
        <w:t>政府采购政策文件</w:t>
      </w:r>
    </w:p>
    <w:p w14:paraId="5BE6B985">
      <w:pPr>
        <w:spacing w:line="500" w:lineRule="exact"/>
        <w:ind w:firstLine="566" w:firstLineChars="200"/>
        <w:rPr>
          <w:rFonts w:ascii="华文仿宋" w:hAnsi="华文仿宋" w:cs="华文仿宋"/>
          <w:color w:val="000000"/>
        </w:rPr>
      </w:pPr>
      <w:bookmarkStart w:id="179" w:name="_Toc24060"/>
      <w:bookmarkStart w:id="180" w:name="_Toc14846"/>
      <w:bookmarkStart w:id="181" w:name="_Toc3425"/>
      <w:bookmarkStart w:id="182" w:name="_Toc31683"/>
      <w:r>
        <w:rPr>
          <w:rFonts w:hint="eastAsia" w:ascii="华文仿宋" w:hAnsi="华文仿宋" w:cs="华文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根据《政府采购促进中小企业发展管理办法》（财库</w:t>
      </w:r>
      <w:r>
        <w:rPr>
          <w:rFonts w:hint="eastAsia" w:ascii="仿宋" w:hAnsi="仿宋" w:eastAsia="仿宋" w:cs="仿宋"/>
          <w:color w:val="000000"/>
        </w:rPr>
        <w:t>〔2020〕46</w:t>
      </w:r>
      <w:r>
        <w:rPr>
          <w:rFonts w:hint="eastAsia" w:ascii="华文仿宋" w:hAnsi="华文仿宋" w:cs="华文仿宋"/>
          <w:color w:val="000000"/>
        </w:rPr>
        <w:t>号）的有关规定，在货物采购项目中，货物由</w:t>
      </w:r>
      <w:r>
        <w:rPr>
          <w:rFonts w:hint="eastAsia" w:ascii="华文仿宋" w:hAnsi="华文仿宋" w:cs="华文仿宋"/>
          <w:color w:val="000000"/>
          <w:lang w:eastAsia="zh-CN"/>
        </w:rPr>
        <w:t>中</w:t>
      </w:r>
      <w:r>
        <w:rPr>
          <w:rFonts w:hint="eastAsia" w:ascii="华文仿宋" w:hAnsi="华文仿宋" w:cs="华文仿宋"/>
          <w:color w:val="000000"/>
        </w:rPr>
        <w:t>小企业制造，即货物由</w:t>
      </w:r>
      <w:r>
        <w:rPr>
          <w:rFonts w:hint="eastAsia" w:ascii="华文仿宋" w:hAnsi="华文仿宋" w:cs="华文仿宋"/>
          <w:color w:val="000000"/>
          <w:lang w:eastAsia="zh-CN"/>
        </w:rPr>
        <w:t>中</w:t>
      </w:r>
      <w:r>
        <w:rPr>
          <w:rFonts w:hint="eastAsia" w:ascii="华文仿宋" w:hAnsi="华文仿宋" w:cs="华文仿宋"/>
          <w:color w:val="000000"/>
        </w:rPr>
        <w:t>小企业生产且使用该</w:t>
      </w:r>
      <w:r>
        <w:rPr>
          <w:rFonts w:hint="eastAsia" w:ascii="华文仿宋" w:hAnsi="华文仿宋" w:cs="华文仿宋"/>
          <w:color w:val="000000"/>
          <w:lang w:eastAsia="zh-CN"/>
        </w:rPr>
        <w:t>中</w:t>
      </w:r>
      <w:r>
        <w:rPr>
          <w:rFonts w:hint="eastAsia" w:ascii="华文仿宋" w:hAnsi="华文仿宋" w:cs="华文仿宋"/>
          <w:color w:val="000000"/>
        </w:rPr>
        <w:t>小企业商号或者注册商标；在工程采购项目中，工程由</w:t>
      </w:r>
      <w:r>
        <w:rPr>
          <w:rFonts w:hint="eastAsia" w:ascii="华文仿宋" w:hAnsi="华文仿宋" w:cs="华文仿宋"/>
          <w:color w:val="000000"/>
          <w:lang w:eastAsia="zh-CN"/>
        </w:rPr>
        <w:t>中</w:t>
      </w:r>
      <w:r>
        <w:rPr>
          <w:rFonts w:hint="eastAsia" w:ascii="华文仿宋" w:hAnsi="华文仿宋" w:cs="华文仿宋"/>
          <w:color w:val="000000"/>
        </w:rPr>
        <w:t>小企业承建，即工程施工单位为</w:t>
      </w:r>
      <w:r>
        <w:rPr>
          <w:rFonts w:hint="eastAsia" w:ascii="华文仿宋" w:hAnsi="华文仿宋" w:cs="华文仿宋"/>
          <w:color w:val="000000"/>
          <w:lang w:eastAsia="zh-CN"/>
        </w:rPr>
        <w:t>中</w:t>
      </w:r>
      <w:r>
        <w:rPr>
          <w:rFonts w:hint="eastAsia" w:ascii="华文仿宋" w:hAnsi="华文仿宋" w:cs="华文仿宋"/>
          <w:color w:val="000000"/>
        </w:rPr>
        <w:t>小企业；在服务采购项目中，服务由</w:t>
      </w:r>
      <w:r>
        <w:rPr>
          <w:rFonts w:hint="eastAsia" w:ascii="华文仿宋" w:hAnsi="华文仿宋" w:cs="华文仿宋"/>
          <w:color w:val="000000"/>
          <w:lang w:eastAsia="zh-CN"/>
        </w:rPr>
        <w:t>中</w:t>
      </w:r>
      <w:r>
        <w:rPr>
          <w:rFonts w:hint="eastAsia" w:ascii="华文仿宋" w:hAnsi="华文仿宋" w:cs="华文仿宋"/>
          <w:color w:val="000000"/>
        </w:rPr>
        <w:t>小企业承接，即提供服务的人员为</w:t>
      </w:r>
      <w:r>
        <w:rPr>
          <w:rFonts w:hint="eastAsia" w:ascii="华文仿宋" w:hAnsi="华文仿宋" w:cs="华文仿宋"/>
          <w:color w:val="000000"/>
          <w:lang w:eastAsia="zh-CN"/>
        </w:rPr>
        <w:t>中</w:t>
      </w:r>
      <w:r>
        <w:rPr>
          <w:rFonts w:hint="eastAsia" w:ascii="华文仿宋" w:hAnsi="华文仿宋" w:cs="华文仿宋"/>
          <w:color w:val="000000"/>
        </w:rPr>
        <w:t>小企业依照《中华人民共和国民法典》订立劳动合同的从业人员，则参与政府采购活动时，享受中小企业扶持政策。</w:t>
      </w:r>
    </w:p>
    <w:p w14:paraId="1BD0EF61">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 xml:space="preserve">在货物采购项目中，供应商提供的货物既有中小企业制造货物，也有大型企业制造货物的，不享受本办法规定的中小企业扶持政策。 </w:t>
      </w:r>
    </w:p>
    <w:p w14:paraId="18BE6C1F">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接受大中型企业与小微企业组成联合体或者允许大中型企业向一家或者多家小微企业分包的采购项目，对于联合协议或者分包意向协议约定小微企业的合同份额占到合同总金额30%以上的，货物和服务项目可给予联合体或者大中型企业的报价2%-3%的扣除，工程项目为1%-2%的扣除。联合体各方均为小型、微型企业的，联合体视同为小型、微型企业。组成联合体或者接受分包的小微企业与联合体内其他企业、分包企业之间存在直接控股、管理关系的，不享受价格扣除优惠政策。</w:t>
      </w:r>
    </w:p>
    <w:p w14:paraId="0EB84A1C">
      <w:pPr>
        <w:pStyle w:val="12"/>
        <w:spacing w:line="500" w:lineRule="exact"/>
        <w:ind w:firstLine="486" w:firstLineChars="200"/>
        <w:rPr>
          <w:rFonts w:ascii="仿宋" w:hAnsi="仿宋" w:eastAsia="仿宋" w:cs="仿宋"/>
          <w:color w:val="000000"/>
        </w:rPr>
      </w:pPr>
      <w:r>
        <w:rPr>
          <w:rFonts w:hint="eastAsia" w:ascii="仿宋" w:hAnsi="仿宋" w:eastAsia="仿宋" w:cs="仿宋"/>
          <w:color w:val="000000"/>
        </w:rPr>
        <w:t>根据《关于进一步加大政府采购支持中小企业力度的通知》（财库〔2022〕19号）的有关规定，货物服务采购项目给予小微企业的价格扣除优惠，由财库〔2020〕46号文件规定的6%—10%提高至10%—20%。大中型企业与小微企业组成联合体或者大中型企业向小微企业分包的，评审优惠幅度由2%—3%提高至4%—6%。政府采购工程的价格评审优惠按照财库〔2020〕46号文件的规定执行。</w:t>
      </w:r>
    </w:p>
    <w:p w14:paraId="4B584B05">
      <w:pPr>
        <w:spacing w:line="500" w:lineRule="exact"/>
        <w:ind w:firstLine="566" w:firstLineChars="200"/>
        <w:rPr>
          <w:rFonts w:ascii="华文仿宋" w:hAnsi="华文仿宋" w:cs="华文仿宋"/>
          <w:b/>
          <w:bCs/>
        </w:rPr>
      </w:pPr>
      <w:r>
        <w:rPr>
          <w:rFonts w:hint="eastAsia" w:ascii="仿宋" w:hAnsi="仿宋" w:eastAsia="仿宋" w:cs="仿宋"/>
          <w:b/>
          <w:bCs/>
          <w:color w:val="000000"/>
        </w:rPr>
        <w:t>参加政府采</w:t>
      </w:r>
      <w:r>
        <w:rPr>
          <w:rFonts w:hint="eastAsia" w:ascii="仿宋" w:hAnsi="仿宋" w:eastAsia="仿宋" w:cs="仿宋"/>
          <w:b/>
          <w:bCs/>
          <w:color w:val="auto"/>
        </w:rPr>
        <w:t>购活动的</w:t>
      </w:r>
      <w:r>
        <w:rPr>
          <w:rFonts w:hint="eastAsia" w:ascii="仿宋" w:hAnsi="仿宋" w:eastAsia="仿宋" w:cs="仿宋"/>
          <w:b/>
          <w:bCs/>
          <w:color w:val="auto"/>
          <w:lang w:val="en-US" w:eastAsia="zh-CN"/>
        </w:rPr>
        <w:t>中小</w:t>
      </w:r>
      <w:r>
        <w:rPr>
          <w:rFonts w:hint="eastAsia" w:ascii="仿宋" w:hAnsi="仿宋" w:eastAsia="仿宋" w:cs="仿宋"/>
          <w:b/>
          <w:bCs/>
          <w:color w:val="auto"/>
        </w:rPr>
        <w:t>企业应提供《中小企业声明函》</w:t>
      </w:r>
      <w:r>
        <w:rPr>
          <w:rFonts w:hint="eastAsia" w:ascii="仿宋" w:hAnsi="仿宋" w:eastAsia="仿宋" w:cs="仿宋"/>
          <w:b/>
          <w:bCs/>
          <w:color w:val="auto"/>
          <w:lang w:eastAsia="zh-CN"/>
        </w:rPr>
        <w:t>原件的扫描件</w:t>
      </w:r>
      <w:r>
        <w:rPr>
          <w:rFonts w:hint="eastAsia" w:ascii="仿宋" w:hAnsi="仿宋" w:eastAsia="仿宋" w:cs="仿宋"/>
          <w:b/>
          <w:bCs/>
          <w:color w:val="auto"/>
        </w:rPr>
        <w:t>。未提供上述声明函</w:t>
      </w:r>
      <w:r>
        <w:rPr>
          <w:rFonts w:hint="eastAsia" w:ascii="仿宋" w:hAnsi="仿宋" w:eastAsia="仿宋" w:cs="仿宋"/>
          <w:b/>
          <w:bCs/>
          <w:color w:val="auto"/>
          <w:lang w:eastAsia="zh-CN"/>
        </w:rPr>
        <w:t>原件的扫描件</w:t>
      </w:r>
      <w:r>
        <w:rPr>
          <w:rFonts w:hint="eastAsia" w:ascii="仿宋" w:hAnsi="仿宋" w:eastAsia="仿宋" w:cs="仿宋"/>
          <w:b/>
          <w:bCs/>
          <w:color w:val="auto"/>
        </w:rPr>
        <w:t>的，</w:t>
      </w:r>
      <w:r>
        <w:rPr>
          <w:rFonts w:hint="eastAsia" w:ascii="华文仿宋" w:hAnsi="华文仿宋" w:cs="华文仿宋"/>
          <w:b/>
          <w:bCs/>
          <w:color w:val="auto"/>
        </w:rPr>
        <w:t>则</w:t>
      </w:r>
      <w:r>
        <w:rPr>
          <w:rFonts w:hint="eastAsia" w:ascii="华文仿宋" w:hAnsi="华文仿宋" w:cs="华文仿宋"/>
          <w:b/>
          <w:bCs/>
          <w:color w:val="auto"/>
          <w:lang w:val="en-US" w:eastAsia="zh-CN"/>
        </w:rPr>
        <w:t>电子投标</w:t>
      </w:r>
      <w:r>
        <w:rPr>
          <w:rFonts w:hint="eastAsia" w:ascii="华文仿宋" w:hAnsi="华文仿宋" w:cs="华文仿宋"/>
          <w:b/>
          <w:bCs/>
          <w:color w:val="auto"/>
        </w:rPr>
        <w:t>文</w:t>
      </w:r>
      <w:r>
        <w:rPr>
          <w:rFonts w:hint="eastAsia" w:ascii="华文仿宋" w:hAnsi="华文仿宋" w:cs="华文仿宋"/>
          <w:b/>
          <w:bCs/>
        </w:rPr>
        <w:t>件无效。</w:t>
      </w:r>
    </w:p>
    <w:p w14:paraId="6D23AA42">
      <w:pPr>
        <w:pStyle w:val="12"/>
        <w:spacing w:line="500" w:lineRule="exact"/>
        <w:ind w:firstLine="566"/>
        <w:rPr>
          <w:color w:val="000000"/>
          <w:sz w:val="24"/>
          <w:szCs w:val="24"/>
        </w:rPr>
      </w:pPr>
      <w:r>
        <w:rPr>
          <w:rFonts w:hint="eastAsia" w:ascii="华文仿宋" w:hAnsi="华文仿宋" w:cs="华文仿宋"/>
          <w:color w:val="000000"/>
          <w:sz w:val="24"/>
          <w:szCs w:val="24"/>
        </w:rPr>
        <w:t>备注：</w:t>
      </w:r>
      <w:r>
        <w:rPr>
          <w:rFonts w:hint="eastAsia" w:ascii="华文仿宋" w:hAnsi="华文仿宋" w:cs="华文仿宋"/>
          <w:color w:val="000000"/>
          <w:sz w:val="24"/>
          <w:szCs w:val="24"/>
          <w:lang w:val="en-US" w:eastAsia="zh-CN"/>
        </w:rPr>
        <w:t>中小</w:t>
      </w:r>
      <w:r>
        <w:rPr>
          <w:rFonts w:hint="eastAsia" w:ascii="华文仿宋" w:hAnsi="华文仿宋" w:cs="华文仿宋"/>
          <w:color w:val="000000"/>
          <w:sz w:val="24"/>
          <w:szCs w:val="24"/>
        </w:rPr>
        <w:t>企业划分标准参照《中小企业划型标准规定》（工信部联企业</w:t>
      </w:r>
      <w:r>
        <w:rPr>
          <w:rFonts w:hint="eastAsia" w:ascii="仿宋" w:hAnsi="仿宋" w:eastAsia="仿宋" w:cs="仿宋"/>
          <w:color w:val="000000"/>
          <w:sz w:val="24"/>
          <w:szCs w:val="24"/>
        </w:rPr>
        <w:t>〔2011〕300</w:t>
      </w:r>
      <w:r>
        <w:rPr>
          <w:rFonts w:hint="eastAsia" w:ascii="华文仿宋" w:hAnsi="华文仿宋" w:cs="华文仿宋"/>
          <w:color w:val="000000"/>
          <w:sz w:val="24"/>
          <w:szCs w:val="24"/>
        </w:rPr>
        <w:t>号）执行。</w:t>
      </w:r>
    </w:p>
    <w:p w14:paraId="2B8FB640">
      <w:pPr>
        <w:spacing w:line="500" w:lineRule="exact"/>
        <w:ind w:firstLine="566" w:firstLineChars="200"/>
        <w:rPr>
          <w:rFonts w:ascii="华文仿宋" w:hAnsi="华文仿宋" w:cs="华文仿宋"/>
          <w:color w:val="000000"/>
        </w:rPr>
      </w:pPr>
      <w:r>
        <w:rPr>
          <w:rFonts w:hint="eastAsia" w:ascii="仿宋" w:hAnsi="仿宋" w:eastAsia="仿宋" w:cs="仿宋"/>
          <w:color w:val="000000"/>
        </w:rPr>
        <w:t>2</w:t>
      </w:r>
      <w:r>
        <w:rPr>
          <w:rFonts w:hint="eastAsia" w:ascii="华文仿宋" w:hAnsi="华文仿宋" w:cs="华文仿宋"/>
          <w:color w:val="000000"/>
          <w:lang w:eastAsia="zh-CN"/>
        </w:rPr>
        <w:t>.</w:t>
      </w:r>
      <w:r>
        <w:rPr>
          <w:rFonts w:hint="eastAsia" w:ascii="华文仿宋" w:hAnsi="华文仿宋" w:cs="华文仿宋"/>
          <w:color w:val="000000"/>
          <w:lang w:val="zh-CN"/>
        </w:rPr>
        <w:t>监狱企业应符合《财政部</w:t>
      </w:r>
      <w:r>
        <w:rPr>
          <w:rFonts w:hint="eastAsia" w:ascii="华文仿宋" w:hAnsi="华文仿宋" w:cs="华文仿宋"/>
          <w:color w:val="000000"/>
        </w:rPr>
        <w:t xml:space="preserve"> 司法部关于政府采购支持监狱企业发展有关问题的通知》（财库〔</w:t>
      </w:r>
      <w:r>
        <w:rPr>
          <w:rFonts w:hint="eastAsia" w:ascii="仿宋" w:hAnsi="仿宋" w:eastAsia="仿宋" w:cs="仿宋"/>
          <w:color w:val="000000"/>
        </w:rPr>
        <w:t>2014</w:t>
      </w:r>
      <w:r>
        <w:rPr>
          <w:rFonts w:hint="eastAsia" w:ascii="华文仿宋" w:hAnsi="华文仿宋" w:cs="华文仿宋"/>
          <w:color w:val="000000"/>
        </w:rPr>
        <w:t>〕</w:t>
      </w:r>
      <w:r>
        <w:rPr>
          <w:rFonts w:hint="eastAsia" w:ascii="仿宋" w:hAnsi="仿宋" w:eastAsia="仿宋" w:cs="仿宋"/>
          <w:color w:val="000000"/>
        </w:rPr>
        <w:t>68</w:t>
      </w:r>
      <w:r>
        <w:rPr>
          <w:rFonts w:hint="eastAsia" w:ascii="华文仿宋" w:hAnsi="华文仿宋" w:cs="华文仿宋"/>
          <w:color w:val="000000"/>
        </w:rPr>
        <w:t>号）文件规定</w:t>
      </w:r>
      <w:r>
        <w:rPr>
          <w:rFonts w:hint="eastAsia" w:ascii="华文仿宋" w:hAnsi="华文仿宋" w:cs="华文仿宋"/>
          <w:color w:val="000000"/>
          <w:lang w:val="zh-CN"/>
        </w:rPr>
        <w:t>，并提供由省级以上监狱管理局、戒毒管理局(含新疆生产建设兵团)出具的属于</w:t>
      </w:r>
      <w:r>
        <w:rPr>
          <w:rFonts w:hint="eastAsia" w:ascii="华文仿宋" w:hAnsi="华文仿宋" w:cs="华文仿宋"/>
          <w:b/>
          <w:bCs/>
          <w:color w:val="000000"/>
          <w:lang w:val="zh-CN"/>
        </w:rPr>
        <w:t>监狱企业的证明文件</w:t>
      </w:r>
      <w:r>
        <w:rPr>
          <w:rFonts w:hint="eastAsia" w:ascii="华文仿宋" w:hAnsi="华文仿宋" w:cs="华文仿宋"/>
          <w:color w:val="auto"/>
          <w:lang w:val="en-US" w:eastAsia="zh-CN"/>
        </w:rPr>
        <w:t>扫描件</w:t>
      </w:r>
      <w:r>
        <w:rPr>
          <w:rFonts w:hint="eastAsia" w:ascii="华文仿宋" w:hAnsi="华文仿宋" w:cs="华文仿宋"/>
          <w:color w:val="000000"/>
          <w:lang w:val="zh-CN"/>
        </w:rPr>
        <w:t>，监狱和戒毒企业</w:t>
      </w:r>
      <w:r>
        <w:rPr>
          <w:rFonts w:hint="eastAsia" w:ascii="华文仿宋" w:hAnsi="华文仿宋" w:cs="华文仿宋"/>
          <w:color w:val="000000"/>
        </w:rPr>
        <w:t>视同小型、微型企业。</w:t>
      </w:r>
    </w:p>
    <w:p w14:paraId="7BB9EF0A">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根据财政部、民政部、中国残疾人联合会下发的《关于促进残疾人就业政府采购政策的通知》（财库</w:t>
      </w:r>
      <w:r>
        <w:rPr>
          <w:rFonts w:hint="eastAsia" w:ascii="仿宋" w:hAnsi="仿宋" w:eastAsia="仿宋" w:cs="仿宋"/>
          <w:color w:val="000000"/>
        </w:rPr>
        <w:t>〔2017〕141</w:t>
      </w:r>
      <w:r>
        <w:rPr>
          <w:rFonts w:hint="eastAsia" w:ascii="华文仿宋" w:hAnsi="华文仿宋" w:cs="华文仿宋"/>
          <w:color w:val="000000"/>
        </w:rPr>
        <w:t>号）的规定，残疾人福利性单位提供本单位制造的货物、承担的工程或者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4674CF4E">
      <w:pPr>
        <w:spacing w:line="500" w:lineRule="exact"/>
        <w:ind w:firstLine="566" w:firstLineChars="200"/>
        <w:rPr>
          <w:rFonts w:ascii="华文仿宋" w:hAnsi="华文仿宋" w:cs="华文仿宋"/>
          <w:b/>
          <w:bCs/>
          <w:color w:val="auto"/>
        </w:rPr>
      </w:pPr>
      <w:r>
        <w:rPr>
          <w:rFonts w:hint="eastAsia" w:ascii="华文仿宋" w:hAnsi="华文仿宋" w:cs="华文仿宋"/>
          <w:b/>
          <w:bCs/>
          <w:color w:val="auto"/>
        </w:rPr>
        <w:t>参加政府采购活动的残疾人单位应提供《残疾人福利性单位声明函》</w:t>
      </w:r>
      <w:r>
        <w:rPr>
          <w:rFonts w:hint="eastAsia" w:ascii="华文仿宋" w:hAnsi="华文仿宋" w:cs="华文仿宋"/>
          <w:b/>
          <w:bCs/>
          <w:color w:val="auto"/>
          <w:lang w:eastAsia="zh-CN"/>
        </w:rPr>
        <w:t>原件的扫描件</w:t>
      </w:r>
      <w:r>
        <w:rPr>
          <w:rFonts w:hint="eastAsia" w:ascii="华文仿宋" w:hAnsi="华文仿宋" w:cs="华文仿宋"/>
          <w:b/>
          <w:bCs/>
          <w:color w:val="auto"/>
        </w:rPr>
        <w:t>。未提供上述声明函</w:t>
      </w:r>
      <w:r>
        <w:rPr>
          <w:rFonts w:hint="eastAsia" w:ascii="华文仿宋" w:hAnsi="华文仿宋" w:cs="华文仿宋"/>
          <w:b/>
          <w:bCs/>
          <w:color w:val="auto"/>
          <w:lang w:eastAsia="zh-CN"/>
        </w:rPr>
        <w:t>原件的扫描件</w:t>
      </w:r>
      <w:r>
        <w:rPr>
          <w:rFonts w:hint="eastAsia" w:ascii="华文仿宋" w:hAnsi="华文仿宋" w:cs="华文仿宋"/>
          <w:b/>
          <w:bCs/>
          <w:color w:val="auto"/>
        </w:rPr>
        <w:t>的</w:t>
      </w:r>
      <w:r>
        <w:rPr>
          <w:rFonts w:hint="eastAsia" w:ascii="华文仿宋" w:hAnsi="华文仿宋" w:cs="华文仿宋"/>
          <w:b/>
          <w:bCs/>
          <w:color w:val="auto"/>
          <w:lang w:val="en-US" w:eastAsia="zh-CN"/>
        </w:rPr>
        <w:t>供应商</w:t>
      </w:r>
      <w:r>
        <w:rPr>
          <w:rFonts w:hint="eastAsia" w:ascii="华文仿宋" w:hAnsi="华文仿宋" w:cs="华文仿宋"/>
          <w:b/>
          <w:bCs/>
          <w:color w:val="auto"/>
        </w:rPr>
        <w:t>，则电子</w:t>
      </w:r>
      <w:r>
        <w:rPr>
          <w:rFonts w:hint="eastAsia" w:ascii="华文仿宋" w:hAnsi="华文仿宋" w:cs="华文仿宋"/>
          <w:b/>
          <w:bCs/>
          <w:color w:val="auto"/>
          <w:lang w:val="en-US" w:eastAsia="zh-CN"/>
        </w:rPr>
        <w:t>投标</w:t>
      </w:r>
      <w:r>
        <w:rPr>
          <w:rFonts w:hint="eastAsia" w:ascii="华文仿宋" w:hAnsi="华文仿宋" w:cs="华文仿宋"/>
          <w:b/>
          <w:bCs/>
          <w:color w:val="auto"/>
        </w:rPr>
        <w:t>文件无效。</w:t>
      </w:r>
    </w:p>
    <w:p w14:paraId="3C3778D0">
      <w:pPr>
        <w:pStyle w:val="17"/>
        <w:spacing w:line="500" w:lineRule="exact"/>
        <w:ind w:firstLine="566" w:firstLineChars="200"/>
        <w:rPr>
          <w:rFonts w:ascii="华文仿宋" w:hAnsi="华文仿宋" w:eastAsia="华文仿宋" w:cs="华文仿宋"/>
          <w:color w:val="000000"/>
          <w:sz w:val="28"/>
        </w:rPr>
      </w:pPr>
      <w:r>
        <w:rPr>
          <w:rFonts w:hint="eastAsia" w:ascii="华文仿宋" w:hAnsi="华文仿宋" w:eastAsia="华文仿宋" w:cs="华文仿宋"/>
          <w:color w:val="000000"/>
          <w:sz w:val="28"/>
          <w:szCs w:val="28"/>
          <w:lang w:val="en-US" w:eastAsia="zh-CN"/>
        </w:rPr>
        <w:t>4</w:t>
      </w:r>
      <w:r>
        <w:rPr>
          <w:rFonts w:hint="eastAsia" w:ascii="华文仿宋" w:hAnsi="华文仿宋" w:eastAsia="华文仿宋" w:cs="华文仿宋"/>
          <w:color w:val="000000"/>
          <w:sz w:val="28"/>
          <w:szCs w:val="28"/>
          <w:lang w:eastAsia="zh-CN"/>
        </w:rPr>
        <w:t>.</w:t>
      </w:r>
      <w:r>
        <w:rPr>
          <w:rFonts w:hint="eastAsia" w:ascii="华文仿宋" w:hAnsi="华文仿宋" w:eastAsia="华文仿宋" w:cs="华文仿宋"/>
          <w:color w:val="000000"/>
          <w:sz w:val="28"/>
          <w:szCs w:val="28"/>
        </w:rPr>
        <w:t>根据财政部、国家发改委、生态环境部、市场监管总局联合印发《关于调整优化节能产品、环境标志产品政府采购执行机制的通知》（财库〔2019〕9号）有关要求，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7876F23A">
      <w:pPr>
        <w:spacing w:line="500" w:lineRule="exact"/>
        <w:ind w:firstLine="566" w:firstLineChars="200"/>
        <w:rPr>
          <w:rFonts w:ascii="华文仿宋" w:hAnsi="华文仿宋" w:cs="华文仿宋"/>
          <w:color w:val="000000"/>
          <w:kern w:val="0"/>
        </w:rPr>
      </w:pPr>
      <w:r>
        <w:rPr>
          <w:rFonts w:hint="eastAsia" w:ascii="华文仿宋" w:hAnsi="华文仿宋" w:cs="华文仿宋"/>
          <w:color w:val="000000"/>
          <w:kern w:val="0"/>
          <w:sz w:val="28"/>
          <w:szCs w:val="28"/>
          <w:lang w:val="en-US" w:eastAsia="zh-CN" w:bidi="ar-SA"/>
        </w:rPr>
        <w:t>5</w:t>
      </w:r>
      <w:r>
        <w:rPr>
          <w:rFonts w:hint="eastAsia" w:ascii="华文仿宋" w:hAnsi="华文仿宋" w:eastAsia="华文仿宋" w:cs="华文仿宋"/>
          <w:color w:val="000000"/>
          <w:kern w:val="0"/>
          <w:sz w:val="28"/>
          <w:szCs w:val="28"/>
          <w:lang w:val="en-US" w:eastAsia="zh-CN" w:bidi="ar-SA"/>
        </w:rPr>
        <w:t>.</w:t>
      </w:r>
      <w:r>
        <w:rPr>
          <w:rFonts w:hint="eastAsia" w:ascii="华文仿宋" w:hAnsi="华文仿宋" w:cs="华文仿宋"/>
          <w:color w:val="000000"/>
          <w:kern w:val="0"/>
        </w:rPr>
        <w:t>根据国务院办公厅《关于建立政府强制采购节能产品制度的通知》（国办发</w:t>
      </w:r>
      <w:r>
        <w:rPr>
          <w:rFonts w:hint="eastAsia" w:ascii="仿宋" w:hAnsi="仿宋" w:eastAsia="仿宋" w:cs="仿宋"/>
          <w:color w:val="000000"/>
        </w:rPr>
        <w:t>〔2007〕51</w:t>
      </w:r>
      <w:r>
        <w:rPr>
          <w:rFonts w:hint="eastAsia" w:ascii="华文仿宋" w:hAnsi="华文仿宋" w:cs="华文仿宋"/>
          <w:color w:val="000000"/>
          <w:kern w:val="0"/>
        </w:rPr>
        <w:t>号）有关要求，采购人需购买的产品属于政府强制采购节能产品范围应当在清单之内采购。节能清单中无对应细化分类且节能清单中的产品确实无法满足工作需要的，允许在节能清单之外采购。</w:t>
      </w:r>
    </w:p>
    <w:p w14:paraId="68D831B7">
      <w:pPr>
        <w:pStyle w:val="7"/>
        <w:spacing w:line="500" w:lineRule="exact"/>
        <w:ind w:firstLine="566" w:firstLineChars="200"/>
        <w:rPr>
          <w:rFonts w:ascii="华文仿宋" w:hAnsi="华文仿宋" w:cs="华文仿宋"/>
          <w:color w:val="000000"/>
          <w:kern w:val="0"/>
        </w:rPr>
      </w:pPr>
      <w:r>
        <w:rPr>
          <w:rFonts w:hint="eastAsia" w:ascii="华文仿宋" w:hAnsi="华文仿宋" w:cs="华文仿宋"/>
          <w:color w:val="000000"/>
          <w:kern w:val="0"/>
          <w:lang w:val="en-US" w:eastAsia="zh-CN"/>
        </w:rPr>
        <w:t>6</w:t>
      </w:r>
      <w:r>
        <w:rPr>
          <w:rFonts w:hint="eastAsia" w:ascii="华文仿宋" w:hAnsi="华文仿宋" w:cs="华文仿宋"/>
          <w:color w:val="000000"/>
          <w:kern w:val="0"/>
          <w:lang w:eastAsia="zh-CN"/>
        </w:rPr>
        <w:t>.</w:t>
      </w:r>
      <w:r>
        <w:rPr>
          <w:rFonts w:hint="eastAsia" w:ascii="华文仿宋" w:hAnsi="华文仿宋" w:cs="华文仿宋"/>
          <w:color w:val="000000"/>
          <w:kern w:val="0"/>
        </w:rPr>
        <w:t>节能产品政府采购品目清单详见财政部、发展改革委《关于印发节能产品政府采购品目清单的通知》（财库〔2019〕19号）。</w:t>
      </w:r>
    </w:p>
    <w:p w14:paraId="729609AF">
      <w:pPr>
        <w:pStyle w:val="7"/>
        <w:spacing w:line="500" w:lineRule="exact"/>
        <w:ind w:firstLine="566" w:firstLineChars="200"/>
        <w:rPr>
          <w:rFonts w:ascii="华文仿宋" w:hAnsi="华文仿宋" w:cs="华文仿宋"/>
          <w:color w:val="000000"/>
          <w:kern w:val="0"/>
        </w:rPr>
      </w:pPr>
      <w:r>
        <w:rPr>
          <w:rFonts w:hint="eastAsia" w:ascii="华文仿宋" w:hAnsi="华文仿宋" w:cs="华文仿宋"/>
          <w:color w:val="000000"/>
          <w:kern w:val="0"/>
          <w:lang w:val="en-US" w:eastAsia="zh-CN"/>
        </w:rPr>
        <w:t>7</w:t>
      </w:r>
      <w:r>
        <w:rPr>
          <w:rFonts w:hint="eastAsia" w:ascii="华文仿宋" w:hAnsi="华文仿宋" w:cs="华文仿宋"/>
          <w:color w:val="000000"/>
          <w:kern w:val="0"/>
          <w:lang w:eastAsia="zh-CN"/>
        </w:rPr>
        <w:t>.</w:t>
      </w:r>
      <w:r>
        <w:rPr>
          <w:rFonts w:hint="eastAsia" w:ascii="华文仿宋" w:hAnsi="华文仿宋" w:cs="华文仿宋"/>
          <w:color w:val="000000"/>
          <w:kern w:val="0"/>
        </w:rPr>
        <w:t>环境标志产品政府采购品目清单详见财政部、生态环境部《关于印发环境标志产品政府采购品目清单的通知》（财库〔2019〕18号）。</w:t>
      </w:r>
    </w:p>
    <w:p w14:paraId="4B9E9B8F">
      <w:pPr>
        <w:pStyle w:val="7"/>
        <w:spacing w:line="500" w:lineRule="exact"/>
        <w:ind w:firstLine="566" w:firstLineChars="200"/>
        <w:rPr>
          <w:rFonts w:ascii="华文仿宋" w:hAnsi="华文仿宋" w:cs="华文仿宋"/>
          <w:color w:val="000000"/>
          <w:kern w:val="0"/>
        </w:rPr>
      </w:pPr>
      <w:r>
        <w:rPr>
          <w:rFonts w:hint="eastAsia" w:ascii="华文仿宋" w:hAnsi="华文仿宋" w:cs="华文仿宋"/>
          <w:color w:val="000000"/>
          <w:kern w:val="0"/>
          <w:lang w:val="en-US" w:eastAsia="zh-CN"/>
        </w:rPr>
        <w:t>8</w:t>
      </w:r>
      <w:r>
        <w:rPr>
          <w:rFonts w:hint="eastAsia" w:ascii="华文仿宋" w:hAnsi="华文仿宋" w:cs="华文仿宋"/>
          <w:color w:val="000000"/>
          <w:kern w:val="0"/>
          <w:lang w:eastAsia="zh-CN"/>
        </w:rPr>
        <w:t>.</w:t>
      </w:r>
      <w:r>
        <w:rPr>
          <w:rFonts w:hint="eastAsia" w:ascii="华文仿宋" w:hAnsi="华文仿宋" w:cs="华文仿宋"/>
          <w:color w:val="000000"/>
          <w:kern w:val="0"/>
        </w:rPr>
        <w:t>国家确定的节能产品、环境标志产品认证机构详见市场监管总局《关于发布参与实施政府采购节能产品、环境标志产品认证机构名录的公告》（2019年第16号）。</w:t>
      </w:r>
    </w:p>
    <w:p w14:paraId="38D3543B">
      <w:pPr>
        <w:pStyle w:val="7"/>
        <w:wordWrap w:val="0"/>
        <w:spacing w:line="500" w:lineRule="exact"/>
        <w:ind w:firstLine="566" w:firstLineChars="200"/>
        <w:rPr>
          <w:rFonts w:hint="eastAsia" w:ascii="华文仿宋" w:hAnsi="华文仿宋" w:cs="华文仿宋"/>
          <w:kern w:val="0"/>
        </w:rPr>
      </w:pPr>
      <w:r>
        <w:rPr>
          <w:rFonts w:hint="eastAsia" w:ascii="华文仿宋" w:hAnsi="华文仿宋" w:cs="华文仿宋"/>
          <w:color w:val="000000"/>
          <w:kern w:val="0"/>
          <w:lang w:val="en-US" w:eastAsia="zh-CN"/>
        </w:rPr>
        <w:t>9</w:t>
      </w:r>
      <w:r>
        <w:rPr>
          <w:rFonts w:hint="eastAsia" w:ascii="华文仿宋" w:hAnsi="华文仿宋" w:cs="华文仿宋"/>
          <w:color w:val="000000"/>
          <w:kern w:val="0"/>
          <w:lang w:eastAsia="zh-CN"/>
        </w:rPr>
        <w:t>.</w:t>
      </w:r>
      <w:r>
        <w:rPr>
          <w:rFonts w:hint="eastAsia" w:ascii="华文仿宋" w:hAnsi="华文仿宋" w:cs="华文仿宋"/>
          <w:kern w:val="0"/>
        </w:rPr>
        <w:t>根据陕西省财政厅关于印发《陕西省中小企业政府采购信用融资办法》（陕财办采</w:t>
      </w:r>
      <w:r>
        <w:rPr>
          <w:rFonts w:hint="eastAsia" w:ascii="仿宋" w:hAnsi="仿宋" w:eastAsia="仿宋" w:cs="仿宋"/>
          <w:kern w:val="0"/>
        </w:rPr>
        <w:t>〔</w:t>
      </w:r>
      <w:r>
        <w:rPr>
          <w:rFonts w:ascii="仿宋" w:hAnsi="仿宋" w:eastAsia="仿宋" w:cs="仿宋"/>
          <w:kern w:val="0"/>
        </w:rPr>
        <w:t>2018</w:t>
      </w:r>
      <w:r>
        <w:rPr>
          <w:rFonts w:hint="eastAsia" w:ascii="仿宋" w:hAnsi="仿宋" w:eastAsia="仿宋" w:cs="仿宋"/>
          <w:kern w:val="0"/>
        </w:rPr>
        <w:t>〕</w:t>
      </w:r>
      <w:r>
        <w:rPr>
          <w:rFonts w:ascii="仿宋" w:hAnsi="仿宋" w:eastAsia="仿宋" w:cs="仿宋"/>
          <w:kern w:val="0"/>
        </w:rPr>
        <w:t>23</w:t>
      </w:r>
      <w:r>
        <w:rPr>
          <w:rFonts w:hint="eastAsia" w:ascii="华文仿宋" w:hAnsi="华文仿宋" w:cs="华文仿宋"/>
          <w:kern w:val="0"/>
        </w:rPr>
        <w:t>号）规定“</w:t>
      </w:r>
      <w:r>
        <w:rPr>
          <w:rFonts w:hint="eastAsia" w:ascii="仿宋" w:hAnsi="仿宋" w:eastAsia="仿宋" w:cs="仿宋"/>
        </w:rPr>
        <w:t>中小企业可根据各银行提供的方案，自行选择符合自身情况的金融产品，并根据方案中列明的联系方式和要求向相关银行提出信用融资申请。银行根据中小企业的申请开展尽职调查，合理确定融资授信额度。中小企业获得政府采购合同后，凭政府采购合同向银行提出融资申请。</w:t>
      </w:r>
      <w:r>
        <w:rPr>
          <w:rFonts w:hint="eastAsia" w:ascii="华文仿宋" w:hAnsi="华文仿宋" w:cs="华文仿宋"/>
          <w:kern w:val="0"/>
        </w:rPr>
        <w:t>”（</w:t>
      </w:r>
      <w:r>
        <w:fldChar w:fldCharType="begin"/>
      </w:r>
      <w:r>
        <w:instrText xml:space="preserve"> HYPERLINK "http://www.ccgp-shaanxi.gov.cn/zcdservice/zcd/shanxi/" </w:instrText>
      </w:r>
      <w:r>
        <w:fldChar w:fldCharType="separate"/>
      </w:r>
      <w:r>
        <w:rPr>
          <w:rFonts w:hint="eastAsia" w:ascii="华文仿宋" w:hAnsi="华文仿宋" w:cs="华文仿宋"/>
          <w:kern w:val="0"/>
        </w:rPr>
        <w:t>陕西省政府采购信用融资平台</w:t>
      </w:r>
      <w:r>
        <w:rPr>
          <w:rFonts w:hint="eastAsia" w:ascii="华文仿宋" w:hAnsi="华文仿宋" w:cs="华文仿宋"/>
          <w:kern w:val="0"/>
        </w:rPr>
        <w:fldChar w:fldCharType="end"/>
      </w:r>
      <w:r>
        <w:rPr>
          <w:rFonts w:hint="eastAsia" w:ascii="华文仿宋" w:hAnsi="华文仿宋" w:cs="华文仿宋"/>
          <w:kern w:val="0"/>
        </w:rPr>
        <w:t>：</w:t>
      </w:r>
      <w:r>
        <w:rPr>
          <w:rFonts w:hint="eastAsia" w:ascii="华文仿宋" w:hAnsi="华文仿宋" w:cs="华文仿宋"/>
          <w:kern w:val="0"/>
        </w:rPr>
        <w:fldChar w:fldCharType="begin"/>
      </w:r>
      <w:r>
        <w:rPr>
          <w:rFonts w:hint="eastAsia" w:ascii="华文仿宋" w:hAnsi="华文仿宋" w:cs="华文仿宋"/>
          <w:kern w:val="0"/>
        </w:rPr>
        <w:instrText xml:space="preserve"> HYPERLINK "http://www.ccgp-shaanxi.gov.cn/zcdservice/zcd/shanxi/）" </w:instrText>
      </w:r>
      <w:r>
        <w:rPr>
          <w:rFonts w:hint="eastAsia" w:ascii="华文仿宋" w:hAnsi="华文仿宋" w:cs="华文仿宋"/>
          <w:kern w:val="0"/>
        </w:rPr>
        <w:fldChar w:fldCharType="separate"/>
      </w:r>
      <w:r>
        <w:rPr>
          <w:rStyle w:val="40"/>
          <w:rFonts w:hint="eastAsia" w:ascii="华文仿宋" w:hAnsi="华文仿宋" w:cs="华文仿宋"/>
          <w:kern w:val="0"/>
        </w:rPr>
        <w:t>http://www.ccgp-shaanxi.gov.cn/zcdservice/zcd/shanxi/）</w:t>
      </w:r>
      <w:r>
        <w:rPr>
          <w:rFonts w:hint="eastAsia" w:ascii="华文仿宋" w:hAnsi="华文仿宋" w:cs="华文仿宋"/>
          <w:kern w:val="0"/>
        </w:rPr>
        <w:fldChar w:fldCharType="end"/>
      </w:r>
    </w:p>
    <w:p w14:paraId="51556916">
      <w:pPr>
        <w:keepNext w:val="0"/>
        <w:keepLines w:val="0"/>
        <w:pageBreakBefore w:val="0"/>
        <w:widowControl/>
        <w:kinsoku/>
        <w:overflowPunct/>
        <w:topLinePunct w:val="0"/>
        <w:autoSpaceDE/>
        <w:autoSpaceDN/>
        <w:bidi w:val="0"/>
        <w:adjustRightInd/>
        <w:snapToGrid/>
        <w:spacing w:line="500" w:lineRule="exact"/>
        <w:ind w:firstLine="566" w:firstLineChars="200"/>
        <w:textAlignment w:val="auto"/>
        <w:rPr>
          <w:rFonts w:hint="eastAsia" w:ascii="华文仿宋" w:hAnsi="华文仿宋" w:eastAsia="华文仿宋" w:cs="华文仿宋"/>
          <w:kern w:val="0"/>
          <w:sz w:val="28"/>
          <w:szCs w:val="28"/>
          <w:lang w:val="en-US" w:eastAsia="zh-CN" w:bidi="ar-SA"/>
        </w:rPr>
      </w:pPr>
      <w:r>
        <w:rPr>
          <w:rFonts w:hint="eastAsia" w:ascii="华文仿宋" w:hAnsi="华文仿宋" w:eastAsia="华文仿宋" w:cs="华文仿宋"/>
          <w:color w:val="000000"/>
          <w:kern w:val="0"/>
          <w:sz w:val="28"/>
          <w:szCs w:val="28"/>
          <w:lang w:val="en-US" w:eastAsia="zh-CN" w:bidi="ar-SA"/>
        </w:rPr>
        <w:t>10.</w:t>
      </w:r>
      <w:r>
        <w:rPr>
          <w:rFonts w:hint="eastAsia" w:ascii="华文仿宋" w:hAnsi="华文仿宋" w:eastAsia="华文仿宋" w:cs="华文仿宋"/>
          <w:kern w:val="0"/>
          <w:sz w:val="28"/>
          <w:szCs w:val="28"/>
          <w:lang w:val="en-US" w:eastAsia="zh-CN" w:bidi="ar-SA"/>
        </w:rPr>
        <w:t>根据财政部《关于推动解决政府采购异常低价问题的通知》（财库〔2026〕2号）有关要求，（一）政府采购评审中出现下列情形之一的，评审委员会应当启动异常低价投标（响应）审查程序：</w:t>
      </w:r>
    </w:p>
    <w:p w14:paraId="26E058B6">
      <w:pPr>
        <w:keepNext w:val="0"/>
        <w:keepLines w:val="0"/>
        <w:pageBreakBefore w:val="0"/>
        <w:widowControl/>
        <w:kinsoku/>
        <w:overflowPunct/>
        <w:topLinePunct w:val="0"/>
        <w:autoSpaceDE/>
        <w:autoSpaceDN/>
        <w:bidi w:val="0"/>
        <w:adjustRightInd/>
        <w:snapToGrid/>
        <w:spacing w:line="500" w:lineRule="exact"/>
        <w:ind w:firstLine="566" w:firstLineChars="200"/>
        <w:textAlignment w:val="auto"/>
        <w:rPr>
          <w:rFonts w:hint="eastAsia" w:ascii="华文仿宋" w:hAnsi="华文仿宋" w:eastAsia="华文仿宋" w:cs="华文仿宋"/>
          <w:color w:val="000000"/>
          <w:kern w:val="0"/>
          <w:sz w:val="28"/>
          <w:szCs w:val="28"/>
          <w:lang w:val="en-US" w:eastAsia="zh-CN" w:bidi="ar-SA"/>
        </w:rPr>
      </w:pPr>
      <w:r>
        <w:rPr>
          <w:rFonts w:hint="eastAsia" w:ascii="华文仿宋" w:hAnsi="华文仿宋" w:eastAsia="华文仿宋" w:cs="华文仿宋"/>
          <w:color w:val="000000"/>
          <w:kern w:val="0"/>
          <w:sz w:val="28"/>
          <w:szCs w:val="28"/>
          <w:lang w:val="en-US" w:eastAsia="zh-CN" w:bidi="ar-SA"/>
        </w:rPr>
        <w:t>1.投标（响应）报价低于全部通过符合性审查供应商投标（响应）报价平均值50%的，即投标（响应）报价&lt;全部通过符合性审查供应商投标（响应）报价平均值×50%；</w:t>
      </w:r>
    </w:p>
    <w:p w14:paraId="1836EE79">
      <w:pPr>
        <w:keepNext w:val="0"/>
        <w:keepLines w:val="0"/>
        <w:pageBreakBefore w:val="0"/>
        <w:widowControl/>
        <w:kinsoku/>
        <w:overflowPunct/>
        <w:topLinePunct w:val="0"/>
        <w:autoSpaceDE/>
        <w:autoSpaceDN/>
        <w:bidi w:val="0"/>
        <w:adjustRightInd/>
        <w:snapToGrid/>
        <w:spacing w:line="500" w:lineRule="exact"/>
        <w:ind w:firstLine="566" w:firstLineChars="200"/>
        <w:textAlignment w:val="auto"/>
        <w:rPr>
          <w:rFonts w:hint="eastAsia" w:ascii="华文仿宋" w:hAnsi="华文仿宋" w:eastAsia="华文仿宋" w:cs="华文仿宋"/>
          <w:color w:val="000000"/>
          <w:kern w:val="0"/>
          <w:sz w:val="28"/>
          <w:szCs w:val="28"/>
          <w:lang w:val="en-US" w:eastAsia="zh-CN" w:bidi="ar-SA"/>
        </w:rPr>
      </w:pPr>
      <w:r>
        <w:rPr>
          <w:rFonts w:hint="eastAsia" w:ascii="华文仿宋" w:hAnsi="华文仿宋" w:eastAsia="华文仿宋" w:cs="华文仿宋"/>
          <w:color w:val="000000"/>
          <w:kern w:val="0"/>
          <w:sz w:val="28"/>
          <w:szCs w:val="28"/>
          <w:lang w:val="en-US" w:eastAsia="zh-CN" w:bidi="ar-SA"/>
        </w:rPr>
        <w:t>2.投标（响应）报价低于通过符合性审查的次低报价供应商投标（响应）报价50%的，即投标（响应）报价&lt;通过符合性审查的次低报价供应商投标（响应）报价×50%；</w:t>
      </w:r>
    </w:p>
    <w:p w14:paraId="50CCF0BD">
      <w:pPr>
        <w:keepNext w:val="0"/>
        <w:keepLines w:val="0"/>
        <w:pageBreakBefore w:val="0"/>
        <w:widowControl/>
        <w:kinsoku/>
        <w:overflowPunct/>
        <w:topLinePunct w:val="0"/>
        <w:autoSpaceDE/>
        <w:autoSpaceDN/>
        <w:bidi w:val="0"/>
        <w:adjustRightInd/>
        <w:snapToGrid/>
        <w:spacing w:line="500" w:lineRule="exact"/>
        <w:ind w:firstLine="566" w:firstLineChars="200"/>
        <w:textAlignment w:val="auto"/>
        <w:rPr>
          <w:rFonts w:hint="eastAsia" w:ascii="华文仿宋" w:hAnsi="华文仿宋" w:eastAsia="华文仿宋" w:cs="华文仿宋"/>
          <w:color w:val="000000"/>
          <w:kern w:val="0"/>
          <w:sz w:val="28"/>
          <w:szCs w:val="28"/>
          <w:lang w:val="en-US" w:eastAsia="zh-CN" w:bidi="ar-SA"/>
        </w:rPr>
      </w:pPr>
      <w:r>
        <w:rPr>
          <w:rFonts w:hint="eastAsia" w:ascii="华文仿宋" w:hAnsi="华文仿宋" w:eastAsia="华文仿宋" w:cs="华文仿宋"/>
          <w:color w:val="000000"/>
          <w:kern w:val="0"/>
          <w:sz w:val="28"/>
          <w:szCs w:val="28"/>
          <w:lang w:val="en-US" w:eastAsia="zh-CN" w:bidi="ar-SA"/>
        </w:rPr>
        <w:t>3.投标（响应）报价低于采购项目最高限价45%的，即投标（响应）报价&lt;采购项目最高限价×45%；</w:t>
      </w:r>
    </w:p>
    <w:p w14:paraId="70CF69A8">
      <w:pPr>
        <w:keepNext w:val="0"/>
        <w:keepLines w:val="0"/>
        <w:pageBreakBefore w:val="0"/>
        <w:widowControl/>
        <w:kinsoku/>
        <w:overflowPunct/>
        <w:topLinePunct w:val="0"/>
        <w:autoSpaceDE/>
        <w:autoSpaceDN/>
        <w:bidi w:val="0"/>
        <w:adjustRightInd/>
        <w:snapToGrid/>
        <w:spacing w:line="500" w:lineRule="exact"/>
        <w:ind w:firstLine="566" w:firstLineChars="200"/>
        <w:textAlignment w:val="auto"/>
        <w:rPr>
          <w:rFonts w:hint="eastAsia" w:ascii="华文仿宋" w:hAnsi="华文仿宋" w:eastAsia="华文仿宋" w:cs="华文仿宋"/>
          <w:color w:val="000000"/>
          <w:kern w:val="0"/>
          <w:sz w:val="28"/>
          <w:szCs w:val="28"/>
          <w:lang w:val="en-US" w:eastAsia="zh-CN" w:bidi="ar-SA"/>
        </w:rPr>
      </w:pPr>
      <w:r>
        <w:rPr>
          <w:rFonts w:hint="eastAsia" w:ascii="华文仿宋" w:hAnsi="华文仿宋" w:eastAsia="华文仿宋" w:cs="华文仿宋"/>
          <w:color w:val="000000"/>
          <w:kern w:val="0"/>
          <w:sz w:val="28"/>
          <w:szCs w:val="28"/>
          <w:lang w:val="en-US" w:eastAsia="zh-CN" w:bidi="ar-SA"/>
        </w:rPr>
        <w:t>4.评审委员会基于专业判断，认为供应商报价过低，有可能影响产品质量或者不能诚信履约的其他情形。</w:t>
      </w:r>
    </w:p>
    <w:p w14:paraId="372C99B8">
      <w:pPr>
        <w:keepNext w:val="0"/>
        <w:keepLines w:val="0"/>
        <w:pageBreakBefore w:val="0"/>
        <w:widowControl/>
        <w:kinsoku/>
        <w:overflowPunct/>
        <w:topLinePunct w:val="0"/>
        <w:autoSpaceDE/>
        <w:autoSpaceDN/>
        <w:bidi w:val="0"/>
        <w:adjustRightInd/>
        <w:snapToGrid/>
        <w:spacing w:line="500" w:lineRule="exact"/>
        <w:ind w:firstLine="566" w:firstLineChars="200"/>
        <w:textAlignment w:val="auto"/>
        <w:rPr>
          <w:rFonts w:hint="eastAsia" w:ascii="华文仿宋" w:hAnsi="华文仿宋" w:eastAsia="华文仿宋" w:cs="华文仿宋"/>
          <w:color w:val="000000"/>
          <w:kern w:val="0"/>
          <w:sz w:val="28"/>
          <w:szCs w:val="28"/>
          <w:lang w:val="en-US" w:eastAsia="zh-CN" w:bidi="ar-SA"/>
        </w:rPr>
      </w:pPr>
      <w:r>
        <w:rPr>
          <w:rFonts w:hint="eastAsia" w:ascii="华文仿宋" w:hAnsi="华文仿宋" w:eastAsia="华文仿宋" w:cs="华文仿宋"/>
          <w:color w:val="000000"/>
          <w:kern w:val="0"/>
          <w:sz w:val="28"/>
          <w:szCs w:val="28"/>
          <w:lang w:val="en-US" w:eastAsia="zh-CN" w:bidi="ar-SA"/>
        </w:rPr>
        <w:t>采购人可以结合具体项目实际情况，提高上述第1项至第3项中启动异常低价投标（响应）审查的数值标准，但是最高不得超过65%。</w:t>
      </w:r>
    </w:p>
    <w:p w14:paraId="7A88D8C2">
      <w:pPr>
        <w:keepNext w:val="0"/>
        <w:keepLines w:val="0"/>
        <w:pageBreakBefore w:val="0"/>
        <w:widowControl/>
        <w:kinsoku/>
        <w:overflowPunct/>
        <w:topLinePunct w:val="0"/>
        <w:autoSpaceDE/>
        <w:autoSpaceDN/>
        <w:bidi w:val="0"/>
        <w:adjustRightInd/>
        <w:snapToGrid/>
        <w:spacing w:line="500" w:lineRule="exact"/>
        <w:textAlignment w:val="auto"/>
        <w:rPr>
          <w:rFonts w:hint="eastAsia" w:ascii="华文仿宋" w:hAnsi="华文仿宋" w:eastAsia="华文仿宋" w:cs="华文仿宋"/>
          <w:color w:val="000000"/>
          <w:kern w:val="0"/>
          <w:sz w:val="28"/>
          <w:szCs w:val="28"/>
          <w:lang w:val="en-US" w:eastAsia="zh-CN" w:bidi="ar-SA"/>
        </w:rPr>
      </w:pPr>
      <w:r>
        <w:rPr>
          <w:rFonts w:hint="eastAsia" w:ascii="华文仿宋" w:hAnsi="华文仿宋" w:eastAsia="华文仿宋" w:cs="华文仿宋"/>
          <w:color w:val="000000"/>
          <w:kern w:val="0"/>
          <w:sz w:val="28"/>
          <w:szCs w:val="28"/>
          <w:lang w:val="en-US" w:eastAsia="zh-CN" w:bidi="ar-SA"/>
        </w:rPr>
        <w:t>　相关法律法规对供应商报价有规定的，从其规定。</w:t>
      </w:r>
    </w:p>
    <w:p w14:paraId="51D7E141">
      <w:pPr>
        <w:keepNext w:val="0"/>
        <w:keepLines w:val="0"/>
        <w:pageBreakBefore w:val="0"/>
        <w:widowControl/>
        <w:kinsoku/>
        <w:overflowPunct/>
        <w:topLinePunct w:val="0"/>
        <w:autoSpaceDE/>
        <w:autoSpaceDN/>
        <w:bidi w:val="0"/>
        <w:adjustRightInd/>
        <w:snapToGrid/>
        <w:spacing w:line="500" w:lineRule="exact"/>
        <w:ind w:firstLine="566" w:firstLineChars="200"/>
        <w:textAlignment w:val="auto"/>
        <w:rPr>
          <w:rFonts w:hint="eastAsia" w:ascii="华文仿宋" w:hAnsi="华文仿宋" w:eastAsia="华文仿宋" w:cs="华文仿宋"/>
          <w:color w:val="000000"/>
          <w:kern w:val="0"/>
          <w:sz w:val="28"/>
          <w:szCs w:val="28"/>
          <w:lang w:val="en-US" w:eastAsia="zh-CN" w:bidi="ar-SA"/>
        </w:rPr>
      </w:pPr>
      <w:r>
        <w:rPr>
          <w:rFonts w:hint="eastAsia" w:ascii="华文仿宋" w:hAnsi="华文仿宋" w:eastAsia="华文仿宋" w:cs="华文仿宋"/>
          <w:color w:val="000000"/>
          <w:kern w:val="0"/>
          <w:sz w:val="28"/>
          <w:szCs w:val="28"/>
          <w:lang w:val="en-US" w:eastAsia="zh-CN" w:bidi="ar-SA"/>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39DC8793">
      <w:pPr>
        <w:keepNext w:val="0"/>
        <w:keepLines w:val="0"/>
        <w:pageBreakBefore w:val="0"/>
        <w:widowControl/>
        <w:kinsoku/>
        <w:overflowPunct/>
        <w:topLinePunct w:val="0"/>
        <w:autoSpaceDE/>
        <w:autoSpaceDN/>
        <w:bidi w:val="0"/>
        <w:adjustRightInd/>
        <w:snapToGrid/>
        <w:spacing w:line="500" w:lineRule="exact"/>
        <w:textAlignment w:val="auto"/>
        <w:rPr>
          <w:rFonts w:hint="eastAsia" w:ascii="华文仿宋" w:hAnsi="华文仿宋" w:eastAsia="华文仿宋" w:cs="华文仿宋"/>
          <w:color w:val="000000"/>
          <w:kern w:val="0"/>
          <w:sz w:val="28"/>
          <w:szCs w:val="28"/>
          <w:lang w:val="en-US" w:eastAsia="zh-CN" w:bidi="ar-SA"/>
        </w:rPr>
      </w:pPr>
      <w:r>
        <w:rPr>
          <w:rFonts w:hint="eastAsia" w:ascii="华文仿宋" w:hAnsi="华文仿宋" w:eastAsia="华文仿宋" w:cs="华文仿宋"/>
          <w:color w:val="000000"/>
          <w:kern w:val="0"/>
          <w:sz w:val="28"/>
          <w:szCs w:val="28"/>
          <w:lang w:val="en-US" w:eastAsia="zh-CN" w:bidi="ar-SA"/>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83D8495">
      <w:pPr>
        <w:keepNext w:val="0"/>
        <w:keepLines w:val="0"/>
        <w:pageBreakBefore w:val="0"/>
        <w:widowControl/>
        <w:kinsoku/>
        <w:overflowPunct/>
        <w:topLinePunct w:val="0"/>
        <w:autoSpaceDE/>
        <w:autoSpaceDN/>
        <w:bidi w:val="0"/>
        <w:adjustRightInd/>
        <w:snapToGrid/>
        <w:spacing w:line="500" w:lineRule="exact"/>
        <w:textAlignment w:val="auto"/>
        <w:rPr>
          <w:rFonts w:hint="eastAsia" w:ascii="华文仿宋" w:hAnsi="华文仿宋" w:eastAsia="华文仿宋" w:cs="华文仿宋"/>
          <w:color w:val="000000"/>
          <w:kern w:val="0"/>
          <w:sz w:val="28"/>
          <w:szCs w:val="28"/>
          <w:lang w:val="en-US" w:eastAsia="zh-CN" w:bidi="ar-SA"/>
        </w:rPr>
      </w:pPr>
      <w:r>
        <w:rPr>
          <w:rFonts w:hint="eastAsia" w:ascii="华文仿宋" w:hAnsi="华文仿宋" w:eastAsia="华文仿宋" w:cs="华文仿宋"/>
          <w:color w:val="000000"/>
          <w:kern w:val="0"/>
          <w:sz w:val="28"/>
          <w:szCs w:val="28"/>
          <w:lang w:val="en-US" w:eastAsia="zh-CN" w:bidi="ar-SA"/>
        </w:rPr>
        <w:t>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7633D9EF">
      <w:pPr>
        <w:keepNext w:val="0"/>
        <w:keepLines w:val="0"/>
        <w:pageBreakBefore w:val="0"/>
        <w:widowControl/>
        <w:kinsoku/>
        <w:overflowPunct/>
        <w:topLinePunct w:val="0"/>
        <w:autoSpaceDE/>
        <w:autoSpaceDN/>
        <w:bidi w:val="0"/>
        <w:adjustRightInd/>
        <w:snapToGrid/>
        <w:spacing w:line="500" w:lineRule="exact"/>
        <w:textAlignment w:val="auto"/>
        <w:rPr>
          <w:rFonts w:hint="eastAsia" w:ascii="华文仿宋" w:hAnsi="华文仿宋" w:eastAsia="华文仿宋" w:cs="华文仿宋"/>
          <w:color w:val="000000"/>
          <w:kern w:val="0"/>
          <w:sz w:val="28"/>
          <w:szCs w:val="28"/>
          <w:lang w:val="en-US" w:eastAsia="zh-CN" w:bidi="ar-SA"/>
        </w:rPr>
      </w:pPr>
      <w:r>
        <w:rPr>
          <w:rFonts w:hint="eastAsia" w:ascii="华文仿宋" w:hAnsi="华文仿宋" w:eastAsia="华文仿宋" w:cs="华文仿宋"/>
          <w:color w:val="000000"/>
          <w:kern w:val="0"/>
          <w:sz w:val="28"/>
          <w:szCs w:val="28"/>
          <w:lang w:val="en-US" w:eastAsia="zh-CN" w:bidi="ar-SA"/>
        </w:rPr>
        <w:t>　　异常低价投标（响应）审查的启动原因、审查意见和审查结果应当在评审报告中记录，并随供应商提供的相关书面说明及证明材料，以及评审委员会有关互联网浏览、查询历史一并归档。</w:t>
      </w:r>
    </w:p>
    <w:p w14:paraId="3C2B3117">
      <w:r>
        <w:rPr>
          <w:rFonts w:hint="eastAsia" w:ascii="华文仿宋" w:hAnsi="华文仿宋" w:eastAsia="华文仿宋" w:cs="华文仿宋"/>
          <w:color w:val="000000"/>
          <w:kern w:val="0"/>
          <w:sz w:val="28"/>
          <w:szCs w:val="28"/>
          <w:lang w:val="en-US" w:eastAsia="zh-CN" w:bidi="ar-SA"/>
        </w:rPr>
        <w:t>　　（三）各级财政部门应当加强对评审专家的指导和监管，进一步压实评审专家的责任。财政部门在投诉处理、监督检查中发现评审委员会未按规定对异常低价开展审查的，依法予以纠正并追究评审专家的法律责任。</w:t>
      </w:r>
    </w:p>
    <w:p w14:paraId="15A69DAA">
      <w:pPr>
        <w:pStyle w:val="12"/>
        <w:keepNext w:val="0"/>
        <w:keepLines w:val="0"/>
        <w:pageBreakBefore w:val="0"/>
        <w:widowControl/>
        <w:kinsoku/>
        <w:wordWrap/>
        <w:overflowPunct/>
        <w:topLinePunct w:val="0"/>
        <w:autoSpaceDE/>
        <w:autoSpaceDN/>
        <w:bidi w:val="0"/>
        <w:adjustRightInd/>
        <w:snapToGrid/>
        <w:spacing w:line="480" w:lineRule="exact"/>
        <w:ind w:firstLine="566" w:firstLineChars="200"/>
        <w:textAlignment w:val="auto"/>
        <w:rPr>
          <w:rFonts w:hint="default" w:ascii="Calibri Light" w:hAnsi="Calibri Light" w:eastAsia="华文仿宋" w:cs="Calibri Light"/>
          <w:b/>
          <w:bCs/>
          <w:color w:val="auto"/>
          <w:kern w:val="2"/>
          <w:sz w:val="28"/>
          <w:szCs w:val="28"/>
          <w:highlight w:val="none"/>
          <w:lang w:val="en-US" w:eastAsia="zh-CN" w:bidi="ar-SA"/>
        </w:rPr>
      </w:pPr>
      <w:r>
        <w:rPr>
          <w:rFonts w:hint="eastAsia" w:ascii="Calibri Light" w:hAnsi="Calibri Light" w:eastAsia="华文仿宋" w:cs="Calibri Light"/>
          <w:b/>
          <w:bCs/>
          <w:color w:val="auto"/>
          <w:kern w:val="2"/>
          <w:sz w:val="28"/>
          <w:szCs w:val="28"/>
          <w:highlight w:val="none"/>
          <w:lang w:val="en-US" w:eastAsia="zh-CN" w:bidi="ar-SA"/>
        </w:rPr>
        <w:t>注：</w:t>
      </w:r>
      <w:r>
        <w:rPr>
          <w:rFonts w:hint="eastAsia" w:cs="Calibri Light"/>
          <w:b/>
          <w:bCs/>
          <w:color w:val="auto"/>
          <w:kern w:val="2"/>
          <w:sz w:val="28"/>
          <w:szCs w:val="28"/>
          <w:highlight w:val="none"/>
          <w:lang w:val="en-US" w:eastAsia="zh-CN" w:bidi="ar-SA"/>
        </w:rPr>
        <w:t>1.</w:t>
      </w:r>
      <w:r>
        <w:rPr>
          <w:rFonts w:hint="eastAsia" w:ascii="Calibri Light" w:hAnsi="Calibri Light" w:eastAsia="华文仿宋" w:cs="Calibri Light"/>
          <w:b/>
          <w:bCs/>
          <w:color w:val="auto"/>
          <w:kern w:val="2"/>
          <w:sz w:val="28"/>
          <w:szCs w:val="28"/>
          <w:highlight w:val="none"/>
          <w:lang w:val="en-US" w:eastAsia="zh-CN" w:bidi="ar-SA"/>
        </w:rPr>
        <w:t>参加投标供应商根据项目具体情况自行响应相关政府采购政策文件。</w:t>
      </w:r>
    </w:p>
    <w:p w14:paraId="289E57C2">
      <w:pPr>
        <w:pStyle w:val="12"/>
        <w:keepNext w:val="0"/>
        <w:keepLines w:val="0"/>
        <w:pageBreakBefore w:val="0"/>
        <w:widowControl/>
        <w:kinsoku/>
        <w:wordWrap/>
        <w:overflowPunct/>
        <w:topLinePunct w:val="0"/>
        <w:autoSpaceDE/>
        <w:autoSpaceDN/>
        <w:bidi w:val="0"/>
        <w:adjustRightInd/>
        <w:snapToGrid/>
        <w:spacing w:line="480" w:lineRule="exact"/>
        <w:ind w:firstLine="566" w:firstLineChars="200"/>
        <w:textAlignment w:val="auto"/>
        <w:rPr>
          <w:rFonts w:hint="eastAsia" w:ascii="华文仿宋" w:hAnsi="华文仿宋" w:cs="华文仿宋"/>
          <w:b/>
          <w:bCs/>
          <w:color w:val="000000"/>
        </w:rPr>
      </w:pPr>
      <w:r>
        <w:rPr>
          <w:rFonts w:hint="eastAsia" w:cs="Calibri Light"/>
          <w:b/>
          <w:bCs/>
          <w:color w:val="auto"/>
          <w:kern w:val="2"/>
          <w:sz w:val="28"/>
          <w:szCs w:val="28"/>
          <w:highlight w:val="none"/>
          <w:lang w:val="en-US" w:eastAsia="zh-CN" w:bidi="ar-SA"/>
        </w:rPr>
        <w:t>2.</w:t>
      </w:r>
      <w:r>
        <w:rPr>
          <w:rFonts w:hint="eastAsia" w:ascii="Calibri Light" w:hAnsi="Calibri Light" w:eastAsia="华文仿宋" w:cs="Calibri Light"/>
          <w:b/>
          <w:bCs/>
          <w:color w:val="auto"/>
          <w:kern w:val="2"/>
          <w:sz w:val="28"/>
          <w:szCs w:val="28"/>
          <w:highlight w:val="none"/>
          <w:lang w:val="en-US" w:eastAsia="zh-CN" w:bidi="ar-SA"/>
        </w:rPr>
        <w:t>本项目为专门面向中小企业采购的采购项目，因此，不再执行价格评审优惠扶持政策。</w:t>
      </w:r>
    </w:p>
    <w:p w14:paraId="3230E339">
      <w:pPr>
        <w:keepNext w:val="0"/>
        <w:keepLines w:val="0"/>
        <w:pageBreakBefore w:val="0"/>
        <w:widowControl/>
        <w:kinsoku/>
        <w:wordWrap/>
        <w:overflowPunct/>
        <w:topLinePunct w:val="0"/>
        <w:autoSpaceDE/>
        <w:autoSpaceDN/>
        <w:bidi w:val="0"/>
        <w:adjustRightInd/>
        <w:snapToGrid/>
        <w:spacing w:line="480" w:lineRule="exact"/>
        <w:ind w:firstLine="566" w:firstLineChars="200"/>
        <w:textAlignment w:val="auto"/>
        <w:rPr>
          <w:rFonts w:hint="eastAsia"/>
          <w:color w:val="auto"/>
        </w:rPr>
      </w:pPr>
      <w:r>
        <w:rPr>
          <w:rFonts w:hint="eastAsia"/>
          <w:color w:val="auto"/>
        </w:rPr>
        <w:t>本项目采购标的对应的中小企业划分标准所属行业</w:t>
      </w:r>
      <w:r>
        <w:rPr>
          <w:rFonts w:hint="eastAsia"/>
          <w:color w:val="auto"/>
          <w:lang w:val="en-US" w:eastAsia="zh-CN"/>
        </w:rPr>
        <w:t>一标段</w:t>
      </w:r>
      <w:r>
        <w:rPr>
          <w:rFonts w:hint="eastAsia"/>
          <w:color w:val="auto"/>
        </w:rPr>
        <w:t>为</w:t>
      </w:r>
      <w:r>
        <w:rPr>
          <w:rFonts w:hint="eastAsia"/>
          <w:b/>
          <w:bCs/>
          <w:color w:val="auto"/>
          <w:u w:val="single"/>
          <w:lang w:val="en-US" w:eastAsia="zh-CN"/>
        </w:rPr>
        <w:t>其他未列明行业</w:t>
      </w:r>
      <w:r>
        <w:rPr>
          <w:rFonts w:hint="eastAsia"/>
          <w:color w:val="auto"/>
          <w:lang w:val="en-US" w:eastAsia="zh-CN"/>
        </w:rPr>
        <w:t>，二标段为</w:t>
      </w:r>
      <w:r>
        <w:rPr>
          <w:rFonts w:hint="eastAsia"/>
          <w:b/>
          <w:bCs/>
          <w:color w:val="auto"/>
          <w:u w:val="single"/>
          <w:lang w:val="en-US" w:eastAsia="zh-CN"/>
        </w:rPr>
        <w:t>物业管理</w:t>
      </w:r>
      <w:r>
        <w:rPr>
          <w:rFonts w:hint="eastAsia"/>
          <w:color w:val="auto"/>
        </w:rPr>
        <w:t>。</w:t>
      </w:r>
    </w:p>
    <w:bookmarkEnd w:id="170"/>
    <w:bookmarkEnd w:id="171"/>
    <w:bookmarkEnd w:id="172"/>
    <w:bookmarkEnd w:id="173"/>
    <w:bookmarkEnd w:id="174"/>
    <w:bookmarkEnd w:id="175"/>
    <w:bookmarkEnd w:id="176"/>
    <w:bookmarkEnd w:id="177"/>
    <w:bookmarkEnd w:id="178"/>
    <w:bookmarkEnd w:id="179"/>
    <w:bookmarkEnd w:id="180"/>
    <w:bookmarkEnd w:id="181"/>
    <w:bookmarkEnd w:id="182"/>
    <w:p w14:paraId="5B3AA21A">
      <w:pPr>
        <w:pStyle w:val="3"/>
        <w:spacing w:line="500" w:lineRule="exact"/>
        <w:ind w:firstLine="566" w:firstLineChars="200"/>
        <w:rPr>
          <w:rFonts w:ascii="华文仿宋" w:cs="Times New Roman"/>
          <w:color w:val="auto"/>
          <w:sz w:val="28"/>
          <w:szCs w:val="28"/>
        </w:rPr>
      </w:pPr>
      <w:r>
        <w:rPr>
          <w:rFonts w:hint="eastAsia" w:ascii="华文仿宋" w:hAnsi="华文仿宋" w:cs="华文仿宋"/>
          <w:color w:val="auto"/>
          <w:sz w:val="28"/>
          <w:szCs w:val="28"/>
        </w:rPr>
        <w:t>（六）关于产品和服务</w:t>
      </w:r>
    </w:p>
    <w:p w14:paraId="68AB19E2">
      <w:pPr>
        <w:spacing w:line="500" w:lineRule="exact"/>
        <w:ind w:firstLine="566" w:firstLineChars="200"/>
        <w:rPr>
          <w:rFonts w:ascii="华文仿宋" w:cs="Times New Roman"/>
          <w:color w:val="auto"/>
        </w:rPr>
      </w:pPr>
      <w:r>
        <w:rPr>
          <w:rFonts w:ascii="华文仿宋" w:hAnsi="华文仿宋" w:cs="华文仿宋"/>
          <w:color w:val="auto"/>
        </w:rPr>
        <w:t>1</w:t>
      </w:r>
      <w:r>
        <w:rPr>
          <w:rFonts w:hint="eastAsia" w:ascii="华文仿宋" w:hAnsi="华文仿宋" w:cs="华文仿宋"/>
          <w:color w:val="auto"/>
          <w:lang w:val="en-US" w:eastAsia="zh-CN"/>
        </w:rPr>
        <w:t>.</w:t>
      </w:r>
      <w:r>
        <w:rPr>
          <w:rFonts w:hint="eastAsia" w:ascii="华文仿宋" w:hAnsi="华文仿宋" w:cs="华文仿宋"/>
          <w:color w:val="auto"/>
        </w:rPr>
        <w:t>所有产品必须具有在中国境内法定许可的生产及销售资格，且为全新原厂制造，其核心关键部分为近</w:t>
      </w:r>
      <w:r>
        <w:rPr>
          <w:rFonts w:ascii="仿宋" w:hAnsi="仿宋" w:eastAsia="仿宋" w:cs="仿宋"/>
          <w:color w:val="auto"/>
        </w:rPr>
        <w:t>10</w:t>
      </w:r>
      <w:r>
        <w:rPr>
          <w:rFonts w:hint="eastAsia" w:ascii="华文仿宋" w:hAnsi="华文仿宋" w:cs="华文仿宋"/>
          <w:color w:val="auto"/>
        </w:rPr>
        <w:t>个月内所生产的非淘汰类产品；属于《中华人民共和国实施强制性产品认证的产品目录》的产品，就不能提供超出此目录范畴外的替代品，此外，还须同时具备国家认监委颁布《中国强制认证》（</w:t>
      </w:r>
      <w:r>
        <w:rPr>
          <w:rFonts w:hint="eastAsia" w:ascii="仿宋" w:hAnsi="仿宋" w:eastAsia="仿宋" w:cs="仿宋"/>
          <w:color w:val="auto"/>
          <w:kern w:val="0"/>
        </w:rPr>
        <w:t>CCC</w:t>
      </w:r>
      <w:r>
        <w:rPr>
          <w:rFonts w:hint="eastAsia" w:ascii="华文仿宋" w:hAnsi="华文仿宋" w:cs="华文仿宋"/>
          <w:color w:val="auto"/>
        </w:rPr>
        <w:t>认证）。</w:t>
      </w:r>
    </w:p>
    <w:p w14:paraId="5DB19432">
      <w:pPr>
        <w:spacing w:line="500" w:lineRule="exact"/>
        <w:ind w:firstLine="566" w:firstLineChars="200"/>
        <w:rPr>
          <w:rFonts w:ascii="华文仿宋" w:cs="Times New Roman"/>
          <w:color w:val="auto"/>
        </w:rPr>
      </w:pPr>
      <w:r>
        <w:rPr>
          <w:rFonts w:ascii="华文仿宋" w:hAnsi="华文仿宋" w:cs="华文仿宋"/>
          <w:color w:val="auto"/>
        </w:rPr>
        <w:t>2</w:t>
      </w:r>
      <w:r>
        <w:rPr>
          <w:rFonts w:hint="eastAsia" w:ascii="华文仿宋" w:hAnsi="华文仿宋" w:cs="华文仿宋"/>
          <w:bCs/>
          <w:color w:val="auto"/>
          <w:lang w:val="en-US" w:eastAsia="zh-CN"/>
        </w:rPr>
        <w:t>.</w:t>
      </w:r>
      <w:r>
        <w:rPr>
          <w:rFonts w:hint="eastAsia" w:ascii="华文仿宋" w:hAnsi="华文仿宋" w:cs="华文仿宋"/>
          <w:color w:val="auto"/>
        </w:rPr>
        <w:t>采购的产品属于政府采购节能产品</w:t>
      </w:r>
      <w:r>
        <w:rPr>
          <w:rFonts w:hint="eastAsia" w:ascii="华文仿宋" w:hAnsi="华文仿宋" w:cs="华文仿宋"/>
          <w:bCs/>
          <w:color w:val="auto"/>
        </w:rPr>
        <w:t>、</w:t>
      </w:r>
      <w:r>
        <w:rPr>
          <w:rFonts w:hint="eastAsia" w:ascii="华文仿宋" w:hAnsi="华文仿宋" w:cs="华文仿宋"/>
          <w:color w:val="auto"/>
        </w:rPr>
        <w:t>环境标志产品品目清单范围的，投标人需提供国家确定的认证机构出具的、处于有效期之内的节能产品、环境标志产品认证证书，对获得证书的产品实施政府优先采购或强制采购。</w:t>
      </w:r>
    </w:p>
    <w:p w14:paraId="3F80E5ED">
      <w:pPr>
        <w:spacing w:line="500" w:lineRule="exact"/>
        <w:ind w:firstLine="566" w:firstLineChars="200"/>
        <w:rPr>
          <w:rFonts w:ascii="华文仿宋" w:cs="Times New Roman"/>
          <w:color w:val="auto"/>
        </w:rPr>
      </w:pPr>
      <w:r>
        <w:rPr>
          <w:rFonts w:ascii="华文仿宋" w:hAnsi="华文仿宋" w:cs="华文仿宋"/>
          <w:color w:val="auto"/>
        </w:rPr>
        <w:t>3</w:t>
      </w:r>
      <w:r>
        <w:rPr>
          <w:rFonts w:hint="eastAsia" w:ascii="华文仿宋" w:hAnsi="华文仿宋" w:cs="华文仿宋"/>
          <w:color w:val="auto"/>
          <w:lang w:val="en-US" w:eastAsia="zh-CN"/>
        </w:rPr>
        <w:t>.</w:t>
      </w:r>
      <w:r>
        <w:rPr>
          <w:rFonts w:hint="eastAsia" w:ascii="华文仿宋" w:hAnsi="华文仿宋" w:cs="华文仿宋"/>
          <w:color w:val="auto"/>
        </w:rPr>
        <w:t>主机设备要有标准配置清单，使用操作及安全须知等重要资料应附有中文说明；国内制造的产品必须同时具备出厂合格证和相关检测报告。购置的计算机设备必须配有正版合法的经采购人认可的操作系统和软件。</w:t>
      </w:r>
    </w:p>
    <w:p w14:paraId="772CDAD3">
      <w:pPr>
        <w:spacing w:line="500" w:lineRule="exact"/>
        <w:ind w:firstLine="566" w:firstLineChars="200"/>
        <w:rPr>
          <w:rFonts w:ascii="华文仿宋" w:cs="Times New Roman"/>
          <w:color w:val="auto"/>
        </w:rPr>
      </w:pPr>
      <w:r>
        <w:rPr>
          <w:rFonts w:ascii="华文仿宋" w:hAnsi="华文仿宋" w:cs="华文仿宋"/>
          <w:color w:val="auto"/>
        </w:rPr>
        <w:t>4</w:t>
      </w:r>
      <w:r>
        <w:rPr>
          <w:rFonts w:hint="eastAsia" w:ascii="华文仿宋" w:hAnsi="华文仿宋" w:cs="华文仿宋"/>
          <w:color w:val="auto"/>
          <w:lang w:val="en-US" w:eastAsia="zh-CN"/>
        </w:rPr>
        <w:t>.</w:t>
      </w:r>
      <w:r>
        <w:rPr>
          <w:rFonts w:hint="eastAsia" w:ascii="华文仿宋" w:hAnsi="华文仿宋" w:cs="华文仿宋"/>
          <w:color w:val="auto"/>
        </w:rPr>
        <w:t>信息安全产品应当获得国家信息安全认证，并可提供由中国信息安全认证中心按照国家标准认证颁发的有效认证证书。</w:t>
      </w:r>
    </w:p>
    <w:p w14:paraId="4856B2E5">
      <w:pPr>
        <w:spacing w:line="500" w:lineRule="exact"/>
        <w:ind w:firstLine="566" w:firstLineChars="200"/>
        <w:rPr>
          <w:rFonts w:ascii="华文仿宋" w:cs="Times New Roman"/>
          <w:color w:val="auto"/>
        </w:rPr>
      </w:pPr>
      <w:r>
        <w:rPr>
          <w:rFonts w:ascii="华文仿宋" w:hAnsi="华文仿宋" w:cs="华文仿宋"/>
          <w:color w:val="auto"/>
        </w:rPr>
        <w:t>5</w:t>
      </w:r>
      <w:r>
        <w:rPr>
          <w:rFonts w:hint="eastAsia" w:ascii="华文仿宋" w:hAnsi="华文仿宋" w:cs="华文仿宋"/>
          <w:color w:val="auto"/>
          <w:lang w:val="en-US" w:eastAsia="zh-CN"/>
        </w:rPr>
        <w:t>.</w:t>
      </w:r>
      <w:r>
        <w:rPr>
          <w:rFonts w:hint="eastAsia" w:ascii="华文仿宋" w:hAnsi="华文仿宋" w:cs="华文仿宋"/>
          <w:color w:val="auto"/>
        </w:rPr>
        <w:t>根据《政府采购进口产品管理办法》（财库</w:t>
      </w:r>
      <w:r>
        <w:rPr>
          <w:rFonts w:hint="eastAsia" w:ascii="仿宋" w:hAnsi="仿宋" w:eastAsia="仿宋" w:cs="仿宋"/>
          <w:color w:val="auto"/>
        </w:rPr>
        <w:t>〔</w:t>
      </w:r>
      <w:r>
        <w:rPr>
          <w:rFonts w:ascii="仿宋" w:hAnsi="仿宋" w:eastAsia="仿宋" w:cs="仿宋"/>
          <w:color w:val="auto"/>
        </w:rPr>
        <w:t>2007</w:t>
      </w:r>
      <w:r>
        <w:rPr>
          <w:rFonts w:hint="eastAsia" w:ascii="仿宋" w:hAnsi="仿宋" w:eastAsia="仿宋" w:cs="仿宋"/>
          <w:color w:val="auto"/>
        </w:rPr>
        <w:t>〕</w:t>
      </w:r>
      <w:r>
        <w:rPr>
          <w:rFonts w:ascii="仿宋" w:hAnsi="仿宋" w:eastAsia="仿宋" w:cs="仿宋"/>
          <w:color w:val="auto"/>
        </w:rPr>
        <w:t>119</w:t>
      </w:r>
      <w:r>
        <w:rPr>
          <w:rFonts w:hint="eastAsia" w:ascii="华文仿宋" w:hAnsi="华文仿宋" w:cs="华文仿宋"/>
          <w:color w:val="auto"/>
        </w:rPr>
        <w:t>号）与《关于政府采购进口产品管理有关问题的通知》（财办库</w:t>
      </w:r>
      <w:r>
        <w:rPr>
          <w:rFonts w:ascii="仿宋" w:hAnsi="仿宋" w:eastAsia="仿宋" w:cs="仿宋"/>
          <w:color w:val="auto"/>
        </w:rPr>
        <w:t>[2008]248</w:t>
      </w:r>
      <w:r>
        <w:rPr>
          <w:rFonts w:hint="eastAsia" w:ascii="华文仿宋" w:hAnsi="华文仿宋" w:cs="华文仿宋"/>
          <w:color w:val="auto"/>
        </w:rPr>
        <w:t>号）的有关规定，未经核准同意，投标人投标时必须提供本国产品，投标人以进口产品参与投标的，将作无效投标处理。</w:t>
      </w:r>
    </w:p>
    <w:p w14:paraId="779453F1">
      <w:pPr>
        <w:spacing w:line="500" w:lineRule="exact"/>
        <w:ind w:firstLine="566" w:firstLineChars="200"/>
        <w:rPr>
          <w:rFonts w:ascii="华文仿宋" w:hAnsi="华文仿宋" w:cs="华文仿宋"/>
          <w:color w:val="auto"/>
        </w:rPr>
      </w:pPr>
      <w:bookmarkStart w:id="183" w:name="_Toc8680"/>
      <w:bookmarkStart w:id="184" w:name="_Toc9128"/>
      <w:bookmarkStart w:id="185" w:name="_Toc14421"/>
      <w:bookmarkStart w:id="186" w:name="_Toc27587"/>
      <w:r>
        <w:rPr>
          <w:rFonts w:ascii="华文仿宋" w:hAnsi="华文仿宋" w:cs="华文仿宋"/>
          <w:color w:val="auto"/>
        </w:rPr>
        <w:t>6</w:t>
      </w:r>
      <w:r>
        <w:rPr>
          <w:rFonts w:hint="eastAsia" w:ascii="华文仿宋" w:hAnsi="华文仿宋" w:cs="华文仿宋"/>
          <w:color w:val="auto"/>
          <w:lang w:val="en-US" w:eastAsia="zh-CN"/>
        </w:rPr>
        <w:t>.</w:t>
      </w:r>
      <w:r>
        <w:rPr>
          <w:rFonts w:hint="eastAsia" w:ascii="华文仿宋" w:hAnsi="华文仿宋" w:cs="华文仿宋"/>
          <w:color w:val="auto"/>
        </w:rPr>
        <w:t>如招标文件中已说明，经政府采购管理部门审核同意，允许部分或全部产品采购进口产品，投标人既可提供本国产品，也可以提供进口产品。</w:t>
      </w:r>
      <w:r>
        <w:rPr>
          <w:rFonts w:hint="eastAsia" w:ascii="华文仿宋" w:hAnsi="华文仿宋" w:cs="华文仿宋"/>
          <w:color w:val="auto"/>
          <w:lang w:val="en-US" w:eastAsia="zh-CN"/>
        </w:rPr>
        <w:t>根据延安市财政局（延财办采〔2023〕14号）文件要求，参加本次采购的供应商不得采购美光公司产品（包括含有美光芯片的产品）。</w:t>
      </w:r>
      <w:r>
        <w:rPr>
          <w:rFonts w:hint="eastAsia" w:ascii="华文仿宋" w:hAnsi="华文仿宋" w:cs="华文仿宋"/>
          <w:color w:val="auto"/>
        </w:rPr>
        <w:t>在提供的进口产品中，优先采购向我国企业转让技术、与我国企业签订消化吸收再创新方案的投标人的进口产品。进口产品必须同时具备原产地证明、中国商检证明及合法进货渠道全套单证。</w:t>
      </w:r>
    </w:p>
    <w:bookmarkEnd w:id="183"/>
    <w:bookmarkEnd w:id="184"/>
    <w:bookmarkEnd w:id="185"/>
    <w:bookmarkEnd w:id="186"/>
    <w:p w14:paraId="0F431D36">
      <w:pPr>
        <w:spacing w:line="500" w:lineRule="exact"/>
        <w:ind w:firstLine="566" w:firstLineChars="200"/>
        <w:outlineLvl w:val="1"/>
        <w:rPr>
          <w:rFonts w:ascii="华文仿宋" w:cs="Times New Roman"/>
          <w:b/>
          <w:bCs/>
          <w:color w:val="auto"/>
        </w:rPr>
      </w:pPr>
      <w:bookmarkStart w:id="187" w:name="_Toc26560"/>
      <w:bookmarkEnd w:id="187"/>
      <w:bookmarkStart w:id="188" w:name="_Toc13812"/>
      <w:bookmarkEnd w:id="188"/>
      <w:bookmarkStart w:id="189" w:name="_Toc22958"/>
      <w:bookmarkEnd w:id="189"/>
      <w:bookmarkStart w:id="190" w:name="_Toc9202"/>
      <w:bookmarkEnd w:id="190"/>
      <w:bookmarkStart w:id="191" w:name="_Toc24738"/>
      <w:bookmarkEnd w:id="191"/>
      <w:bookmarkStart w:id="192" w:name="_Toc32325"/>
      <w:bookmarkEnd w:id="192"/>
      <w:bookmarkStart w:id="193" w:name="_Toc1957"/>
      <w:bookmarkEnd w:id="193"/>
      <w:bookmarkStart w:id="194" w:name="_Toc2191"/>
      <w:bookmarkEnd w:id="194"/>
      <w:bookmarkStart w:id="195" w:name="_Toc4584"/>
      <w:bookmarkEnd w:id="195"/>
      <w:r>
        <w:rPr>
          <w:rFonts w:hint="eastAsia" w:ascii="华文仿宋" w:hAnsi="华文仿宋" w:cs="华文仿宋"/>
          <w:b/>
          <w:bCs/>
          <w:color w:val="auto"/>
        </w:rPr>
        <w:t>（七）关于同一品牌产品的处理</w:t>
      </w:r>
    </w:p>
    <w:p w14:paraId="50381BF7">
      <w:pPr>
        <w:spacing w:line="500" w:lineRule="exact"/>
        <w:ind w:firstLine="566" w:firstLineChars="200"/>
        <w:rPr>
          <w:rFonts w:ascii="华文仿宋" w:hAnsi="华文仿宋" w:cs="华文仿宋"/>
          <w:bCs/>
          <w:color w:val="auto"/>
        </w:rPr>
      </w:pPr>
      <w:r>
        <w:rPr>
          <w:rFonts w:hint="eastAsia" w:ascii="华文仿宋" w:hAnsi="华文仿宋" w:cs="华文仿宋"/>
          <w:bCs/>
          <w:color w:val="auto"/>
        </w:rPr>
        <w:t>1</w:t>
      </w:r>
      <w:r>
        <w:rPr>
          <w:rFonts w:hint="eastAsia" w:ascii="华文仿宋" w:hAnsi="华文仿宋" w:cs="华文仿宋"/>
          <w:color w:val="auto"/>
          <w:lang w:val="en-US" w:eastAsia="zh-CN"/>
        </w:rPr>
        <w:t>.</w:t>
      </w:r>
      <w:r>
        <w:rPr>
          <w:rFonts w:hint="eastAsia" w:ascii="华文仿宋" w:hAnsi="华文仿宋" w:cs="华文仿宋"/>
          <w:bCs/>
          <w:color w:val="auto"/>
        </w:rPr>
        <w:t>单一产品采购项目中，提供相同品牌的产品的不同投标人参加同一合同项下投标的，按以下处理：</w:t>
      </w:r>
    </w:p>
    <w:p w14:paraId="4EECA089">
      <w:pPr>
        <w:spacing w:line="500" w:lineRule="exact"/>
        <w:ind w:firstLine="566" w:firstLineChars="200"/>
        <w:rPr>
          <w:rFonts w:ascii="华文仿宋" w:hAnsi="华文仿宋" w:cs="华文仿宋"/>
          <w:bCs/>
          <w:color w:val="auto"/>
        </w:rPr>
      </w:pPr>
      <w:r>
        <w:rPr>
          <w:rFonts w:hint="eastAsia" w:ascii="华文仿宋" w:hAnsi="华文仿宋" w:cs="华文仿宋"/>
          <w:bCs/>
          <w:color w:val="auto"/>
        </w:rPr>
        <w:t>（1）采用最低评标价法的采购项目，提供相同品牌产品的不同投标人参加同一合同项下投标的，以其中通过资格审查、符合性审查且投标报价最低的参加评标；报价相同的，由评标委员会按照技术方案、售后服务等内容确定一个参加评标的投标人，其他投标无效。</w:t>
      </w:r>
    </w:p>
    <w:p w14:paraId="336BDD2D">
      <w:pPr>
        <w:spacing w:line="500" w:lineRule="exact"/>
        <w:ind w:firstLine="566" w:firstLineChars="200"/>
        <w:rPr>
          <w:rFonts w:ascii="华文仿宋" w:hAnsi="华文仿宋" w:cs="华文仿宋"/>
          <w:bCs/>
          <w:color w:val="auto"/>
        </w:rPr>
      </w:pPr>
      <w:r>
        <w:rPr>
          <w:rFonts w:hint="eastAsia" w:ascii="华文仿宋" w:hAnsi="华文仿宋" w:cs="华文仿宋"/>
          <w:bCs/>
          <w:color w:val="auto"/>
        </w:rPr>
        <w:t>（2）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按照投标报价最低的方式确定一个获得中标人推荐资格，其他同品牌投标人不作为中标候选人。</w:t>
      </w:r>
    </w:p>
    <w:p w14:paraId="10D5D8E2">
      <w:pPr>
        <w:spacing w:line="500" w:lineRule="exact"/>
        <w:ind w:firstLine="566" w:firstLineChars="200"/>
        <w:rPr>
          <w:rFonts w:ascii="华文仿宋" w:hAnsi="华文仿宋" w:cs="华文仿宋"/>
          <w:bCs/>
          <w:color w:val="auto"/>
        </w:rPr>
      </w:pPr>
      <w:r>
        <w:rPr>
          <w:rFonts w:hint="eastAsia" w:ascii="华文仿宋" w:hAnsi="华文仿宋" w:cs="华文仿宋"/>
          <w:bCs/>
          <w:color w:val="auto"/>
        </w:rPr>
        <w:t>2</w:t>
      </w:r>
      <w:r>
        <w:rPr>
          <w:rFonts w:hint="eastAsia" w:ascii="华文仿宋" w:hAnsi="华文仿宋" w:cs="华文仿宋"/>
          <w:color w:val="auto"/>
          <w:lang w:val="en-US" w:eastAsia="zh-CN"/>
        </w:rPr>
        <w:t>.</w:t>
      </w:r>
      <w:r>
        <w:rPr>
          <w:rFonts w:hint="eastAsia" w:ascii="华文仿宋" w:hAnsi="华文仿宋" w:cs="华文仿宋"/>
          <w:bCs/>
          <w:color w:val="auto"/>
        </w:rPr>
        <w:t>非单一产品采购项目，采购人将根据采购项目技术构成、产品价格比重等因素确定核心产品（可能不止一种），并在招标文件中载明。提供相同品牌的核心产品的不同投标人参加同一合同项下投标的，按以下处理：</w:t>
      </w:r>
    </w:p>
    <w:p w14:paraId="2D21A18A">
      <w:pPr>
        <w:spacing w:line="500" w:lineRule="exact"/>
        <w:ind w:firstLine="566" w:firstLineChars="200"/>
        <w:rPr>
          <w:rFonts w:ascii="华文仿宋" w:hAnsi="华文仿宋" w:cs="华文仿宋"/>
          <w:bCs/>
          <w:color w:val="auto"/>
        </w:rPr>
      </w:pPr>
      <w:r>
        <w:rPr>
          <w:rFonts w:hint="eastAsia" w:ascii="华文仿宋" w:hAnsi="华文仿宋" w:cs="华文仿宋"/>
          <w:bCs/>
          <w:color w:val="auto"/>
        </w:rPr>
        <w:t>（1）采用最低评标价法的采购项目，提供相同品牌核心产品的不同投标人参加同一合同项下投标的，以其中通过资格审查、符合性审查且投标报价最低的参加评标；报价相同的，由评标委员会按照技术方案、售后服务等内容确定一个参加评标的投标人，其他投标无效。</w:t>
      </w:r>
    </w:p>
    <w:p w14:paraId="73EFF9C6">
      <w:pPr>
        <w:spacing w:line="500" w:lineRule="exact"/>
        <w:ind w:firstLine="566" w:firstLineChars="200"/>
        <w:rPr>
          <w:rFonts w:ascii="华文仿宋" w:hAnsi="华文仿宋" w:cs="华文仿宋"/>
          <w:bCs/>
          <w:color w:val="auto"/>
        </w:rPr>
      </w:pPr>
      <w:r>
        <w:rPr>
          <w:rFonts w:hint="eastAsia" w:ascii="华文仿宋" w:hAnsi="华文仿宋" w:cs="华文仿宋"/>
          <w:bCs/>
          <w:color w:val="auto"/>
        </w:rPr>
        <w:t>（2）使用综合评分法的采购项目，提供相同品牌核心产品且通过资格审查、符合性审查的不同投标人参加同一合同项下投标的，按一家投标人计算，评审后得分最高的同品牌投标人获得中标人推荐资格；评审得分相同的，由评标委员会按照投标报价最低的方式确定一个获得中标人推荐资格，其他同品牌投标人不作为中标候选人。</w:t>
      </w:r>
    </w:p>
    <w:p w14:paraId="7838447A">
      <w:pPr>
        <w:spacing w:line="500" w:lineRule="exact"/>
        <w:ind w:firstLine="566" w:firstLineChars="200"/>
        <w:rPr>
          <w:rFonts w:ascii="华文仿宋" w:hAnsi="华文仿宋" w:cs="华文仿宋"/>
          <w:bCs/>
          <w:color w:val="auto"/>
        </w:rPr>
      </w:pPr>
      <w:bookmarkStart w:id="196" w:name="_Toc24108"/>
      <w:bookmarkStart w:id="197" w:name="_Toc3975"/>
      <w:bookmarkStart w:id="198" w:name="_Toc14044"/>
      <w:bookmarkStart w:id="199" w:name="_Toc8711"/>
      <w:r>
        <w:rPr>
          <w:rFonts w:hint="eastAsia" w:ascii="华文仿宋" w:hAnsi="华文仿宋" w:cs="华文仿宋"/>
          <w:bCs/>
          <w:color w:val="auto"/>
        </w:rPr>
        <w:t>（3）核心产品为两个以上时，多家投标人提供的核心产品有部分采用或全部采用相同品牌的，按一家投标人计算。</w:t>
      </w:r>
    </w:p>
    <w:bookmarkEnd w:id="196"/>
    <w:bookmarkEnd w:id="197"/>
    <w:bookmarkEnd w:id="198"/>
    <w:bookmarkEnd w:id="199"/>
    <w:p w14:paraId="21E3D7D4">
      <w:pPr>
        <w:spacing w:line="500" w:lineRule="exact"/>
        <w:ind w:firstLine="566" w:firstLineChars="200"/>
        <w:outlineLvl w:val="1"/>
        <w:rPr>
          <w:rFonts w:ascii="华文仿宋" w:hAnsi="华文仿宋" w:cs="华文仿宋"/>
          <w:b/>
          <w:bCs/>
          <w:color w:val="auto"/>
        </w:rPr>
      </w:pPr>
      <w:bookmarkStart w:id="200" w:name="_Toc2291"/>
      <w:bookmarkEnd w:id="200"/>
      <w:bookmarkStart w:id="201" w:name="_Toc12727"/>
      <w:bookmarkEnd w:id="201"/>
      <w:bookmarkStart w:id="202" w:name="_Toc1065"/>
      <w:bookmarkEnd w:id="202"/>
      <w:bookmarkStart w:id="203" w:name="_Toc28691"/>
      <w:bookmarkEnd w:id="203"/>
      <w:bookmarkStart w:id="204" w:name="_Toc30507"/>
      <w:bookmarkEnd w:id="204"/>
      <w:bookmarkStart w:id="205" w:name="_Toc22662"/>
      <w:bookmarkEnd w:id="205"/>
      <w:bookmarkStart w:id="206" w:name="_Toc20287"/>
      <w:bookmarkEnd w:id="206"/>
      <w:bookmarkStart w:id="207" w:name="_Toc8606"/>
      <w:bookmarkEnd w:id="207"/>
      <w:bookmarkStart w:id="208" w:name="_Toc29723"/>
      <w:bookmarkEnd w:id="208"/>
      <w:r>
        <w:rPr>
          <w:rFonts w:hint="eastAsia" w:ascii="华文仿宋" w:hAnsi="华文仿宋" w:cs="华文仿宋"/>
          <w:b/>
          <w:bCs/>
          <w:color w:val="auto"/>
        </w:rPr>
        <w:t>（八）知识产权与保密事项</w:t>
      </w:r>
    </w:p>
    <w:p w14:paraId="2A170DF9">
      <w:pPr>
        <w:spacing w:line="500" w:lineRule="exact"/>
        <w:ind w:firstLine="566" w:firstLineChars="200"/>
        <w:rPr>
          <w:rFonts w:ascii="华文仿宋" w:cs="Times New Roman"/>
          <w:color w:val="auto"/>
        </w:rPr>
      </w:pPr>
      <w:r>
        <w:rPr>
          <w:rFonts w:ascii="华文仿宋" w:hAnsi="华文仿宋" w:cs="华文仿宋"/>
          <w:color w:val="auto"/>
        </w:rPr>
        <w:t>1</w:t>
      </w:r>
      <w:r>
        <w:rPr>
          <w:rFonts w:hint="eastAsia" w:ascii="华文仿宋" w:hAnsi="华文仿宋" w:cs="华文仿宋"/>
          <w:color w:val="auto"/>
          <w:lang w:val="en-US" w:eastAsia="zh-CN"/>
        </w:rPr>
        <w:t>.</w:t>
      </w:r>
      <w:r>
        <w:rPr>
          <w:rFonts w:hint="eastAsia" w:ascii="华文仿宋" w:hAnsi="华文仿宋" w:cs="华文仿宋"/>
          <w:color w:val="auto"/>
        </w:rPr>
        <w:t>所有涉及知识产权的产品及设计，投标人必须确保采购人拥有其合法的、不受限制的无偿使用权，并免受任何侵权诉讼或索偿，否则，由此产生的一切经济损失和法律责任由投标人承担。</w:t>
      </w:r>
    </w:p>
    <w:p w14:paraId="461937F3">
      <w:pPr>
        <w:spacing w:line="500" w:lineRule="exact"/>
        <w:ind w:firstLine="566" w:firstLineChars="200"/>
        <w:rPr>
          <w:rFonts w:ascii="华文仿宋" w:cs="Times New Roman"/>
          <w:color w:val="auto"/>
        </w:rPr>
      </w:pPr>
      <w:r>
        <w:rPr>
          <w:rFonts w:ascii="华文仿宋" w:hAnsi="华文仿宋" w:cs="华文仿宋"/>
          <w:color w:val="auto"/>
        </w:rPr>
        <w:t>2</w:t>
      </w:r>
      <w:r>
        <w:rPr>
          <w:rFonts w:hint="eastAsia" w:ascii="华文仿宋" w:hAnsi="华文仿宋" w:cs="华文仿宋"/>
          <w:color w:val="auto"/>
          <w:lang w:val="en-US" w:eastAsia="zh-CN"/>
        </w:rPr>
        <w:t>.</w:t>
      </w:r>
      <w:r>
        <w:rPr>
          <w:rFonts w:hint="eastAsia" w:ascii="华文仿宋" w:hAnsi="华文仿宋" w:cs="华文仿宋"/>
          <w:color w:val="auto"/>
        </w:rPr>
        <w:t>由采购人向投标人提供的用户需求书、图纸、样品、模型、模件和所有资料，投标人获得后，应对其保密。除非采购人同意，投标人不得向第三方透露或将其用于本次投标以外的任何用途。开标后，若采购人有要求，投标人须归还采购人认为需保密的文件和资料，并销毁所有相应的备份文件及资料。</w:t>
      </w:r>
    </w:p>
    <w:p w14:paraId="7476B3EC">
      <w:pPr>
        <w:pStyle w:val="3"/>
        <w:spacing w:line="500" w:lineRule="exact"/>
        <w:ind w:firstLine="566" w:firstLineChars="200"/>
        <w:rPr>
          <w:rFonts w:ascii="华文仿宋" w:cs="Times New Roman"/>
          <w:color w:val="auto"/>
          <w:sz w:val="28"/>
          <w:szCs w:val="28"/>
        </w:rPr>
      </w:pPr>
      <w:bookmarkStart w:id="209" w:name="_Toc13630"/>
      <w:bookmarkEnd w:id="209"/>
      <w:bookmarkStart w:id="210" w:name="_Toc7162"/>
      <w:bookmarkEnd w:id="210"/>
      <w:bookmarkStart w:id="211" w:name="_Toc23903"/>
      <w:bookmarkEnd w:id="211"/>
      <w:bookmarkStart w:id="212" w:name="_Toc16987"/>
      <w:bookmarkEnd w:id="212"/>
      <w:bookmarkStart w:id="213" w:name="_Toc20526"/>
      <w:bookmarkEnd w:id="213"/>
      <w:bookmarkStart w:id="214" w:name="_Toc19626"/>
      <w:bookmarkEnd w:id="214"/>
      <w:bookmarkStart w:id="215" w:name="_Toc21178"/>
      <w:bookmarkEnd w:id="215"/>
      <w:bookmarkStart w:id="216" w:name="_Toc3498"/>
      <w:bookmarkEnd w:id="216"/>
      <w:bookmarkStart w:id="217" w:name="_Toc4149"/>
      <w:bookmarkEnd w:id="217"/>
      <w:bookmarkStart w:id="218" w:name="_Toc8480"/>
      <w:bookmarkEnd w:id="218"/>
      <w:bookmarkStart w:id="219" w:name="_Toc18494"/>
      <w:bookmarkEnd w:id="219"/>
      <w:bookmarkStart w:id="220" w:name="_Toc6574"/>
      <w:bookmarkEnd w:id="220"/>
      <w:bookmarkStart w:id="221" w:name="_Toc29889"/>
      <w:bookmarkEnd w:id="221"/>
      <w:r>
        <w:rPr>
          <w:rFonts w:hint="eastAsia" w:ascii="华文仿宋" w:hAnsi="华文仿宋" w:cs="华文仿宋"/>
          <w:color w:val="auto"/>
          <w:sz w:val="28"/>
          <w:szCs w:val="28"/>
        </w:rPr>
        <w:t>（九）投标人的投标费用自理</w:t>
      </w:r>
    </w:p>
    <w:p w14:paraId="531A2817">
      <w:pPr>
        <w:pStyle w:val="3"/>
        <w:spacing w:line="500" w:lineRule="exact"/>
        <w:ind w:firstLine="566" w:firstLineChars="200"/>
        <w:rPr>
          <w:rFonts w:ascii="华文仿宋" w:cs="Times New Roman"/>
          <w:color w:val="auto"/>
          <w:sz w:val="28"/>
          <w:szCs w:val="28"/>
        </w:rPr>
      </w:pPr>
      <w:bookmarkStart w:id="222" w:name="_Toc9087"/>
      <w:bookmarkEnd w:id="222"/>
      <w:bookmarkStart w:id="223" w:name="_Toc17448"/>
      <w:bookmarkEnd w:id="223"/>
      <w:bookmarkStart w:id="224" w:name="_Toc31732"/>
      <w:bookmarkEnd w:id="224"/>
      <w:bookmarkStart w:id="225" w:name="_Toc24881"/>
      <w:bookmarkEnd w:id="225"/>
      <w:bookmarkStart w:id="226" w:name="_Toc1232"/>
      <w:bookmarkEnd w:id="226"/>
      <w:bookmarkStart w:id="227" w:name="_Toc31083"/>
      <w:bookmarkEnd w:id="227"/>
      <w:bookmarkStart w:id="228" w:name="_Toc5403"/>
      <w:bookmarkEnd w:id="228"/>
      <w:bookmarkStart w:id="229" w:name="_Toc8467"/>
      <w:bookmarkEnd w:id="229"/>
      <w:r>
        <w:rPr>
          <w:rFonts w:hint="eastAsia" w:ascii="华文仿宋" w:hAnsi="华文仿宋" w:cs="华文仿宋"/>
          <w:color w:val="auto"/>
          <w:sz w:val="28"/>
          <w:szCs w:val="28"/>
        </w:rPr>
        <w:t>三、招标文件</w:t>
      </w:r>
    </w:p>
    <w:p w14:paraId="7C310883">
      <w:pPr>
        <w:pStyle w:val="3"/>
        <w:spacing w:line="500" w:lineRule="exact"/>
        <w:ind w:firstLine="566" w:firstLineChars="200"/>
        <w:rPr>
          <w:rFonts w:ascii="华文仿宋" w:cs="Times New Roman"/>
          <w:color w:val="auto"/>
          <w:sz w:val="28"/>
          <w:szCs w:val="28"/>
        </w:rPr>
      </w:pPr>
      <w:bookmarkStart w:id="230" w:name="_Toc32304"/>
      <w:bookmarkEnd w:id="230"/>
      <w:bookmarkStart w:id="231" w:name="_Toc14049"/>
      <w:bookmarkEnd w:id="231"/>
      <w:bookmarkStart w:id="232" w:name="_Toc8008"/>
      <w:bookmarkEnd w:id="232"/>
      <w:bookmarkStart w:id="233" w:name="_Toc9775"/>
      <w:bookmarkEnd w:id="233"/>
      <w:bookmarkStart w:id="234" w:name="_Toc24360"/>
      <w:bookmarkEnd w:id="234"/>
      <w:bookmarkStart w:id="235" w:name="_Toc3049"/>
      <w:bookmarkEnd w:id="235"/>
      <w:bookmarkStart w:id="236" w:name="_Toc23378"/>
      <w:bookmarkEnd w:id="236"/>
      <w:bookmarkStart w:id="237" w:name="_Toc27415"/>
      <w:bookmarkEnd w:id="237"/>
      <w:bookmarkStart w:id="238" w:name="_Toc6250"/>
      <w:bookmarkEnd w:id="238"/>
      <w:bookmarkStart w:id="239" w:name="_Toc31765"/>
      <w:bookmarkEnd w:id="239"/>
      <w:bookmarkStart w:id="240" w:name="_Toc12593"/>
      <w:bookmarkEnd w:id="240"/>
      <w:bookmarkStart w:id="241" w:name="_Toc5975"/>
      <w:bookmarkEnd w:id="241"/>
      <w:bookmarkStart w:id="242" w:name="_Toc22248"/>
      <w:bookmarkEnd w:id="242"/>
      <w:r>
        <w:rPr>
          <w:rFonts w:hint="eastAsia" w:ascii="华文仿宋" w:hAnsi="华文仿宋" w:cs="华文仿宋"/>
          <w:color w:val="auto"/>
          <w:sz w:val="28"/>
          <w:szCs w:val="28"/>
        </w:rPr>
        <w:t>（一）招标文件包括下列内容</w:t>
      </w:r>
    </w:p>
    <w:p w14:paraId="564EB237">
      <w:pPr>
        <w:spacing w:line="500" w:lineRule="exact"/>
        <w:ind w:firstLine="566" w:firstLineChars="200"/>
        <w:rPr>
          <w:rFonts w:ascii="华文仿宋" w:cs="Times New Roman"/>
          <w:color w:val="auto"/>
        </w:rPr>
      </w:pPr>
      <w:r>
        <w:rPr>
          <w:rFonts w:hint="eastAsia" w:ascii="华文仿宋" w:hAnsi="华文仿宋" w:cs="华文仿宋"/>
          <w:color w:val="auto"/>
        </w:rPr>
        <w:t>第一章　投标邀请函</w:t>
      </w:r>
    </w:p>
    <w:p w14:paraId="307CBE0E">
      <w:pPr>
        <w:spacing w:line="500" w:lineRule="exact"/>
        <w:ind w:firstLine="566" w:firstLineChars="200"/>
        <w:rPr>
          <w:rFonts w:ascii="华文仿宋" w:cs="Times New Roman"/>
          <w:color w:val="auto"/>
        </w:rPr>
      </w:pPr>
      <w:r>
        <w:rPr>
          <w:rFonts w:hint="eastAsia" w:ascii="华文仿宋" w:hAnsi="华文仿宋" w:cs="华文仿宋"/>
          <w:color w:val="auto"/>
        </w:rPr>
        <w:t>第二章　投标人须知</w:t>
      </w:r>
    </w:p>
    <w:p w14:paraId="63235AC5">
      <w:pPr>
        <w:spacing w:line="500" w:lineRule="exact"/>
        <w:ind w:firstLine="566" w:firstLineChars="200"/>
        <w:rPr>
          <w:rFonts w:ascii="华文仿宋" w:cs="Times New Roman"/>
          <w:color w:val="auto"/>
        </w:rPr>
      </w:pPr>
      <w:r>
        <w:rPr>
          <w:rFonts w:hint="eastAsia" w:ascii="华文仿宋" w:hAnsi="华文仿宋" w:cs="华文仿宋"/>
          <w:color w:val="auto"/>
        </w:rPr>
        <w:t>第三章  评审办法及标准</w:t>
      </w:r>
    </w:p>
    <w:p w14:paraId="5B6283E3">
      <w:pPr>
        <w:spacing w:line="500" w:lineRule="exact"/>
        <w:ind w:firstLine="566" w:firstLineChars="200"/>
        <w:rPr>
          <w:rFonts w:ascii="华文仿宋" w:cs="Times New Roman"/>
          <w:color w:val="auto"/>
        </w:rPr>
      </w:pPr>
      <w:r>
        <w:rPr>
          <w:rFonts w:hint="eastAsia" w:ascii="华文仿宋" w:hAnsi="华文仿宋" w:cs="华文仿宋"/>
          <w:color w:val="auto"/>
        </w:rPr>
        <w:t>第四章　招标内容及采购要求</w:t>
      </w:r>
    </w:p>
    <w:p w14:paraId="27B4A8FB">
      <w:pPr>
        <w:spacing w:line="500" w:lineRule="exact"/>
        <w:ind w:firstLine="566" w:firstLineChars="200"/>
        <w:rPr>
          <w:rFonts w:ascii="华文仿宋" w:cs="Times New Roman"/>
          <w:color w:val="auto"/>
        </w:rPr>
      </w:pPr>
      <w:r>
        <w:rPr>
          <w:rFonts w:hint="eastAsia" w:ascii="华文仿宋" w:hAnsi="华文仿宋" w:cs="华文仿宋"/>
          <w:color w:val="auto"/>
        </w:rPr>
        <w:t>第五章　合同</w:t>
      </w:r>
      <w:r>
        <w:rPr>
          <w:rFonts w:hint="eastAsia" w:ascii="华文仿宋" w:hAnsi="华文仿宋" w:cs="华文仿宋"/>
          <w:color w:val="auto"/>
          <w:lang w:val="en-US" w:eastAsia="zh-CN"/>
        </w:rPr>
        <w:t>草案</w:t>
      </w:r>
      <w:r>
        <w:rPr>
          <w:rFonts w:hint="eastAsia" w:ascii="华文仿宋" w:hAnsi="华文仿宋" w:cs="华文仿宋"/>
          <w:color w:val="auto"/>
        </w:rPr>
        <w:t>条款</w:t>
      </w:r>
    </w:p>
    <w:p w14:paraId="17D0634C">
      <w:pPr>
        <w:spacing w:line="500" w:lineRule="exact"/>
        <w:ind w:firstLine="566" w:firstLineChars="200"/>
        <w:rPr>
          <w:rFonts w:ascii="华文仿宋" w:cs="Times New Roman"/>
          <w:color w:val="auto"/>
        </w:rPr>
      </w:pPr>
      <w:r>
        <w:rPr>
          <w:rFonts w:hint="eastAsia" w:ascii="华文仿宋" w:hAnsi="华文仿宋" w:cs="华文仿宋"/>
          <w:color w:val="auto"/>
        </w:rPr>
        <w:t>第六章　投标文件构成及格式</w:t>
      </w:r>
    </w:p>
    <w:p w14:paraId="2DCC0DB8">
      <w:pPr>
        <w:pStyle w:val="3"/>
        <w:spacing w:line="500" w:lineRule="exact"/>
        <w:ind w:firstLine="566" w:firstLineChars="200"/>
        <w:rPr>
          <w:rFonts w:ascii="华文仿宋" w:cs="Times New Roman"/>
          <w:color w:val="auto"/>
          <w:sz w:val="28"/>
          <w:szCs w:val="28"/>
        </w:rPr>
      </w:pPr>
      <w:bookmarkStart w:id="243" w:name="_Toc4175"/>
      <w:bookmarkEnd w:id="243"/>
      <w:bookmarkStart w:id="244" w:name="_Toc16113"/>
      <w:bookmarkEnd w:id="244"/>
      <w:bookmarkStart w:id="245" w:name="_Toc20821"/>
      <w:bookmarkEnd w:id="245"/>
      <w:bookmarkStart w:id="246" w:name="_Toc19535"/>
      <w:bookmarkEnd w:id="246"/>
      <w:bookmarkStart w:id="247" w:name="_Toc25865"/>
      <w:bookmarkEnd w:id="247"/>
      <w:bookmarkStart w:id="248" w:name="_Toc3956"/>
      <w:bookmarkEnd w:id="248"/>
      <w:bookmarkStart w:id="249" w:name="_Toc31656"/>
      <w:bookmarkEnd w:id="249"/>
      <w:bookmarkStart w:id="250" w:name="_Toc26229"/>
      <w:bookmarkEnd w:id="250"/>
      <w:bookmarkStart w:id="251" w:name="_Toc7074"/>
      <w:bookmarkEnd w:id="251"/>
      <w:bookmarkStart w:id="252" w:name="_Toc16844"/>
      <w:bookmarkEnd w:id="252"/>
      <w:bookmarkStart w:id="253" w:name="_Toc15437"/>
      <w:bookmarkEnd w:id="253"/>
      <w:bookmarkStart w:id="254" w:name="_Toc5020"/>
      <w:bookmarkEnd w:id="254"/>
      <w:bookmarkStart w:id="255" w:name="_Toc17819"/>
      <w:bookmarkEnd w:id="255"/>
      <w:r>
        <w:rPr>
          <w:rFonts w:hint="eastAsia" w:ascii="华文仿宋" w:hAnsi="华文仿宋" w:cs="华文仿宋"/>
          <w:color w:val="auto"/>
          <w:sz w:val="28"/>
          <w:szCs w:val="28"/>
        </w:rPr>
        <w:t>（二）招标文件的检查及阅读</w:t>
      </w:r>
    </w:p>
    <w:p w14:paraId="2FF58704">
      <w:pPr>
        <w:spacing w:line="500" w:lineRule="exact"/>
        <w:ind w:firstLine="566" w:firstLineChars="200"/>
        <w:rPr>
          <w:rFonts w:ascii="华文仿宋" w:cs="Times New Roman"/>
          <w:color w:val="auto"/>
        </w:rPr>
      </w:pPr>
      <w:r>
        <w:rPr>
          <w:rFonts w:hint="eastAsia" w:ascii="华文仿宋" w:hAnsi="华文仿宋" w:cs="华文仿宋"/>
          <w:color w:val="auto"/>
        </w:rPr>
        <w:t>投标人下载招标文件后应仔细阅读检查招标文件中的所有内容，按照招标文件中所列事项、条款、规范要求及格式，在投标文件中对招标文件做出全面的响应，并按招标文件的要求提交全部资料。</w:t>
      </w:r>
    </w:p>
    <w:p w14:paraId="1723417F">
      <w:pPr>
        <w:spacing w:line="500" w:lineRule="exact"/>
        <w:ind w:firstLine="566" w:firstLineChars="200"/>
        <w:rPr>
          <w:rFonts w:ascii="华文仿宋" w:cs="Times New Roman"/>
          <w:color w:val="auto"/>
        </w:rPr>
      </w:pPr>
      <w:r>
        <w:rPr>
          <w:rFonts w:hint="eastAsia" w:ascii="华文仿宋" w:hAnsi="华文仿宋" w:cs="华文仿宋"/>
          <w:color w:val="auto"/>
        </w:rPr>
        <w:t>项目废标后重新组织招标的，</w:t>
      </w:r>
      <w:r>
        <w:rPr>
          <w:rFonts w:hint="eastAsia" w:ascii="华文仿宋" w:hAnsi="华文仿宋" w:cs="华文仿宋"/>
          <w:color w:val="auto"/>
          <w:lang w:eastAsia="zh-CN"/>
        </w:rPr>
        <w:t>中心</w:t>
      </w:r>
      <w:r>
        <w:rPr>
          <w:rFonts w:hint="eastAsia" w:ascii="华文仿宋" w:hAnsi="华文仿宋" w:cs="华文仿宋"/>
          <w:color w:val="auto"/>
        </w:rPr>
        <w:t>将重新编制、发布新版招标文件，投标人应按新版招标文件重新编制投标文件。原招标文件及投标文件失效。</w:t>
      </w:r>
    </w:p>
    <w:p w14:paraId="1BED564C">
      <w:pPr>
        <w:spacing w:line="500" w:lineRule="exact"/>
        <w:ind w:firstLine="566" w:firstLineChars="200"/>
        <w:rPr>
          <w:rFonts w:ascii="华文仿宋" w:cs="Times New Roman"/>
          <w:b/>
          <w:bCs/>
          <w:color w:val="auto"/>
        </w:rPr>
      </w:pPr>
      <w:r>
        <w:rPr>
          <w:rFonts w:hint="eastAsia" w:ascii="华文仿宋" w:hAnsi="华文仿宋" w:cs="华文仿宋"/>
          <w:b/>
          <w:bCs/>
          <w:color w:val="auto"/>
        </w:rPr>
        <w:t>投标文件封面、投标函以及法定代表人授权委托书三处的项目名称、项目编号、标段（如有）应当与最新发布的招标文件保持一致，否则将被视为无效投标文件。</w:t>
      </w:r>
    </w:p>
    <w:p w14:paraId="46B93332">
      <w:pPr>
        <w:pStyle w:val="3"/>
        <w:spacing w:line="500" w:lineRule="exact"/>
        <w:ind w:firstLine="566" w:firstLineChars="200"/>
        <w:rPr>
          <w:rFonts w:ascii="华文仿宋" w:cs="Times New Roman"/>
          <w:color w:val="auto"/>
          <w:sz w:val="28"/>
          <w:szCs w:val="28"/>
        </w:rPr>
      </w:pPr>
      <w:bookmarkStart w:id="256" w:name="_Toc1338"/>
      <w:bookmarkEnd w:id="256"/>
      <w:bookmarkStart w:id="257" w:name="_Toc16661"/>
      <w:bookmarkEnd w:id="257"/>
      <w:bookmarkStart w:id="258" w:name="_Toc9885"/>
      <w:bookmarkEnd w:id="258"/>
      <w:bookmarkStart w:id="259" w:name="_Toc24326"/>
      <w:bookmarkEnd w:id="259"/>
      <w:bookmarkStart w:id="260" w:name="_Toc10780"/>
      <w:bookmarkEnd w:id="260"/>
      <w:bookmarkStart w:id="261" w:name="_Toc566"/>
      <w:bookmarkEnd w:id="261"/>
      <w:bookmarkStart w:id="262" w:name="_Toc9024"/>
      <w:bookmarkEnd w:id="262"/>
      <w:bookmarkStart w:id="263" w:name="_Toc10483"/>
      <w:bookmarkEnd w:id="263"/>
      <w:bookmarkStart w:id="264" w:name="_Toc30151"/>
      <w:bookmarkEnd w:id="264"/>
      <w:bookmarkStart w:id="265" w:name="_Toc1339"/>
      <w:bookmarkEnd w:id="265"/>
      <w:bookmarkStart w:id="266" w:name="_Toc8999"/>
      <w:bookmarkEnd w:id="266"/>
      <w:bookmarkStart w:id="267" w:name="_Toc1970"/>
      <w:bookmarkEnd w:id="267"/>
      <w:bookmarkStart w:id="268" w:name="_Toc1771"/>
      <w:bookmarkEnd w:id="268"/>
      <w:r>
        <w:rPr>
          <w:rFonts w:hint="eastAsia" w:ascii="华文仿宋" w:hAnsi="华文仿宋" w:cs="华文仿宋"/>
          <w:color w:val="auto"/>
          <w:sz w:val="28"/>
          <w:szCs w:val="28"/>
        </w:rPr>
        <w:t>（三）招标文件的修改、澄清</w:t>
      </w:r>
    </w:p>
    <w:p w14:paraId="3C2EC95B">
      <w:pPr>
        <w:spacing w:line="500" w:lineRule="exact"/>
        <w:ind w:firstLine="566" w:firstLineChars="200"/>
        <w:rPr>
          <w:rFonts w:ascii="华文仿宋" w:cs="Times New Roman"/>
          <w:color w:val="auto"/>
        </w:rPr>
      </w:pPr>
      <w:r>
        <w:rPr>
          <w:rFonts w:ascii="华文仿宋" w:hAnsi="华文仿宋" w:cs="华文仿宋"/>
          <w:color w:val="auto"/>
        </w:rPr>
        <w:t>1</w:t>
      </w:r>
      <w:r>
        <w:rPr>
          <w:rFonts w:hint="eastAsia" w:ascii="华文仿宋" w:hAnsi="华文仿宋" w:cs="华文仿宋"/>
          <w:color w:val="auto"/>
          <w:lang w:val="en-US" w:eastAsia="zh-CN"/>
        </w:rPr>
        <w:t>.</w:t>
      </w:r>
      <w:r>
        <w:rPr>
          <w:rFonts w:hint="eastAsia" w:ascii="华文仿宋" w:hAnsi="华文仿宋" w:cs="华文仿宋"/>
          <w:color w:val="auto"/>
        </w:rPr>
        <w:t>在提交投标文件截止之日前，</w:t>
      </w:r>
      <w:r>
        <w:rPr>
          <w:rFonts w:hint="eastAsia" w:ascii="华文仿宋" w:hAnsi="华文仿宋" w:cs="华文仿宋"/>
          <w:color w:val="auto"/>
          <w:lang w:eastAsia="zh-CN"/>
        </w:rPr>
        <w:t>中心</w:t>
      </w:r>
      <w:r>
        <w:rPr>
          <w:rFonts w:hint="eastAsia" w:ascii="华文仿宋" w:hAnsi="华文仿宋" w:cs="华文仿宋"/>
          <w:color w:val="auto"/>
        </w:rPr>
        <w:t>可对已发出的招标文件进行必要的澄清或者修改，澄清或者修改的内容作为招标文件的组成部分。澄清或者修改的内容可能影响投标文件编制的，</w:t>
      </w:r>
      <w:r>
        <w:rPr>
          <w:rFonts w:hint="eastAsia" w:ascii="华文仿宋" w:hAnsi="华文仿宋" w:cs="华文仿宋"/>
          <w:color w:val="auto"/>
          <w:lang w:eastAsia="zh-CN"/>
        </w:rPr>
        <w:t>中心</w:t>
      </w:r>
      <w:r>
        <w:rPr>
          <w:rFonts w:hint="eastAsia" w:ascii="华文仿宋" w:hAnsi="华文仿宋" w:cs="华文仿宋"/>
          <w:color w:val="auto"/>
        </w:rPr>
        <w:t>将在投标截止时间</w:t>
      </w:r>
      <w:r>
        <w:rPr>
          <w:rFonts w:ascii="仿宋" w:hAnsi="仿宋" w:eastAsia="仿宋" w:cs="仿宋"/>
          <w:color w:val="auto"/>
        </w:rPr>
        <w:t>15</w:t>
      </w:r>
      <w:r>
        <w:rPr>
          <w:rFonts w:hint="eastAsia" w:ascii="华文仿宋" w:hAnsi="华文仿宋" w:cs="华文仿宋"/>
          <w:color w:val="auto"/>
        </w:rPr>
        <w:t>日前，在财政部门指定的政府采购信息发布媒体上</w:t>
      </w:r>
      <w:r>
        <w:rPr>
          <w:rFonts w:hint="eastAsia" w:ascii="华文仿宋" w:hAnsi="华文仿宋" w:cs="华文仿宋"/>
          <w:b/>
          <w:bCs/>
          <w:color w:val="auto"/>
        </w:rPr>
        <w:t>发布更正公告</w:t>
      </w:r>
      <w:r>
        <w:rPr>
          <w:rFonts w:hint="eastAsia" w:ascii="华文仿宋" w:hAnsi="华文仿宋" w:cs="华文仿宋"/>
          <w:color w:val="auto"/>
        </w:rPr>
        <w:t>；不足</w:t>
      </w:r>
      <w:r>
        <w:rPr>
          <w:rFonts w:ascii="仿宋" w:hAnsi="仿宋" w:eastAsia="仿宋" w:cs="仿宋"/>
          <w:color w:val="auto"/>
        </w:rPr>
        <w:t>15</w:t>
      </w:r>
      <w:r>
        <w:rPr>
          <w:rFonts w:hint="eastAsia" w:ascii="华文仿宋" w:hAnsi="华文仿宋" w:cs="华文仿宋"/>
          <w:color w:val="auto"/>
        </w:rPr>
        <w:t>日，</w:t>
      </w:r>
      <w:r>
        <w:rPr>
          <w:rFonts w:hint="eastAsia" w:ascii="华文仿宋" w:hAnsi="华文仿宋" w:cs="华文仿宋"/>
          <w:color w:val="auto"/>
          <w:lang w:eastAsia="zh-CN"/>
        </w:rPr>
        <w:t>中心</w:t>
      </w:r>
      <w:r>
        <w:rPr>
          <w:rFonts w:hint="eastAsia" w:ascii="华文仿宋" w:hAnsi="华文仿宋" w:cs="华文仿宋"/>
          <w:color w:val="auto"/>
        </w:rPr>
        <w:t>将顺延提交投标文件的截止时间。</w:t>
      </w:r>
    </w:p>
    <w:p w14:paraId="42B6680B">
      <w:pPr>
        <w:spacing w:line="500" w:lineRule="exact"/>
        <w:ind w:firstLine="566" w:firstLineChars="200"/>
        <w:rPr>
          <w:rFonts w:ascii="华文仿宋" w:cs="Times New Roman"/>
          <w:color w:val="auto"/>
        </w:rPr>
      </w:pPr>
      <w:r>
        <w:rPr>
          <w:rFonts w:ascii="华文仿宋" w:hAnsi="华文仿宋" w:cs="华文仿宋"/>
          <w:color w:val="auto"/>
        </w:rPr>
        <w:t>2</w:t>
      </w:r>
      <w:r>
        <w:rPr>
          <w:rFonts w:hint="eastAsia" w:ascii="华文仿宋" w:hAnsi="华文仿宋" w:cs="华文仿宋"/>
          <w:color w:val="auto"/>
          <w:lang w:val="en-US" w:eastAsia="zh-CN"/>
        </w:rPr>
        <w:t>.</w:t>
      </w:r>
      <w:r>
        <w:rPr>
          <w:rFonts w:hint="eastAsia" w:ascii="华文仿宋" w:hAnsi="华文仿宋" w:cs="华文仿宋"/>
          <w:color w:val="auto"/>
        </w:rPr>
        <w:t>投标人对招标文件提出质疑的，应在招标文件获取之日起</w:t>
      </w:r>
      <w:r>
        <w:rPr>
          <w:rFonts w:ascii="仿宋" w:hAnsi="仿宋" w:eastAsia="仿宋" w:cs="仿宋"/>
          <w:color w:val="auto"/>
        </w:rPr>
        <w:t>7</w:t>
      </w:r>
      <w:r>
        <w:rPr>
          <w:rFonts w:hint="eastAsia" w:ascii="华文仿宋" w:hAnsi="华文仿宋" w:cs="华文仿宋"/>
          <w:color w:val="auto"/>
        </w:rPr>
        <w:t>个工作日内以书面形式提出，采购人以书面形式予以答复；在此之后提出的针对招标文件的质疑为无效质疑。答复的内容可能影响投标文件编制的，</w:t>
      </w:r>
      <w:r>
        <w:rPr>
          <w:rFonts w:hint="eastAsia" w:ascii="华文仿宋" w:hAnsi="华文仿宋" w:cs="华文仿宋"/>
          <w:color w:val="auto"/>
          <w:lang w:eastAsia="zh-CN"/>
        </w:rPr>
        <w:t>中心</w:t>
      </w:r>
      <w:r>
        <w:rPr>
          <w:rFonts w:hint="eastAsia" w:ascii="华文仿宋" w:hAnsi="华文仿宋" w:cs="华文仿宋"/>
          <w:color w:val="auto"/>
        </w:rPr>
        <w:t>将在财政部门指定的政府采购信息发布媒体上</w:t>
      </w:r>
      <w:r>
        <w:rPr>
          <w:rFonts w:hint="eastAsia" w:ascii="华文仿宋" w:hAnsi="华文仿宋" w:cs="华文仿宋"/>
          <w:b/>
          <w:bCs/>
          <w:color w:val="auto"/>
        </w:rPr>
        <w:t>发布更正公告</w:t>
      </w:r>
      <w:r>
        <w:rPr>
          <w:rFonts w:hint="eastAsia" w:ascii="华文仿宋" w:hAnsi="华文仿宋" w:cs="华文仿宋"/>
          <w:color w:val="auto"/>
        </w:rPr>
        <w:t>。</w:t>
      </w:r>
    </w:p>
    <w:p w14:paraId="6EA97C26">
      <w:pPr>
        <w:spacing w:line="500" w:lineRule="exact"/>
        <w:ind w:firstLine="566" w:firstLineChars="200"/>
        <w:rPr>
          <w:rFonts w:ascii="华文仿宋" w:cs="Times New Roman"/>
          <w:color w:val="auto"/>
        </w:rPr>
      </w:pPr>
      <w:r>
        <w:rPr>
          <w:rFonts w:ascii="华文仿宋" w:hAnsi="华文仿宋" w:cs="华文仿宋"/>
          <w:color w:val="auto"/>
        </w:rPr>
        <w:t>3</w:t>
      </w:r>
      <w:r>
        <w:rPr>
          <w:rFonts w:hint="eastAsia" w:ascii="华文仿宋" w:hAnsi="华文仿宋" w:cs="华文仿宋"/>
          <w:color w:val="auto"/>
          <w:lang w:val="en-US" w:eastAsia="zh-CN"/>
        </w:rPr>
        <w:t>.</w:t>
      </w:r>
      <w:r>
        <w:rPr>
          <w:rFonts w:hint="eastAsia" w:ascii="华文仿宋" w:hAnsi="华文仿宋" w:cs="华文仿宋"/>
          <w:color w:val="auto"/>
        </w:rPr>
        <w:t>各投标人在提交投标文件截止时间之前，应随时关注下列地址发布的更正公告，也可登录全国公共资源交易平台（陕西省）政府采购交易系统查看左上角的信息提醒，</w:t>
      </w:r>
      <w:r>
        <w:rPr>
          <w:rFonts w:hint="eastAsia" w:ascii="华文仿宋" w:hAnsi="华文仿宋" w:cs="华文仿宋"/>
          <w:color w:val="auto"/>
          <w:lang w:eastAsia="zh-CN"/>
        </w:rPr>
        <w:t>中心</w:t>
      </w:r>
      <w:r>
        <w:rPr>
          <w:rFonts w:hint="eastAsia" w:ascii="华文仿宋" w:hAnsi="华文仿宋" w:cs="华文仿宋"/>
          <w:b/>
          <w:bCs/>
          <w:color w:val="auto"/>
        </w:rPr>
        <w:t>不再单独通知，因投标人未及时关注所造成的一切后果由投标人自行承担：</w:t>
      </w:r>
    </w:p>
    <w:p w14:paraId="5F156A19">
      <w:pPr>
        <w:spacing w:line="500" w:lineRule="exact"/>
        <w:ind w:firstLine="566" w:firstLineChars="200"/>
        <w:rPr>
          <w:rFonts w:ascii="华文仿宋" w:cs="Times New Roman"/>
          <w:color w:val="auto"/>
        </w:rPr>
      </w:pPr>
      <w:r>
        <w:rPr>
          <w:rFonts w:hint="eastAsia" w:ascii="华文仿宋" w:hAnsi="华文仿宋" w:cs="华文仿宋"/>
          <w:color w:val="auto"/>
        </w:rPr>
        <w:t>（</w:t>
      </w:r>
      <w:r>
        <w:rPr>
          <w:rFonts w:ascii="华文仿宋" w:hAnsi="华文仿宋" w:cs="华文仿宋"/>
          <w:color w:val="auto"/>
        </w:rPr>
        <w:t>1</w:t>
      </w:r>
      <w:r>
        <w:rPr>
          <w:rFonts w:hint="eastAsia" w:ascii="华文仿宋" w:hAnsi="华文仿宋" w:cs="华文仿宋"/>
          <w:color w:val="auto"/>
        </w:rPr>
        <w:t>）【</w:t>
      </w:r>
      <w:r>
        <w:rPr>
          <w:color w:val="auto"/>
        </w:rPr>
        <w:fldChar w:fldCharType="begin"/>
      </w:r>
      <w:r>
        <w:rPr>
          <w:color w:val="auto"/>
        </w:rPr>
        <w:instrText xml:space="preserve"> HYPERLINK "http://www.ccgp-shaanxi.gov.cn" </w:instrText>
      </w:r>
      <w:r>
        <w:rPr>
          <w:color w:val="auto"/>
        </w:rPr>
        <w:fldChar w:fldCharType="separate"/>
      </w:r>
      <w:r>
        <w:rPr>
          <w:rStyle w:val="40"/>
          <w:rFonts w:hint="eastAsia" w:ascii="华文仿宋" w:hAnsi="华文仿宋" w:cs="华文仿宋"/>
          <w:color w:val="auto"/>
          <w:sz w:val="28"/>
          <w:szCs w:val="28"/>
        </w:rPr>
        <w:t>陕西省政府采购网</w:t>
      </w:r>
      <w:r>
        <w:rPr>
          <w:rStyle w:val="40"/>
          <w:rFonts w:hint="eastAsia" w:ascii="华文仿宋" w:hAnsi="华文仿宋" w:cs="华文仿宋"/>
          <w:color w:val="auto"/>
          <w:sz w:val="28"/>
          <w:szCs w:val="28"/>
        </w:rPr>
        <w:fldChar w:fldCharType="end"/>
      </w:r>
      <w:r>
        <w:rPr>
          <w:rFonts w:hint="eastAsia" w:ascii="华文仿宋" w:hAnsi="华文仿宋" w:cs="华文仿宋"/>
          <w:color w:val="auto"/>
        </w:rPr>
        <w:t>（www.ccgp-shaanxi.gov.cn）】中的〖首页·〉</w:t>
      </w:r>
      <w:r>
        <w:rPr>
          <w:rFonts w:hint="eastAsia" w:ascii="华文仿宋" w:hAnsi="华文仿宋" w:cs="华文仿宋"/>
          <w:color w:val="auto"/>
          <w:lang w:val="en-US" w:eastAsia="zh-CN"/>
        </w:rPr>
        <w:t>市级</w:t>
      </w:r>
      <w:r>
        <w:rPr>
          <w:rFonts w:hint="eastAsia" w:ascii="华文仿宋" w:hAnsi="华文仿宋" w:cs="华文仿宋"/>
          <w:color w:val="auto"/>
        </w:rPr>
        <w:t>公告·〉更正公告〗；</w:t>
      </w:r>
    </w:p>
    <w:p w14:paraId="31D170D3">
      <w:pPr>
        <w:spacing w:line="500" w:lineRule="exact"/>
        <w:ind w:firstLine="566" w:firstLineChars="200"/>
        <w:rPr>
          <w:rFonts w:ascii="华文仿宋" w:cs="Times New Roman"/>
          <w:color w:val="auto"/>
        </w:rPr>
      </w:pPr>
      <w:r>
        <w:rPr>
          <w:rFonts w:hint="eastAsia" w:ascii="华文仿宋" w:hAnsi="华文仿宋" w:cs="华文仿宋"/>
          <w:color w:val="auto"/>
        </w:rPr>
        <w:t>（</w:t>
      </w:r>
      <w:r>
        <w:rPr>
          <w:rFonts w:hint="eastAsia" w:ascii="华文仿宋" w:hAnsi="华文仿宋" w:cs="华文仿宋"/>
          <w:color w:val="auto"/>
          <w:lang w:val="en-US" w:eastAsia="zh-CN"/>
        </w:rPr>
        <w:t>2</w:t>
      </w:r>
      <w:r>
        <w:rPr>
          <w:rFonts w:hint="eastAsia" w:ascii="华文仿宋" w:hAnsi="华文仿宋" w:cs="华文仿宋"/>
          <w:color w:val="auto"/>
        </w:rPr>
        <w:t>）【</w:t>
      </w:r>
      <w:r>
        <w:rPr>
          <w:rFonts w:hint="eastAsia" w:ascii="华文仿宋" w:hAnsi="华文仿宋" w:cs="华文仿宋"/>
          <w:color w:val="auto"/>
          <w:kern w:val="0"/>
        </w:rPr>
        <w:t>全国公共资源交易平台（陕西省·延安市）（ http://ya.sxggzyjy.cn/</w:t>
      </w:r>
      <w:r>
        <w:rPr>
          <w:rFonts w:hint="eastAsia" w:ascii="华文仿宋" w:hAnsi="华文仿宋" w:cs="华文仿宋"/>
          <w:color w:val="auto"/>
          <w:kern w:val="0"/>
          <w:lang w:val="en-US" w:eastAsia="zh-CN"/>
        </w:rPr>
        <w:t xml:space="preserve"> </w:t>
      </w:r>
      <w:r>
        <w:rPr>
          <w:rFonts w:hint="eastAsia" w:ascii="华文仿宋" w:hAnsi="华文仿宋" w:cs="华文仿宋"/>
          <w:color w:val="auto"/>
          <w:kern w:val="0"/>
        </w:rPr>
        <w:t>）</w:t>
      </w:r>
      <w:r>
        <w:rPr>
          <w:rFonts w:hint="eastAsia" w:ascii="华文仿宋" w:hAnsi="华文仿宋" w:cs="华文仿宋"/>
          <w:color w:val="auto"/>
        </w:rPr>
        <w:t>】中的〖首页·〉交易大厅·〉政府采购〗。</w:t>
      </w:r>
    </w:p>
    <w:p w14:paraId="080C3542">
      <w:pPr>
        <w:pStyle w:val="3"/>
        <w:spacing w:line="500" w:lineRule="exact"/>
        <w:ind w:firstLine="566" w:firstLineChars="200"/>
        <w:rPr>
          <w:rFonts w:hint="eastAsia" w:ascii="华文仿宋" w:eastAsia="华文仿宋" w:cs="Times New Roman"/>
          <w:color w:val="auto"/>
          <w:sz w:val="28"/>
          <w:szCs w:val="28"/>
          <w:lang w:eastAsia="zh-CN"/>
        </w:rPr>
      </w:pPr>
      <w:bookmarkStart w:id="269" w:name="_Toc1163"/>
      <w:bookmarkEnd w:id="269"/>
      <w:bookmarkStart w:id="270" w:name="_Toc8608"/>
      <w:bookmarkEnd w:id="270"/>
      <w:bookmarkStart w:id="271" w:name="_Toc26971"/>
      <w:bookmarkEnd w:id="271"/>
      <w:bookmarkStart w:id="272" w:name="_Toc8892"/>
      <w:bookmarkEnd w:id="272"/>
      <w:bookmarkStart w:id="273" w:name="_Toc31173"/>
      <w:bookmarkEnd w:id="273"/>
      <w:bookmarkStart w:id="274" w:name="_Toc32685"/>
      <w:bookmarkEnd w:id="274"/>
      <w:bookmarkStart w:id="275" w:name="_Toc6050"/>
      <w:bookmarkEnd w:id="275"/>
      <w:bookmarkStart w:id="276" w:name="_Toc3288"/>
      <w:bookmarkEnd w:id="276"/>
      <w:bookmarkStart w:id="277" w:name="_Toc5846"/>
      <w:bookmarkEnd w:id="277"/>
      <w:bookmarkStart w:id="278" w:name="_Toc27253"/>
      <w:bookmarkEnd w:id="278"/>
      <w:bookmarkStart w:id="279" w:name="_Toc9356"/>
      <w:bookmarkEnd w:id="279"/>
      <w:bookmarkStart w:id="280" w:name="_Toc29481"/>
      <w:bookmarkEnd w:id="280"/>
      <w:bookmarkStart w:id="281" w:name="_Toc13477"/>
      <w:bookmarkEnd w:id="281"/>
      <w:r>
        <w:rPr>
          <w:rFonts w:hint="eastAsia" w:ascii="华文仿宋" w:hAnsi="华文仿宋" w:cs="华文仿宋"/>
          <w:color w:val="auto"/>
          <w:sz w:val="28"/>
          <w:szCs w:val="28"/>
        </w:rPr>
        <w:t>（四）招标文件的解释权归</w:t>
      </w:r>
      <w:r>
        <w:rPr>
          <w:rFonts w:hint="eastAsia" w:ascii="华文仿宋" w:hAnsi="华文仿宋" w:cs="华文仿宋"/>
          <w:color w:val="auto"/>
          <w:sz w:val="28"/>
          <w:szCs w:val="28"/>
          <w:lang w:eastAsia="zh-CN"/>
        </w:rPr>
        <w:t>中心。</w:t>
      </w:r>
    </w:p>
    <w:p w14:paraId="28D49EB4">
      <w:pPr>
        <w:pStyle w:val="3"/>
        <w:spacing w:line="500" w:lineRule="exact"/>
        <w:ind w:firstLine="566" w:firstLineChars="200"/>
        <w:rPr>
          <w:rFonts w:ascii="华文仿宋" w:cs="Times New Roman"/>
          <w:color w:val="auto"/>
          <w:sz w:val="28"/>
          <w:szCs w:val="28"/>
        </w:rPr>
      </w:pPr>
      <w:bookmarkStart w:id="282" w:name="_Toc3628"/>
      <w:bookmarkEnd w:id="282"/>
      <w:bookmarkStart w:id="283" w:name="_Toc29501"/>
      <w:bookmarkEnd w:id="283"/>
      <w:bookmarkStart w:id="284" w:name="_Toc6147"/>
      <w:bookmarkEnd w:id="284"/>
      <w:bookmarkStart w:id="285" w:name="_Toc28325"/>
      <w:bookmarkEnd w:id="285"/>
      <w:bookmarkStart w:id="286" w:name="_Toc2063"/>
      <w:bookmarkEnd w:id="286"/>
      <w:bookmarkStart w:id="287" w:name="_Toc14166"/>
      <w:bookmarkEnd w:id="287"/>
      <w:bookmarkStart w:id="288" w:name="_Toc422"/>
      <w:bookmarkEnd w:id="288"/>
      <w:bookmarkStart w:id="289" w:name="_Toc25753"/>
      <w:bookmarkEnd w:id="289"/>
      <w:bookmarkStart w:id="290" w:name="_Toc16758"/>
      <w:bookmarkEnd w:id="290"/>
      <w:bookmarkStart w:id="291" w:name="_Toc15825"/>
      <w:bookmarkEnd w:id="291"/>
      <w:bookmarkStart w:id="292" w:name="_Toc6952"/>
      <w:bookmarkEnd w:id="292"/>
      <w:bookmarkStart w:id="293" w:name="_Toc5567"/>
      <w:bookmarkEnd w:id="293"/>
      <w:r>
        <w:rPr>
          <w:rFonts w:hint="eastAsia" w:ascii="华文仿宋" w:hAnsi="华文仿宋" w:cs="华文仿宋"/>
          <w:color w:val="auto"/>
          <w:sz w:val="28"/>
          <w:szCs w:val="28"/>
        </w:rPr>
        <w:t>四、投标报价</w:t>
      </w:r>
    </w:p>
    <w:p w14:paraId="03F42B41">
      <w:pPr>
        <w:spacing w:line="500" w:lineRule="exact"/>
        <w:ind w:firstLine="566" w:firstLineChars="200"/>
        <w:rPr>
          <w:rFonts w:ascii="华文仿宋" w:cs="Times New Roman"/>
          <w:color w:val="auto"/>
        </w:rPr>
      </w:pPr>
      <w:r>
        <w:rPr>
          <w:rFonts w:hint="eastAsia" w:ascii="华文仿宋" w:hAnsi="华文仿宋" w:cs="华文仿宋"/>
          <w:color w:val="auto"/>
        </w:rPr>
        <w:t>投标报价是投标人响应招标项目要求的全部工作内容的价格体现，包括完成采购内容所需的直接费、间接费、利润、税金及其它相关的一切费用。投标人在报价时应充分考虑所有可能发生的费用，招标文件未列明，而投标人认为应当计取的费用均应列入报价中。报价时不论是否计取，采购人均按已计取对待。</w:t>
      </w:r>
    </w:p>
    <w:p w14:paraId="1B6ED454">
      <w:pPr>
        <w:spacing w:line="500" w:lineRule="exact"/>
        <w:ind w:firstLine="566" w:firstLineChars="200"/>
        <w:rPr>
          <w:rFonts w:ascii="华文仿宋" w:cs="Times New Roman"/>
          <w:color w:val="auto"/>
        </w:rPr>
      </w:pPr>
      <w:r>
        <w:rPr>
          <w:rFonts w:hint="eastAsia" w:ascii="华文仿宋" w:hAnsi="华文仿宋" w:cs="华文仿宋"/>
          <w:color w:val="auto"/>
        </w:rPr>
        <w:t>（一）投标人应严格按照《投标文件构成及格式》中《开标一览表》中的相关要求填写分类报价及其他需要响应的内容。</w:t>
      </w:r>
    </w:p>
    <w:p w14:paraId="16B90CC0">
      <w:pPr>
        <w:spacing w:line="500" w:lineRule="exact"/>
        <w:ind w:firstLine="566" w:firstLineChars="200"/>
        <w:rPr>
          <w:rFonts w:ascii="华文仿宋" w:cs="Times New Roman"/>
          <w:color w:val="auto"/>
        </w:rPr>
      </w:pPr>
      <w:r>
        <w:rPr>
          <w:rFonts w:hint="eastAsia" w:ascii="华文仿宋" w:hAnsi="华文仿宋" w:cs="华文仿宋"/>
          <w:color w:val="auto"/>
        </w:rPr>
        <w:t>（二）投标报价货币：</w:t>
      </w:r>
      <w:r>
        <w:rPr>
          <w:rFonts w:hint="eastAsia" w:ascii="华文仿宋" w:hAnsi="华文仿宋" w:cs="华文仿宋"/>
          <w:b/>
          <w:bCs/>
          <w:color w:val="auto"/>
        </w:rPr>
        <w:t>人民币</w:t>
      </w:r>
      <w:r>
        <w:rPr>
          <w:rFonts w:hint="eastAsia" w:ascii="华文仿宋" w:hAnsi="华文仿宋" w:cs="华文仿宋"/>
          <w:color w:val="auto"/>
        </w:rPr>
        <w:t>；单位：</w:t>
      </w:r>
      <w:r>
        <w:rPr>
          <w:rFonts w:hint="eastAsia" w:ascii="华文仿宋" w:hAnsi="华文仿宋" w:cs="华文仿宋"/>
          <w:b/>
          <w:bCs/>
          <w:color w:val="auto"/>
        </w:rPr>
        <w:t>元</w:t>
      </w:r>
      <w:r>
        <w:rPr>
          <w:rFonts w:hint="eastAsia" w:ascii="华文仿宋" w:hAnsi="华文仿宋" w:cs="华文仿宋"/>
          <w:color w:val="auto"/>
        </w:rPr>
        <w:t>，</w:t>
      </w:r>
      <w:r>
        <w:rPr>
          <w:rFonts w:hint="eastAsia" w:ascii="华文仿宋" w:hAnsi="华文仿宋" w:cs="华文仿宋"/>
          <w:b/>
          <w:bCs/>
          <w:color w:val="auto"/>
        </w:rPr>
        <w:t>保留到元。</w:t>
      </w:r>
    </w:p>
    <w:p w14:paraId="3922BA77">
      <w:pPr>
        <w:spacing w:line="500" w:lineRule="exact"/>
        <w:ind w:firstLine="566" w:firstLineChars="200"/>
        <w:rPr>
          <w:rFonts w:ascii="华文仿宋" w:cs="Times New Roman"/>
          <w:color w:val="auto"/>
        </w:rPr>
      </w:pPr>
      <w:r>
        <w:rPr>
          <w:rFonts w:hint="eastAsia" w:ascii="华文仿宋" w:hAnsi="华文仿宋" w:cs="华文仿宋"/>
          <w:color w:val="auto"/>
        </w:rPr>
        <w:t>（三）投标报价只能提交唯一报价，并且在合同履行过程中是固定不变的，任何有选择的报价将不予接受，按无效投标处理。</w:t>
      </w:r>
    </w:p>
    <w:p w14:paraId="6CDF1B3F">
      <w:pPr>
        <w:spacing w:line="500" w:lineRule="exact"/>
        <w:ind w:firstLine="566" w:firstLineChars="200"/>
        <w:rPr>
          <w:rFonts w:ascii="华文仿宋" w:cs="Times New Roman"/>
          <w:color w:val="auto"/>
        </w:rPr>
      </w:pPr>
      <w:r>
        <w:rPr>
          <w:rFonts w:hint="eastAsia" w:ascii="华文仿宋" w:hAnsi="华文仿宋" w:cs="华文仿宋"/>
          <w:color w:val="auto"/>
        </w:rPr>
        <w:t>（四）投标文件报价出现前后不一致的，除招标文件另有规定外，按照下列规定修正：</w:t>
      </w:r>
    </w:p>
    <w:p w14:paraId="082A3FA3">
      <w:pPr>
        <w:spacing w:line="500" w:lineRule="exact"/>
        <w:ind w:firstLine="566" w:firstLineChars="200"/>
        <w:rPr>
          <w:rFonts w:ascii="华文仿宋" w:cs="Times New Roman"/>
          <w:color w:val="auto"/>
        </w:rPr>
      </w:pPr>
      <w:r>
        <w:rPr>
          <w:rFonts w:ascii="华文仿宋" w:hAnsi="华文仿宋" w:cs="华文仿宋"/>
          <w:color w:val="auto"/>
        </w:rPr>
        <w:t>1</w:t>
      </w:r>
      <w:r>
        <w:rPr>
          <w:rFonts w:hint="eastAsia" w:ascii="华文仿宋" w:hAnsi="华文仿宋" w:cs="华文仿宋"/>
          <w:color w:val="auto"/>
          <w:lang w:val="en-US" w:eastAsia="zh-CN"/>
        </w:rPr>
        <w:t>.</w:t>
      </w:r>
      <w:r>
        <w:rPr>
          <w:rFonts w:hint="eastAsia" w:ascii="华文仿宋" w:hAnsi="华文仿宋" w:cs="华文仿宋"/>
          <w:color w:val="auto"/>
        </w:rPr>
        <w:t>投标文件中开标一览表内容与投标文件中相应内容不一致的，以开标一览表为准；</w:t>
      </w:r>
    </w:p>
    <w:p w14:paraId="0119EF0E">
      <w:pPr>
        <w:spacing w:line="500" w:lineRule="exact"/>
        <w:ind w:firstLine="566" w:firstLineChars="200"/>
        <w:rPr>
          <w:rFonts w:ascii="华文仿宋" w:cs="Times New Roman"/>
          <w:color w:val="auto"/>
        </w:rPr>
      </w:pPr>
      <w:r>
        <w:rPr>
          <w:rFonts w:ascii="华文仿宋" w:hAnsi="华文仿宋" w:cs="华文仿宋"/>
          <w:color w:val="auto"/>
        </w:rPr>
        <w:t>2</w:t>
      </w:r>
      <w:r>
        <w:rPr>
          <w:rFonts w:hint="eastAsia" w:ascii="华文仿宋" w:hAnsi="华文仿宋" w:cs="华文仿宋"/>
          <w:color w:val="auto"/>
          <w:lang w:val="en-US" w:eastAsia="zh-CN"/>
        </w:rPr>
        <w:t>.</w:t>
      </w:r>
      <w:r>
        <w:rPr>
          <w:rFonts w:hint="eastAsia" w:ascii="华文仿宋" w:hAnsi="华文仿宋" w:cs="华文仿宋"/>
          <w:color w:val="auto"/>
        </w:rPr>
        <w:t>大写金额和小写金额不一致的，以大写金额为准；</w:t>
      </w:r>
    </w:p>
    <w:p w14:paraId="28C3E6EF">
      <w:pPr>
        <w:spacing w:line="500" w:lineRule="exact"/>
        <w:ind w:firstLine="566" w:firstLineChars="200"/>
        <w:rPr>
          <w:rFonts w:ascii="华文仿宋" w:cs="Times New Roman"/>
          <w:color w:val="auto"/>
        </w:rPr>
      </w:pPr>
      <w:r>
        <w:rPr>
          <w:rFonts w:ascii="华文仿宋" w:hAnsi="华文仿宋" w:cs="华文仿宋"/>
          <w:color w:val="auto"/>
        </w:rPr>
        <w:t>3</w:t>
      </w:r>
      <w:r>
        <w:rPr>
          <w:rFonts w:hint="eastAsia" w:ascii="华文仿宋" w:hAnsi="华文仿宋" w:cs="华文仿宋"/>
          <w:color w:val="auto"/>
          <w:lang w:val="en-US" w:eastAsia="zh-CN"/>
        </w:rPr>
        <w:t>.</w:t>
      </w:r>
      <w:r>
        <w:rPr>
          <w:rFonts w:hint="eastAsia" w:ascii="华文仿宋" w:hAnsi="华文仿宋" w:cs="华文仿宋"/>
          <w:color w:val="auto"/>
        </w:rPr>
        <w:t>单价金额小数点或者百分比有明显错位的，以开标一览表的总价为准，并修改单价；</w:t>
      </w:r>
    </w:p>
    <w:p w14:paraId="7C7E73BA">
      <w:pPr>
        <w:spacing w:line="500" w:lineRule="exact"/>
        <w:ind w:firstLine="566" w:firstLineChars="200"/>
        <w:rPr>
          <w:rFonts w:ascii="华文仿宋" w:cs="Times New Roman"/>
          <w:color w:val="auto"/>
        </w:rPr>
      </w:pPr>
      <w:r>
        <w:rPr>
          <w:rFonts w:ascii="华文仿宋" w:hAnsi="华文仿宋" w:cs="华文仿宋"/>
          <w:color w:val="auto"/>
        </w:rPr>
        <w:t>4</w:t>
      </w:r>
      <w:r>
        <w:rPr>
          <w:rFonts w:hint="eastAsia" w:ascii="华文仿宋" w:hAnsi="华文仿宋" w:cs="华文仿宋"/>
          <w:color w:val="auto"/>
          <w:lang w:val="en-US" w:eastAsia="zh-CN"/>
        </w:rPr>
        <w:t>.</w:t>
      </w:r>
      <w:r>
        <w:rPr>
          <w:rFonts w:hint="eastAsia" w:ascii="华文仿宋" w:hAnsi="华文仿宋" w:cs="华文仿宋"/>
          <w:color w:val="auto"/>
        </w:rPr>
        <w:t>总价金额与按单价汇总金额不一致的，以单价金额计算结果为准；</w:t>
      </w:r>
    </w:p>
    <w:p w14:paraId="2E98AB8C">
      <w:pPr>
        <w:spacing w:line="500" w:lineRule="exact"/>
        <w:ind w:firstLine="566" w:firstLineChars="200"/>
        <w:rPr>
          <w:rFonts w:ascii="华文仿宋" w:cs="Times New Roman"/>
          <w:b/>
          <w:bCs/>
          <w:color w:val="auto"/>
        </w:rPr>
      </w:pPr>
      <w:r>
        <w:rPr>
          <w:rFonts w:hint="eastAsia" w:ascii="华文仿宋" w:hAnsi="华文仿宋" w:cs="华文仿宋"/>
          <w:color w:val="auto"/>
        </w:rPr>
        <w:t>同时出现两种以上不一致的，按照前款规定的顺序修正。</w:t>
      </w:r>
      <w:r>
        <w:rPr>
          <w:rFonts w:hint="eastAsia" w:ascii="华文仿宋" w:hAnsi="华文仿宋" w:cs="华文仿宋"/>
          <w:b/>
          <w:bCs/>
          <w:color w:val="auto"/>
        </w:rPr>
        <w:t>修正后的报价经投标人确认后产生约束力，投标人不确认的，其投标无效。</w:t>
      </w:r>
    </w:p>
    <w:p w14:paraId="34DEBF4D">
      <w:pPr>
        <w:spacing w:line="500" w:lineRule="exact"/>
        <w:ind w:firstLine="566" w:firstLineChars="200"/>
        <w:rPr>
          <w:rFonts w:ascii="华文仿宋" w:cs="Times New Roman"/>
          <w:color w:val="auto"/>
        </w:rPr>
      </w:pPr>
      <w:r>
        <w:rPr>
          <w:rFonts w:hint="eastAsia" w:ascii="华文仿宋" w:hAnsi="华文仿宋" w:cs="华文仿宋"/>
          <w:color w:val="auto"/>
        </w:rPr>
        <w:t>（五）因投标人对招标文件理解不透、误解、疏漏或对市场行情了解不清造成的后果和风险，均由投标人自己负责。</w:t>
      </w:r>
    </w:p>
    <w:p w14:paraId="7BEE2FD5">
      <w:pPr>
        <w:pStyle w:val="3"/>
        <w:spacing w:line="500" w:lineRule="exact"/>
        <w:ind w:firstLine="566" w:firstLineChars="200"/>
        <w:rPr>
          <w:rFonts w:ascii="华文仿宋" w:cs="Times New Roman"/>
          <w:color w:val="auto"/>
          <w:sz w:val="28"/>
          <w:szCs w:val="28"/>
        </w:rPr>
      </w:pPr>
      <w:bookmarkStart w:id="294" w:name="_Toc14211"/>
      <w:bookmarkEnd w:id="294"/>
      <w:bookmarkStart w:id="295" w:name="_Toc6672"/>
      <w:bookmarkEnd w:id="295"/>
      <w:bookmarkStart w:id="296" w:name="_Toc17379"/>
      <w:bookmarkEnd w:id="296"/>
      <w:bookmarkStart w:id="297" w:name="_Toc17633"/>
      <w:bookmarkEnd w:id="297"/>
      <w:bookmarkStart w:id="298" w:name="_Toc11155"/>
      <w:bookmarkEnd w:id="298"/>
      <w:bookmarkStart w:id="299" w:name="_Toc10029"/>
      <w:bookmarkEnd w:id="299"/>
      <w:bookmarkStart w:id="300" w:name="_Toc9280"/>
      <w:bookmarkEnd w:id="300"/>
      <w:bookmarkStart w:id="301" w:name="_Toc28510"/>
      <w:bookmarkEnd w:id="301"/>
      <w:r>
        <w:rPr>
          <w:rFonts w:hint="eastAsia" w:ascii="华文仿宋" w:hAnsi="华文仿宋" w:cs="华文仿宋"/>
          <w:color w:val="auto"/>
          <w:sz w:val="28"/>
          <w:szCs w:val="28"/>
        </w:rPr>
        <w:t>五、投标文件</w:t>
      </w:r>
    </w:p>
    <w:p w14:paraId="2913B261">
      <w:pPr>
        <w:pStyle w:val="3"/>
        <w:spacing w:line="500" w:lineRule="exact"/>
        <w:ind w:firstLine="566" w:firstLineChars="200"/>
        <w:rPr>
          <w:rFonts w:ascii="华文仿宋" w:cs="Times New Roman"/>
          <w:color w:val="auto"/>
          <w:sz w:val="28"/>
          <w:szCs w:val="28"/>
        </w:rPr>
      </w:pPr>
      <w:bookmarkStart w:id="302" w:name="_Toc18892"/>
      <w:bookmarkEnd w:id="302"/>
      <w:bookmarkStart w:id="303" w:name="_Toc9782"/>
      <w:bookmarkEnd w:id="303"/>
      <w:bookmarkStart w:id="304" w:name="_Toc1832"/>
      <w:bookmarkEnd w:id="304"/>
      <w:bookmarkStart w:id="305" w:name="_Toc30911"/>
      <w:bookmarkEnd w:id="305"/>
      <w:bookmarkStart w:id="306" w:name="_Toc10242"/>
      <w:bookmarkEnd w:id="306"/>
      <w:bookmarkStart w:id="307" w:name="_Toc4108"/>
      <w:bookmarkEnd w:id="307"/>
      <w:bookmarkStart w:id="308" w:name="_Toc26923"/>
      <w:bookmarkEnd w:id="308"/>
      <w:bookmarkStart w:id="309" w:name="_Toc7897"/>
      <w:bookmarkEnd w:id="309"/>
      <w:bookmarkStart w:id="310" w:name="_Toc4717"/>
      <w:bookmarkEnd w:id="310"/>
      <w:bookmarkStart w:id="311" w:name="_Toc19870"/>
      <w:bookmarkEnd w:id="311"/>
      <w:bookmarkStart w:id="312" w:name="_Toc11839"/>
      <w:bookmarkEnd w:id="312"/>
      <w:bookmarkStart w:id="313" w:name="_Toc31454"/>
      <w:bookmarkEnd w:id="313"/>
      <w:bookmarkStart w:id="314" w:name="_Toc14317"/>
      <w:bookmarkEnd w:id="314"/>
      <w:r>
        <w:rPr>
          <w:rFonts w:hint="eastAsia" w:ascii="华文仿宋" w:hAnsi="华文仿宋" w:cs="华文仿宋"/>
          <w:color w:val="auto"/>
          <w:sz w:val="28"/>
          <w:szCs w:val="28"/>
        </w:rPr>
        <w:t>（一）投标文件形式</w:t>
      </w:r>
    </w:p>
    <w:p w14:paraId="0FDE3C9E">
      <w:pPr>
        <w:spacing w:line="500" w:lineRule="exact"/>
        <w:ind w:firstLine="566" w:firstLineChars="200"/>
        <w:rPr>
          <w:rFonts w:ascii="华文仿宋" w:cs="Times New Roman"/>
          <w:color w:val="auto"/>
        </w:rPr>
      </w:pPr>
      <w:r>
        <w:rPr>
          <w:rFonts w:hint="eastAsia" w:ascii="华文仿宋" w:hAnsi="华文仿宋" w:cs="华文仿宋"/>
          <w:color w:val="auto"/>
        </w:rPr>
        <w:t>本项目采用电子投标文件的形式。</w:t>
      </w:r>
    </w:p>
    <w:p w14:paraId="5D34107C">
      <w:pPr>
        <w:spacing w:line="500" w:lineRule="exact"/>
        <w:ind w:firstLine="566" w:firstLineChars="200"/>
        <w:rPr>
          <w:rFonts w:ascii="华文仿宋" w:cs="Times New Roman"/>
          <w:color w:val="auto"/>
        </w:rPr>
      </w:pPr>
      <w:r>
        <w:rPr>
          <w:rFonts w:hint="eastAsia" w:ascii="华文仿宋" w:hAnsi="华文仿宋" w:cs="华文仿宋"/>
          <w:color w:val="auto"/>
        </w:rPr>
        <w:t>编制电子投标文件时，应使用最新发布的电子招标文件及专用制作工具进行编制。并使用数字认证证书（</w:t>
      </w:r>
      <w:r>
        <w:rPr>
          <w:rFonts w:hint="eastAsia" w:ascii="仿宋" w:hAnsi="仿宋" w:eastAsia="仿宋" w:cs="仿宋"/>
          <w:color w:val="auto"/>
          <w:kern w:val="0"/>
        </w:rPr>
        <w:t>CA</w:t>
      </w:r>
      <w:r>
        <w:rPr>
          <w:rFonts w:hint="eastAsia" w:ascii="华文仿宋" w:hAnsi="华文仿宋" w:cs="华文仿宋"/>
          <w:color w:val="auto"/>
        </w:rPr>
        <w:t>锁）对电子投标文件进行签署、加密、递交及解密等相关操作。</w:t>
      </w:r>
    </w:p>
    <w:p w14:paraId="6DD54D4B">
      <w:pPr>
        <w:spacing w:line="500" w:lineRule="exact"/>
        <w:ind w:firstLine="566" w:firstLineChars="200"/>
        <w:rPr>
          <w:rFonts w:ascii="华文仿宋" w:cs="Times New Roman"/>
          <w:color w:val="auto"/>
        </w:rPr>
      </w:pPr>
      <w:r>
        <w:rPr>
          <w:rFonts w:ascii="华文仿宋" w:hAnsi="华文仿宋" w:cs="华文仿宋"/>
          <w:color w:val="auto"/>
        </w:rPr>
        <w:t>1</w:t>
      </w:r>
      <w:r>
        <w:rPr>
          <w:rFonts w:hint="eastAsia" w:ascii="华文仿宋" w:hAnsi="华文仿宋" w:cs="华文仿宋"/>
          <w:color w:val="auto"/>
          <w:lang w:val="en-US" w:eastAsia="zh-CN"/>
        </w:rPr>
        <w:t>.</w:t>
      </w:r>
      <w:r>
        <w:rPr>
          <w:rFonts w:hint="eastAsia" w:ascii="华文仿宋" w:hAnsi="华文仿宋" w:cs="华文仿宋"/>
          <w:color w:val="auto"/>
        </w:rPr>
        <w:t>电子招标文件下载。投标人登录全国公共资源交易平台（陕西省·延安市）网站〖首页·〉电子交易平台·〉</w:t>
      </w:r>
      <w:r>
        <w:rPr>
          <w:rFonts w:hint="eastAsia" w:ascii="华文仿宋" w:hAnsi="华文仿宋" w:cs="华文仿宋"/>
          <w:color w:val="auto"/>
          <w:lang w:val="en-US" w:eastAsia="zh-CN"/>
        </w:rPr>
        <w:t>政府采购交易系统</w:t>
      </w:r>
      <w:r>
        <w:rPr>
          <w:rFonts w:hint="eastAsia" w:ascii="华文仿宋" w:hAnsi="华文仿宋" w:cs="华文仿宋"/>
          <w:color w:val="auto"/>
        </w:rPr>
        <w:t>·〉企业端〗后，在〖招标公告</w:t>
      </w:r>
      <w:r>
        <w:rPr>
          <w:rFonts w:ascii="华文仿宋" w:hAnsi="华文仿宋" w:cs="华文仿宋"/>
          <w:color w:val="auto"/>
        </w:rPr>
        <w:t>/</w:t>
      </w:r>
      <w:r>
        <w:rPr>
          <w:rFonts w:hint="eastAsia" w:ascii="华文仿宋" w:hAnsi="华文仿宋" w:cs="华文仿宋"/>
          <w:color w:val="auto"/>
        </w:rPr>
        <w:t>出让公告〗模块中选择项目点击“我要投标”，参与投标活动。然后即可在〖我的项目〗中点击“项目流程</w:t>
      </w:r>
      <w:r>
        <w:rPr>
          <w:rFonts w:ascii="华文仿宋" w:hAnsi="华文仿宋" w:cs="华文仿宋"/>
          <w:color w:val="auto"/>
        </w:rPr>
        <w:t>&gt;</w:t>
      </w:r>
      <w:r>
        <w:rPr>
          <w:rFonts w:hint="eastAsia" w:ascii="华文仿宋" w:hAnsi="华文仿宋" w:cs="华文仿宋"/>
          <w:color w:val="auto"/>
        </w:rPr>
        <w:t>交易文件下载”下载电子招标文件（</w:t>
      </w:r>
      <w:r>
        <w:rPr>
          <w:rFonts w:ascii="华文仿宋" w:hAnsi="华文仿宋" w:cs="华文仿宋"/>
          <w:color w:val="auto"/>
        </w:rPr>
        <w:t>*</w:t>
      </w:r>
      <w:r>
        <w:rPr>
          <w:rFonts w:hint="eastAsia" w:ascii="仿宋" w:hAnsi="仿宋" w:eastAsia="仿宋" w:cs="仿宋"/>
          <w:color w:val="auto"/>
          <w:kern w:val="0"/>
        </w:rPr>
        <w:t>.SXSZF</w:t>
      </w:r>
      <w:r>
        <w:rPr>
          <w:rFonts w:hint="eastAsia" w:ascii="华文仿宋" w:hAnsi="华文仿宋" w:cs="华文仿宋"/>
          <w:color w:val="auto"/>
        </w:rPr>
        <w:t>）。</w:t>
      </w:r>
    </w:p>
    <w:p w14:paraId="2222BCA2">
      <w:pPr>
        <w:spacing w:line="500" w:lineRule="exact"/>
        <w:ind w:firstLine="566" w:firstLineChars="200"/>
        <w:rPr>
          <w:rFonts w:ascii="华文仿宋" w:cs="Times New Roman"/>
          <w:color w:val="auto"/>
        </w:rPr>
      </w:pPr>
      <w:r>
        <w:rPr>
          <w:rFonts w:hint="eastAsia" w:ascii="华文仿宋" w:hAnsi="华文仿宋" w:cs="华文仿宋"/>
          <w:color w:val="auto"/>
        </w:rPr>
        <w:t>注意：该项目如有变更文件，则应点击“项目流程</w:t>
      </w:r>
      <w:r>
        <w:rPr>
          <w:rFonts w:ascii="华文仿宋" w:hAnsi="华文仿宋" w:cs="华文仿宋"/>
          <w:color w:val="auto"/>
        </w:rPr>
        <w:t>&gt;</w:t>
      </w:r>
      <w:r>
        <w:rPr>
          <w:rFonts w:hint="eastAsia" w:ascii="华文仿宋" w:hAnsi="华文仿宋" w:cs="华文仿宋"/>
          <w:color w:val="auto"/>
        </w:rPr>
        <w:t>答疑文件下载”下载更新后的电子招标文件（</w:t>
      </w:r>
      <w:r>
        <w:rPr>
          <w:rFonts w:ascii="华文仿宋" w:hAnsi="华文仿宋" w:cs="华文仿宋"/>
          <w:color w:val="auto"/>
        </w:rPr>
        <w:t>*</w:t>
      </w:r>
      <w:r>
        <w:rPr>
          <w:rFonts w:hint="eastAsia" w:ascii="仿宋" w:hAnsi="仿宋" w:eastAsia="仿宋" w:cs="仿宋"/>
          <w:color w:val="auto"/>
          <w:kern w:val="0"/>
        </w:rPr>
        <w:t>.SXSCF</w:t>
      </w:r>
      <w:r>
        <w:rPr>
          <w:rFonts w:hint="eastAsia" w:ascii="华文仿宋" w:hAnsi="华文仿宋" w:cs="华文仿宋"/>
          <w:color w:val="auto"/>
        </w:rPr>
        <w:t>），</w:t>
      </w:r>
      <w:r>
        <w:rPr>
          <w:rFonts w:hint="eastAsia" w:ascii="华文仿宋" w:hAnsi="华文仿宋" w:cs="华文仿宋"/>
          <w:b/>
          <w:bCs/>
          <w:color w:val="auto"/>
        </w:rPr>
        <w:t>使用旧版电子招标文件制作的电子投标文件，系统将拒绝接收。</w:t>
      </w:r>
    </w:p>
    <w:p w14:paraId="02119B28">
      <w:pPr>
        <w:numPr>
          <w:ilvl w:val="0"/>
          <w:numId w:val="0"/>
        </w:numPr>
        <w:spacing w:line="500" w:lineRule="exact"/>
        <w:ind w:firstLine="566" w:firstLineChars="200"/>
        <w:rPr>
          <w:rFonts w:ascii="华文仿宋" w:cs="Times New Roman"/>
          <w:color w:val="auto"/>
        </w:rPr>
      </w:pPr>
      <w:r>
        <w:rPr>
          <w:rFonts w:hint="eastAsia" w:ascii="华文仿宋" w:hAnsi="华文仿宋" w:cs="华文仿宋"/>
          <w:color w:val="auto"/>
          <w:lang w:val="en-US" w:eastAsia="zh-CN"/>
        </w:rPr>
        <w:t>2.</w:t>
      </w:r>
      <w:r>
        <w:rPr>
          <w:rFonts w:hint="eastAsia" w:ascii="华文仿宋" w:hAnsi="华文仿宋" w:cs="华文仿宋"/>
          <w:color w:val="auto"/>
        </w:rPr>
        <w:t>电子招标文件需要使用专用软件打开、浏览。投标人可在全国公共资源交易平台（陕西省·延安市）网站〖首页·〉服务指南·〉下载专区〗免费下载“陕西省公共资源交易平台政府采购电子标书制作工具”，并升级至最新版本，使用该客户端可以打开电子招标文件。软件操作手册详见全国公共资源交易平台（陕西省·延安市）网站〖首页·〉服务指南·〉下载专区〗中的《陕西省公共资源交易（政府采购类）投标文件制作软件操作手册》。</w:t>
      </w:r>
    </w:p>
    <w:p w14:paraId="56BC157D">
      <w:pPr>
        <w:numPr>
          <w:ilvl w:val="0"/>
          <w:numId w:val="0"/>
        </w:numPr>
        <w:spacing w:line="500" w:lineRule="exact"/>
        <w:ind w:firstLine="566" w:firstLineChars="200"/>
        <w:rPr>
          <w:rFonts w:hint="eastAsia" w:ascii="仿宋" w:hAnsi="仿宋" w:eastAsia="仿宋" w:cs="仿宋"/>
          <w:b/>
          <w:bCs/>
          <w:color w:val="auto"/>
        </w:rPr>
      </w:pPr>
      <w:r>
        <w:rPr>
          <w:rFonts w:hint="eastAsia" w:ascii="华文仿宋" w:hAnsi="华文仿宋" w:cs="华文仿宋"/>
          <w:color w:val="auto"/>
          <w:lang w:val="en-US" w:eastAsia="zh-CN"/>
        </w:rPr>
        <w:t>3.</w:t>
      </w:r>
      <w:r>
        <w:rPr>
          <w:rFonts w:hint="eastAsia" w:ascii="华文仿宋" w:hAnsi="华文仿宋" w:cs="华文仿宋"/>
          <w:color w:val="auto"/>
        </w:rPr>
        <w:t>制作电子投标文件。电子投标文件同样需要使用上述软件进行编制。在编制过程中，如有技术性问题，请先翻阅操作手册，或致电软件开发商。</w:t>
      </w:r>
      <w:r>
        <w:rPr>
          <w:rFonts w:hint="eastAsia" w:ascii="华文仿宋" w:hAnsi="华文仿宋" w:cs="华文仿宋"/>
          <w:b/>
          <w:bCs/>
          <w:color w:val="auto"/>
        </w:rPr>
        <w:t>技术支持热线：</w:t>
      </w:r>
      <w:r>
        <w:rPr>
          <w:rFonts w:hint="eastAsia" w:ascii="华文仿宋" w:hAnsi="华文仿宋" w:cs="华文仿宋"/>
          <w:b/>
          <w:bCs/>
          <w:color w:val="auto"/>
          <w:sz w:val="28"/>
          <w:szCs w:val="28"/>
        </w:rPr>
        <w:t>051258188039</w:t>
      </w:r>
      <w:r>
        <w:rPr>
          <w:rFonts w:hint="eastAsia" w:ascii="仿宋" w:hAnsi="仿宋" w:eastAsia="仿宋" w:cs="仿宋"/>
          <w:b/>
          <w:bCs/>
          <w:color w:val="auto"/>
        </w:rPr>
        <w:t>。</w:t>
      </w:r>
      <w:bookmarkStart w:id="315" w:name="_Toc14227"/>
      <w:bookmarkEnd w:id="315"/>
      <w:bookmarkStart w:id="316" w:name="_Toc10159"/>
      <w:bookmarkEnd w:id="316"/>
      <w:bookmarkStart w:id="317" w:name="_Toc18702"/>
      <w:bookmarkEnd w:id="317"/>
      <w:bookmarkStart w:id="318" w:name="_Toc8183"/>
      <w:bookmarkEnd w:id="318"/>
      <w:bookmarkStart w:id="319" w:name="_Toc12406"/>
      <w:bookmarkEnd w:id="319"/>
    </w:p>
    <w:p w14:paraId="586E7E89">
      <w:pPr>
        <w:numPr>
          <w:ilvl w:val="0"/>
          <w:numId w:val="0"/>
        </w:numPr>
        <w:spacing w:line="500" w:lineRule="exact"/>
        <w:ind w:firstLine="566" w:firstLineChars="200"/>
        <w:rPr>
          <w:rFonts w:ascii="华文仿宋" w:cs="Times New Roman"/>
          <w:b/>
          <w:bCs/>
          <w:color w:val="auto"/>
        </w:rPr>
      </w:pPr>
      <w:r>
        <w:rPr>
          <w:rFonts w:hint="eastAsia" w:ascii="华文仿宋" w:hAnsi="华文仿宋" w:cs="华文仿宋"/>
          <w:b/>
          <w:bCs/>
          <w:color w:val="auto"/>
        </w:rPr>
        <w:t>（二）投标文件语言及有效期</w:t>
      </w:r>
    </w:p>
    <w:p w14:paraId="41B47D2B">
      <w:pPr>
        <w:spacing w:line="500" w:lineRule="exact"/>
        <w:ind w:firstLine="566" w:firstLineChars="200"/>
        <w:rPr>
          <w:rFonts w:ascii="华文仿宋" w:hAnsi="华文仿宋" w:cs="华文仿宋"/>
          <w:color w:val="auto"/>
        </w:rPr>
      </w:pPr>
      <w:r>
        <w:rPr>
          <w:rFonts w:hint="eastAsia" w:ascii="华文仿宋" w:hAnsi="华文仿宋" w:cs="华文仿宋"/>
          <w:color w:val="auto"/>
        </w:rPr>
        <w:t>1</w:t>
      </w:r>
      <w:r>
        <w:rPr>
          <w:rFonts w:hint="eastAsia" w:ascii="华文仿宋" w:hAnsi="华文仿宋" w:cs="华文仿宋"/>
          <w:color w:val="auto"/>
          <w:lang w:val="en-US" w:eastAsia="zh-CN"/>
        </w:rPr>
        <w:t>.</w:t>
      </w:r>
      <w:r>
        <w:rPr>
          <w:rFonts w:hint="eastAsia" w:ascii="华文仿宋" w:hAnsi="华文仿宋" w:cs="华文仿宋"/>
          <w:color w:val="auto"/>
        </w:rPr>
        <w:t>投标活动的所有文件、资料、函电文均使用</w:t>
      </w:r>
      <w:r>
        <w:rPr>
          <w:rFonts w:hint="eastAsia" w:ascii="华文仿宋" w:hAnsi="华文仿宋" w:cs="华文仿宋"/>
          <w:b/>
          <w:bCs/>
          <w:color w:val="auto"/>
        </w:rPr>
        <w:t>简体中文</w:t>
      </w:r>
      <w:r>
        <w:rPr>
          <w:rFonts w:hint="eastAsia" w:ascii="华文仿宋" w:hAnsi="华文仿宋" w:cs="华文仿宋"/>
          <w:color w:val="auto"/>
        </w:rPr>
        <w:t>，确需提交其他语言形成的资料，必须翻译成简体中文，如有差异，以简体中文为准。</w:t>
      </w:r>
    </w:p>
    <w:p w14:paraId="44D5D4EB">
      <w:pPr>
        <w:spacing w:line="500" w:lineRule="exact"/>
        <w:ind w:firstLine="566" w:firstLineChars="200"/>
        <w:rPr>
          <w:rFonts w:ascii="华文仿宋" w:cs="Times New Roman"/>
          <w:color w:val="auto"/>
        </w:rPr>
      </w:pPr>
      <w:r>
        <w:rPr>
          <w:rFonts w:hint="eastAsia" w:ascii="华文仿宋" w:hAnsi="华文仿宋" w:cs="华文仿宋"/>
          <w:color w:val="auto"/>
        </w:rPr>
        <w:t>2</w:t>
      </w:r>
      <w:r>
        <w:rPr>
          <w:rFonts w:hint="eastAsia" w:ascii="华文仿宋" w:hAnsi="华文仿宋" w:cs="华文仿宋"/>
          <w:color w:val="auto"/>
          <w:lang w:val="en-US" w:eastAsia="zh-CN"/>
        </w:rPr>
        <w:t>.</w:t>
      </w:r>
      <w:r>
        <w:rPr>
          <w:rFonts w:hint="eastAsia" w:ascii="华文仿宋" w:hAnsi="华文仿宋" w:cs="华文仿宋"/>
          <w:color w:val="auto"/>
        </w:rPr>
        <w:t>投标文件有效期为</w:t>
      </w:r>
      <w:r>
        <w:rPr>
          <w:rFonts w:hint="eastAsia" w:ascii="华文仿宋" w:hAnsi="华文仿宋" w:cs="华文仿宋"/>
          <w:b/>
          <w:bCs/>
          <w:color w:val="auto"/>
        </w:rPr>
        <w:t>自开标之日起</w:t>
      </w:r>
      <w:r>
        <w:rPr>
          <w:rFonts w:ascii="仿宋" w:hAnsi="仿宋" w:eastAsia="仿宋" w:cs="仿宋"/>
          <w:b/>
          <w:bCs/>
          <w:color w:val="auto"/>
          <w:lang w:val="zh-CN"/>
        </w:rPr>
        <w:t>90</w:t>
      </w:r>
      <w:r>
        <w:rPr>
          <w:rFonts w:hint="eastAsia" w:ascii="华文仿宋" w:hAnsi="华文仿宋" w:cs="华文仿宋"/>
          <w:b/>
          <w:bCs/>
          <w:color w:val="auto"/>
        </w:rPr>
        <w:t>个日历日</w:t>
      </w:r>
      <w:r>
        <w:rPr>
          <w:rFonts w:hint="eastAsia" w:ascii="华文仿宋" w:hAnsi="华文仿宋" w:cs="华文仿宋"/>
          <w:color w:val="auto"/>
        </w:rPr>
        <w:t>。如中标，延长至合同执行完毕时止。</w:t>
      </w:r>
    </w:p>
    <w:p w14:paraId="32D6AD3D">
      <w:pPr>
        <w:pStyle w:val="3"/>
        <w:spacing w:line="500" w:lineRule="exact"/>
        <w:ind w:firstLine="566" w:firstLineChars="200"/>
        <w:rPr>
          <w:rFonts w:ascii="华文仿宋" w:cs="Times New Roman"/>
          <w:color w:val="auto"/>
          <w:sz w:val="28"/>
          <w:szCs w:val="28"/>
        </w:rPr>
      </w:pPr>
      <w:bookmarkStart w:id="320" w:name="_Toc8949"/>
      <w:bookmarkEnd w:id="320"/>
      <w:bookmarkStart w:id="321" w:name="_Toc23737"/>
      <w:bookmarkEnd w:id="321"/>
      <w:bookmarkStart w:id="322" w:name="_Toc18589"/>
      <w:bookmarkEnd w:id="322"/>
      <w:bookmarkStart w:id="323" w:name="_Toc3365"/>
      <w:bookmarkEnd w:id="323"/>
      <w:bookmarkStart w:id="324" w:name="_Toc1934"/>
      <w:bookmarkEnd w:id="324"/>
      <w:bookmarkStart w:id="325" w:name="_Toc18432"/>
      <w:bookmarkEnd w:id="325"/>
      <w:bookmarkStart w:id="326" w:name="_Toc2152"/>
      <w:bookmarkEnd w:id="326"/>
      <w:bookmarkStart w:id="327" w:name="_Toc8262"/>
      <w:bookmarkEnd w:id="327"/>
      <w:bookmarkStart w:id="328" w:name="_Toc31539"/>
      <w:bookmarkEnd w:id="328"/>
      <w:bookmarkStart w:id="329" w:name="_Toc4122"/>
      <w:bookmarkEnd w:id="329"/>
      <w:bookmarkStart w:id="330" w:name="_Toc18773"/>
      <w:bookmarkEnd w:id="330"/>
      <w:bookmarkStart w:id="331" w:name="_Toc24247"/>
      <w:bookmarkEnd w:id="331"/>
      <w:bookmarkStart w:id="332" w:name="_Toc20317"/>
      <w:bookmarkEnd w:id="332"/>
      <w:r>
        <w:rPr>
          <w:rFonts w:hint="eastAsia" w:ascii="华文仿宋" w:hAnsi="华文仿宋" w:cs="华文仿宋"/>
          <w:color w:val="auto"/>
          <w:sz w:val="28"/>
          <w:szCs w:val="28"/>
        </w:rPr>
        <w:t>（三）投标文件的提交</w:t>
      </w:r>
    </w:p>
    <w:p w14:paraId="3E96EC1D">
      <w:pPr>
        <w:spacing w:line="500" w:lineRule="exact"/>
        <w:ind w:firstLine="566" w:firstLineChars="200"/>
        <w:rPr>
          <w:rFonts w:ascii="华文仿宋" w:cs="Times New Roman"/>
          <w:color w:val="auto"/>
        </w:rPr>
      </w:pPr>
      <w:bookmarkStart w:id="333" w:name="_Toc17615"/>
      <w:bookmarkStart w:id="334" w:name="_Toc32689"/>
      <w:bookmarkStart w:id="335" w:name="_Toc31979"/>
      <w:bookmarkStart w:id="336" w:name="_Toc7616"/>
      <w:bookmarkStart w:id="337" w:name="_Toc24995"/>
      <w:bookmarkStart w:id="338" w:name="_Toc17559"/>
      <w:bookmarkStart w:id="339" w:name="_Toc27375"/>
      <w:bookmarkStart w:id="340" w:name="_Toc21730"/>
      <w:bookmarkStart w:id="341" w:name="_Toc7271"/>
      <w:r>
        <w:rPr>
          <w:rFonts w:hint="eastAsia" w:ascii="华文仿宋" w:hAnsi="华文仿宋" w:cs="华文仿宋"/>
          <w:color w:val="auto"/>
        </w:rPr>
        <w:t>电子投标文件可于提交投标文件截止时间前任意时段登录全国公共资源交易平台（陕西省·延安市）网站“电子交易平台</w:t>
      </w:r>
      <w:r>
        <w:rPr>
          <w:rFonts w:ascii="华文仿宋" w:hAnsi="华文仿宋" w:cs="华文仿宋"/>
          <w:color w:val="auto"/>
        </w:rPr>
        <w:t>&gt;</w:t>
      </w:r>
      <w:r>
        <w:rPr>
          <w:rFonts w:hint="eastAsia" w:ascii="华文仿宋" w:hAnsi="华文仿宋" w:cs="华文仿宋"/>
          <w:color w:val="auto"/>
          <w:lang w:val="en-US" w:eastAsia="zh-CN"/>
        </w:rPr>
        <w:t>政府采购交易系统</w:t>
      </w:r>
      <w:r>
        <w:rPr>
          <w:rFonts w:ascii="华文仿宋" w:hAnsi="华文仿宋" w:cs="华文仿宋"/>
          <w:color w:val="auto"/>
        </w:rPr>
        <w:t>&gt;</w:t>
      </w:r>
      <w:r>
        <w:rPr>
          <w:rFonts w:hint="eastAsia" w:ascii="华文仿宋" w:hAnsi="华文仿宋" w:cs="华文仿宋"/>
          <w:color w:val="auto"/>
        </w:rPr>
        <w:t>企业端”进行提交，逾期系统将拒绝接收。提交时，投标人应登录全国公共资源交易中心平台（陕西省·延安市），选择“首页</w:t>
      </w:r>
      <w:r>
        <w:rPr>
          <w:rFonts w:ascii="华文仿宋" w:hAnsi="华文仿宋" w:cs="华文仿宋"/>
          <w:color w:val="auto"/>
        </w:rPr>
        <w:t>&gt;</w:t>
      </w:r>
      <w:r>
        <w:rPr>
          <w:rFonts w:hint="eastAsia" w:ascii="华文仿宋" w:hAnsi="华文仿宋" w:cs="华文仿宋"/>
          <w:color w:val="auto"/>
        </w:rPr>
        <w:t>电子交易平台</w:t>
      </w:r>
      <w:r>
        <w:rPr>
          <w:rFonts w:ascii="华文仿宋" w:hAnsi="华文仿宋" w:cs="华文仿宋"/>
          <w:color w:val="auto"/>
        </w:rPr>
        <w:t>&gt;</w:t>
      </w:r>
      <w:r>
        <w:rPr>
          <w:rFonts w:hint="eastAsia" w:ascii="华文仿宋" w:hAnsi="华文仿宋" w:cs="华文仿宋"/>
          <w:color w:val="auto"/>
          <w:lang w:val="en-US" w:eastAsia="zh-CN"/>
        </w:rPr>
        <w:t>政府采购交易系统</w:t>
      </w:r>
      <w:r>
        <w:rPr>
          <w:rFonts w:ascii="华文仿宋" w:hAnsi="华文仿宋" w:cs="华文仿宋"/>
          <w:color w:val="auto"/>
        </w:rPr>
        <w:t>&gt;</w:t>
      </w:r>
      <w:r>
        <w:rPr>
          <w:rFonts w:hint="eastAsia" w:ascii="华文仿宋" w:hAnsi="华文仿宋" w:cs="华文仿宋"/>
          <w:color w:val="auto"/>
        </w:rPr>
        <w:t>企业端</w:t>
      </w:r>
      <w:r>
        <w:rPr>
          <w:rFonts w:ascii="华文仿宋" w:hAnsi="华文仿宋" w:cs="华文仿宋"/>
          <w:color w:val="auto"/>
        </w:rPr>
        <w:t>&gt;</w:t>
      </w:r>
      <w:r>
        <w:rPr>
          <w:rFonts w:hint="eastAsia" w:ascii="华文仿宋" w:hAnsi="华文仿宋" w:cs="华文仿宋"/>
          <w:color w:val="auto"/>
        </w:rPr>
        <w:t>我的项目”，点击“项目流程”，在打开的“项目管理”对话框中选择“上传投标文件”，上传加密的电子投标文件（</w:t>
      </w:r>
      <w:r>
        <w:rPr>
          <w:color w:val="auto"/>
        </w:rPr>
        <w:t>*</w:t>
      </w:r>
      <w:r>
        <w:rPr>
          <w:rFonts w:hint="eastAsia" w:ascii="仿宋" w:hAnsi="仿宋" w:eastAsia="仿宋" w:cs="仿宋"/>
          <w:color w:val="auto"/>
        </w:rPr>
        <w:t>.SXSTF</w:t>
      </w:r>
      <w:r>
        <w:rPr>
          <w:rFonts w:hint="eastAsia" w:ascii="华文仿宋" w:hAnsi="华文仿宋" w:cs="华文仿宋"/>
          <w:color w:val="auto"/>
        </w:rPr>
        <w:t>）。上传成功后，电子化平台将予以记录。</w:t>
      </w:r>
    </w:p>
    <w:bookmarkEnd w:id="333"/>
    <w:bookmarkEnd w:id="334"/>
    <w:bookmarkEnd w:id="335"/>
    <w:bookmarkEnd w:id="336"/>
    <w:bookmarkEnd w:id="337"/>
    <w:bookmarkEnd w:id="338"/>
    <w:bookmarkEnd w:id="339"/>
    <w:bookmarkEnd w:id="340"/>
    <w:bookmarkEnd w:id="341"/>
    <w:p w14:paraId="0670E0FC">
      <w:pPr>
        <w:pStyle w:val="3"/>
        <w:spacing w:line="500" w:lineRule="exact"/>
        <w:ind w:firstLine="566" w:firstLineChars="200"/>
        <w:rPr>
          <w:rFonts w:ascii="华文仿宋" w:cs="Times New Roman"/>
          <w:color w:val="auto"/>
          <w:sz w:val="28"/>
          <w:szCs w:val="28"/>
        </w:rPr>
      </w:pPr>
      <w:bookmarkStart w:id="342" w:name="_Toc15097"/>
      <w:bookmarkEnd w:id="342"/>
      <w:bookmarkStart w:id="343" w:name="_Toc27882"/>
      <w:bookmarkEnd w:id="343"/>
      <w:bookmarkStart w:id="344" w:name="_Toc29672"/>
      <w:bookmarkEnd w:id="344"/>
      <w:bookmarkStart w:id="345" w:name="_Toc9556"/>
      <w:bookmarkEnd w:id="345"/>
      <w:r>
        <w:rPr>
          <w:rFonts w:hint="eastAsia" w:ascii="华文仿宋" w:hAnsi="华文仿宋" w:cs="华文仿宋"/>
          <w:color w:val="auto"/>
          <w:sz w:val="28"/>
          <w:szCs w:val="28"/>
        </w:rPr>
        <w:t>（四）投标文件的补充、修改和撤回</w:t>
      </w:r>
    </w:p>
    <w:p w14:paraId="422984F8">
      <w:pPr>
        <w:spacing w:line="500" w:lineRule="exact"/>
        <w:ind w:firstLine="566" w:firstLineChars="200"/>
        <w:rPr>
          <w:rFonts w:ascii="华文仿宋" w:cs="Times New Roman"/>
          <w:color w:val="auto"/>
        </w:rPr>
      </w:pPr>
      <w:r>
        <w:rPr>
          <w:rFonts w:ascii="华文仿宋" w:hAnsi="华文仿宋" w:cs="华文仿宋"/>
          <w:color w:val="auto"/>
        </w:rPr>
        <w:t>1</w:t>
      </w:r>
      <w:r>
        <w:rPr>
          <w:rFonts w:hint="eastAsia" w:ascii="华文仿宋" w:hAnsi="华文仿宋" w:cs="华文仿宋"/>
          <w:color w:val="auto"/>
          <w:lang w:val="en-US" w:eastAsia="zh-CN"/>
        </w:rPr>
        <w:t>.</w:t>
      </w:r>
      <w:r>
        <w:rPr>
          <w:rFonts w:hint="eastAsia" w:ascii="华文仿宋" w:hAnsi="华文仿宋" w:cs="华文仿宋"/>
          <w:color w:val="auto"/>
        </w:rPr>
        <w:t>投标人在递交投标文件后，且在提交投标文件截止时间前，可以对所提交的投标文件进行补充、修改或撤回。</w:t>
      </w:r>
    </w:p>
    <w:p w14:paraId="3A1D2522">
      <w:pPr>
        <w:spacing w:line="500" w:lineRule="exact"/>
        <w:ind w:firstLine="566" w:firstLineChars="200"/>
        <w:rPr>
          <w:rFonts w:ascii="华文仿宋" w:cs="Times New Roman"/>
          <w:color w:val="auto"/>
        </w:rPr>
      </w:pPr>
      <w:r>
        <w:rPr>
          <w:rFonts w:ascii="华文仿宋" w:hAnsi="华文仿宋" w:cs="华文仿宋"/>
          <w:color w:val="auto"/>
        </w:rPr>
        <w:t>2</w:t>
      </w:r>
      <w:r>
        <w:rPr>
          <w:rFonts w:hint="eastAsia" w:ascii="华文仿宋" w:hAnsi="华文仿宋" w:cs="华文仿宋"/>
          <w:color w:val="auto"/>
          <w:lang w:val="en-US" w:eastAsia="zh-CN"/>
        </w:rPr>
        <w:t>.</w:t>
      </w:r>
      <w:r>
        <w:rPr>
          <w:rFonts w:hint="eastAsia" w:ascii="华文仿宋" w:hAnsi="华文仿宋" w:cs="华文仿宋"/>
          <w:color w:val="auto"/>
        </w:rPr>
        <w:t>对电子投标文件进行补充、修改的，应先从电子交易平台上撤回旧版，再重新提交新版。</w:t>
      </w:r>
    </w:p>
    <w:p w14:paraId="11867B2F">
      <w:pPr>
        <w:spacing w:line="500" w:lineRule="exact"/>
        <w:ind w:firstLine="566" w:firstLineChars="200"/>
        <w:rPr>
          <w:rFonts w:ascii="华文仿宋" w:hAnsi="华文仿宋" w:cs="华文仿宋"/>
          <w:color w:val="auto"/>
        </w:rPr>
      </w:pPr>
      <w:r>
        <w:rPr>
          <w:rFonts w:ascii="华文仿宋" w:hAnsi="华文仿宋" w:cs="华文仿宋"/>
          <w:color w:val="auto"/>
        </w:rPr>
        <w:t>3</w:t>
      </w:r>
      <w:r>
        <w:rPr>
          <w:rFonts w:hint="eastAsia" w:ascii="华文仿宋" w:hAnsi="华文仿宋" w:cs="华文仿宋"/>
          <w:color w:val="auto"/>
          <w:lang w:val="en-US" w:eastAsia="zh-CN"/>
        </w:rPr>
        <w:t>.</w:t>
      </w:r>
      <w:r>
        <w:rPr>
          <w:rFonts w:hint="eastAsia" w:ascii="华文仿宋" w:hAnsi="华文仿宋" w:cs="华文仿宋"/>
          <w:color w:val="auto"/>
        </w:rPr>
        <w:t>投标文件提交截止时间后，投标人不得对其投标文件做任何修改。</w:t>
      </w:r>
    </w:p>
    <w:p w14:paraId="0FA55380">
      <w:pPr>
        <w:pStyle w:val="3"/>
        <w:spacing w:line="500" w:lineRule="exact"/>
        <w:ind w:firstLine="566" w:firstLineChars="200"/>
        <w:rPr>
          <w:rFonts w:ascii="华文仿宋" w:cs="Times New Roman"/>
          <w:color w:val="auto"/>
          <w:sz w:val="28"/>
          <w:szCs w:val="28"/>
        </w:rPr>
      </w:pPr>
      <w:bookmarkStart w:id="346" w:name="_Toc29417"/>
      <w:bookmarkEnd w:id="346"/>
      <w:bookmarkStart w:id="347" w:name="_Toc28287"/>
      <w:bookmarkEnd w:id="347"/>
      <w:bookmarkStart w:id="348" w:name="_Toc13291"/>
      <w:bookmarkEnd w:id="348"/>
      <w:bookmarkStart w:id="349" w:name="_Toc15674"/>
      <w:bookmarkEnd w:id="349"/>
      <w:bookmarkStart w:id="350" w:name="_Toc20024"/>
      <w:bookmarkEnd w:id="350"/>
      <w:bookmarkStart w:id="351" w:name="_Toc17573"/>
      <w:bookmarkEnd w:id="351"/>
      <w:bookmarkStart w:id="352" w:name="_Toc27898"/>
      <w:bookmarkEnd w:id="352"/>
      <w:bookmarkStart w:id="353" w:name="_Toc3075"/>
      <w:bookmarkEnd w:id="353"/>
      <w:bookmarkStart w:id="354" w:name="_Toc23599"/>
      <w:bookmarkEnd w:id="354"/>
      <w:bookmarkStart w:id="355" w:name="_Toc649"/>
      <w:bookmarkEnd w:id="355"/>
      <w:bookmarkStart w:id="356" w:name="_Toc14492"/>
      <w:bookmarkEnd w:id="356"/>
      <w:bookmarkStart w:id="357" w:name="_Toc16214"/>
      <w:bookmarkEnd w:id="357"/>
      <w:bookmarkStart w:id="358" w:name="_Toc11066"/>
      <w:bookmarkEnd w:id="358"/>
      <w:r>
        <w:rPr>
          <w:rFonts w:hint="eastAsia" w:ascii="华文仿宋" w:hAnsi="华文仿宋" w:cs="华文仿宋"/>
          <w:color w:val="auto"/>
          <w:sz w:val="28"/>
          <w:szCs w:val="28"/>
        </w:rPr>
        <w:t>（五）投标人提交投标文件时，出现下列情况之一的，其投标文件将被拒绝接收：</w:t>
      </w:r>
    </w:p>
    <w:p w14:paraId="242C95F3">
      <w:pPr>
        <w:spacing w:line="500" w:lineRule="exact"/>
        <w:ind w:firstLine="566" w:firstLineChars="200"/>
        <w:rPr>
          <w:rFonts w:ascii="华文仿宋" w:cs="Times New Roman"/>
          <w:color w:val="auto"/>
        </w:rPr>
      </w:pPr>
      <w:r>
        <w:rPr>
          <w:rFonts w:ascii="华文仿宋" w:hAnsi="华文仿宋" w:cs="华文仿宋"/>
          <w:color w:val="auto"/>
        </w:rPr>
        <w:t>1</w:t>
      </w:r>
      <w:r>
        <w:rPr>
          <w:rFonts w:hint="eastAsia" w:ascii="华文仿宋" w:hAnsi="华文仿宋" w:cs="华文仿宋"/>
          <w:color w:val="auto"/>
          <w:lang w:val="en-US" w:eastAsia="zh-CN"/>
        </w:rPr>
        <w:t>.</w:t>
      </w:r>
      <w:r>
        <w:rPr>
          <w:rFonts w:hint="eastAsia" w:ascii="华文仿宋" w:hAnsi="华文仿宋" w:cs="华文仿宋"/>
          <w:color w:val="auto"/>
        </w:rPr>
        <w:t>逾期提交投标文件；</w:t>
      </w:r>
    </w:p>
    <w:p w14:paraId="2963D98F">
      <w:pPr>
        <w:spacing w:line="500" w:lineRule="exact"/>
        <w:ind w:firstLine="566" w:firstLineChars="200"/>
        <w:rPr>
          <w:rFonts w:ascii="华文仿宋" w:cs="Times New Roman"/>
          <w:color w:val="auto"/>
        </w:rPr>
      </w:pPr>
      <w:r>
        <w:rPr>
          <w:rFonts w:ascii="华文仿宋" w:hAnsi="华文仿宋" w:cs="华文仿宋"/>
          <w:color w:val="auto"/>
        </w:rPr>
        <w:t>2</w:t>
      </w:r>
      <w:r>
        <w:rPr>
          <w:rFonts w:hint="eastAsia" w:ascii="华文仿宋" w:hAnsi="华文仿宋" w:cs="华文仿宋"/>
          <w:color w:val="auto"/>
          <w:lang w:val="en-US" w:eastAsia="zh-CN"/>
        </w:rPr>
        <w:t>.</w:t>
      </w:r>
      <w:r>
        <w:rPr>
          <w:rFonts w:hint="eastAsia" w:ascii="华文仿宋" w:hAnsi="华文仿宋" w:cs="华文仿宋"/>
          <w:color w:val="auto"/>
        </w:rPr>
        <w:t>提交的投标文件与本项目不相符的。</w:t>
      </w:r>
    </w:p>
    <w:p w14:paraId="362E7A2E">
      <w:pPr>
        <w:pStyle w:val="3"/>
        <w:spacing w:line="500" w:lineRule="exact"/>
        <w:ind w:firstLine="566" w:firstLineChars="200"/>
        <w:rPr>
          <w:rFonts w:ascii="华文仿宋" w:cs="Times New Roman"/>
          <w:color w:val="auto"/>
          <w:sz w:val="28"/>
          <w:szCs w:val="28"/>
        </w:rPr>
      </w:pPr>
      <w:bookmarkStart w:id="359" w:name="_Toc20777"/>
      <w:bookmarkEnd w:id="359"/>
      <w:bookmarkStart w:id="360" w:name="_Toc22417"/>
      <w:bookmarkEnd w:id="360"/>
      <w:bookmarkStart w:id="361" w:name="_Toc16898"/>
      <w:bookmarkEnd w:id="361"/>
      <w:bookmarkStart w:id="362" w:name="_Toc23167"/>
      <w:bookmarkEnd w:id="362"/>
      <w:bookmarkStart w:id="363" w:name="_Toc19182"/>
      <w:bookmarkEnd w:id="363"/>
      <w:bookmarkStart w:id="364" w:name="_Toc7926"/>
      <w:bookmarkEnd w:id="364"/>
      <w:bookmarkStart w:id="365" w:name="_Toc9457"/>
      <w:bookmarkEnd w:id="365"/>
      <w:bookmarkStart w:id="366" w:name="_Toc24495"/>
      <w:bookmarkEnd w:id="366"/>
      <w:r>
        <w:rPr>
          <w:rFonts w:hint="eastAsia" w:ascii="华文仿宋" w:hAnsi="华文仿宋" w:cs="华文仿宋"/>
          <w:color w:val="auto"/>
          <w:sz w:val="28"/>
          <w:szCs w:val="28"/>
        </w:rPr>
        <w:t>六、组织开标</w:t>
      </w:r>
    </w:p>
    <w:p w14:paraId="2F8078BB">
      <w:pPr>
        <w:spacing w:line="500" w:lineRule="exact"/>
        <w:ind w:firstLine="566" w:firstLineChars="200"/>
        <w:rPr>
          <w:rFonts w:cs="Times New Roman"/>
          <w:color w:val="auto"/>
        </w:rPr>
      </w:pPr>
      <w:r>
        <w:rPr>
          <w:rFonts w:hint="eastAsia" w:cs="华文仿宋"/>
          <w:color w:val="auto"/>
        </w:rPr>
        <w:t>（一）</w:t>
      </w:r>
      <w:r>
        <w:rPr>
          <w:rFonts w:hint="eastAsia" w:cs="华文仿宋"/>
          <w:color w:val="auto"/>
          <w:lang w:eastAsia="zh-CN"/>
        </w:rPr>
        <w:t>中心</w:t>
      </w:r>
      <w:r>
        <w:rPr>
          <w:rFonts w:hint="eastAsia" w:cs="华文仿宋"/>
          <w:color w:val="auto"/>
        </w:rPr>
        <w:t>组织开标、评审工作，整个过程受政府采购监管机构的监督、管理。</w:t>
      </w:r>
    </w:p>
    <w:p w14:paraId="0D047E8F">
      <w:pPr>
        <w:spacing w:line="500" w:lineRule="exact"/>
        <w:ind w:firstLine="566" w:firstLineChars="200"/>
        <w:rPr>
          <w:rFonts w:hint="eastAsia" w:ascii="华文仿宋" w:hAnsi="华文仿宋" w:cs="华文仿宋"/>
          <w:b/>
          <w:bCs/>
          <w:color w:val="auto"/>
        </w:rPr>
      </w:pPr>
      <w:r>
        <w:rPr>
          <w:rFonts w:hint="eastAsia" w:ascii="华文仿宋" w:hAnsi="华文仿宋" w:cs="华文仿宋"/>
          <w:b/>
          <w:bCs/>
          <w:color w:val="auto"/>
        </w:rPr>
        <w:t>（二）本项目采用不见面开标方式。投标人需在开标前最少一个小时登录全国公共资源交易平台（陕西省·延安市）首页选择“不见面开标-</w:t>
      </w:r>
      <w:r>
        <w:rPr>
          <w:rFonts w:hint="eastAsia" w:ascii="华文仿宋" w:hAnsi="华文仿宋" w:cs="华文仿宋"/>
          <w:b/>
          <w:bCs/>
          <w:color w:val="auto"/>
          <w:lang w:val="en-US" w:eastAsia="zh-CN"/>
        </w:rPr>
        <w:t>采购项目不见面开标大厅</w:t>
      </w:r>
      <w:r>
        <w:rPr>
          <w:rFonts w:hint="eastAsia" w:ascii="华文仿宋" w:hAnsi="华文仿宋" w:cs="华文仿宋"/>
          <w:b/>
          <w:bCs/>
          <w:color w:val="auto"/>
        </w:rPr>
        <w:t>”自行调试，并按照工作人员要求进行投标文件解密，远程观看开标直播。如遇困难，请拨打系统平台技术支持电话：</w:t>
      </w:r>
      <w:r>
        <w:rPr>
          <w:rFonts w:hint="eastAsia" w:ascii="华文仿宋" w:hAnsi="华文仿宋" w:cs="华文仿宋"/>
          <w:b/>
          <w:bCs/>
          <w:color w:val="auto"/>
          <w:sz w:val="28"/>
          <w:szCs w:val="28"/>
        </w:rPr>
        <w:t>051258188039</w:t>
      </w:r>
      <w:r>
        <w:rPr>
          <w:rFonts w:hint="eastAsia" w:ascii="华文仿宋" w:hAnsi="华文仿宋" w:cs="华文仿宋"/>
          <w:b/>
          <w:bCs/>
          <w:color w:val="auto"/>
        </w:rPr>
        <w:t>。</w:t>
      </w:r>
    </w:p>
    <w:p w14:paraId="6F28406B">
      <w:pPr>
        <w:spacing w:line="500" w:lineRule="exact"/>
        <w:ind w:firstLine="566" w:firstLineChars="200"/>
        <w:rPr>
          <w:rFonts w:cs="华文仿宋"/>
          <w:color w:val="auto"/>
        </w:rPr>
      </w:pPr>
      <w:r>
        <w:rPr>
          <w:rFonts w:hint="eastAsia" w:cs="华文仿宋"/>
          <w:color w:val="auto"/>
        </w:rPr>
        <w:t>参加投标的投标人不足</w:t>
      </w:r>
      <w:r>
        <w:rPr>
          <w:rFonts w:hint="eastAsia" w:ascii="仿宋" w:hAnsi="仿宋" w:eastAsia="仿宋" w:cs="仿宋"/>
          <w:color w:val="auto"/>
        </w:rPr>
        <w:t>3</w:t>
      </w:r>
      <w:r>
        <w:rPr>
          <w:rFonts w:hint="eastAsia" w:cs="华文仿宋"/>
          <w:color w:val="auto"/>
        </w:rPr>
        <w:t>家的，不得开标。</w:t>
      </w:r>
    </w:p>
    <w:p w14:paraId="6168B40D">
      <w:pPr>
        <w:spacing w:line="500" w:lineRule="exact"/>
        <w:ind w:firstLine="566" w:firstLineChars="200"/>
        <w:jc w:val="left"/>
        <w:rPr>
          <w:rFonts w:cs="仿宋"/>
          <w:color w:val="auto"/>
          <w:highlight w:val="none"/>
        </w:rPr>
      </w:pPr>
      <w:r>
        <w:rPr>
          <w:rFonts w:hint="eastAsia"/>
          <w:color w:val="auto"/>
          <w:highlight w:val="none"/>
        </w:rPr>
        <w:t>（三）</w:t>
      </w:r>
      <w:r>
        <w:rPr>
          <w:rFonts w:hint="eastAsia" w:cs="仿宋"/>
          <w:color w:val="auto"/>
          <w:highlight w:val="none"/>
        </w:rPr>
        <w:t>开启时，</w:t>
      </w:r>
      <w:r>
        <w:rPr>
          <w:rFonts w:hint="eastAsia" w:cs="仿宋"/>
          <w:color w:val="auto"/>
          <w:highlight w:val="none"/>
          <w:lang w:eastAsia="zh-CN"/>
        </w:rPr>
        <w:t>中心</w:t>
      </w:r>
      <w:r>
        <w:rPr>
          <w:rFonts w:hint="eastAsia" w:cs="仿宋"/>
          <w:color w:val="auto"/>
          <w:highlight w:val="none"/>
        </w:rPr>
        <w:t>现场</w:t>
      </w:r>
      <w:r>
        <w:rPr>
          <w:rFonts w:hint="eastAsia" w:cs="仿宋"/>
          <w:color w:val="auto"/>
          <w:highlight w:val="none"/>
          <w:lang w:eastAsia="zh-CN"/>
        </w:rPr>
        <w:t>全国公共资源交易平台（陕西省·延安市）-电子交易平台-政府采购交易系统</w:t>
      </w:r>
      <w:r>
        <w:rPr>
          <w:rFonts w:hint="eastAsia" w:cs="仿宋"/>
          <w:color w:val="auto"/>
          <w:highlight w:val="none"/>
        </w:rPr>
        <w:t>将约定解密时长，供应商应在规定时间内，使用电子</w:t>
      </w:r>
      <w:r>
        <w:rPr>
          <w:rFonts w:hint="eastAsia" w:cs="仿宋"/>
          <w:color w:val="auto"/>
          <w:highlight w:val="none"/>
          <w:lang w:eastAsia="zh-CN"/>
        </w:rPr>
        <w:t>响应</w:t>
      </w:r>
      <w:r>
        <w:rPr>
          <w:rFonts w:hint="eastAsia" w:cs="仿宋"/>
          <w:color w:val="auto"/>
          <w:highlight w:val="none"/>
        </w:rPr>
        <w:t>文件加密时所用的数字认证证书（</w:t>
      </w:r>
      <w:r>
        <w:rPr>
          <w:rFonts w:hint="eastAsia" w:ascii="仿宋" w:hAnsi="仿宋" w:cs="仿宋"/>
          <w:color w:val="auto"/>
          <w:highlight w:val="none"/>
        </w:rPr>
        <w:t>CA</w:t>
      </w:r>
      <w:r>
        <w:rPr>
          <w:rFonts w:hint="eastAsia" w:cs="仿宋"/>
          <w:color w:val="auto"/>
          <w:highlight w:val="none"/>
        </w:rPr>
        <w:t>锁）</w:t>
      </w:r>
      <w:r>
        <w:rPr>
          <w:rFonts w:hint="eastAsia"/>
        </w:rPr>
        <w:t>自行解密</w:t>
      </w:r>
      <w:r>
        <w:rPr>
          <w:rFonts w:hint="eastAsia"/>
          <w:highlight w:val="none"/>
        </w:rPr>
        <w:t>电子</w:t>
      </w:r>
      <w:r>
        <w:rPr>
          <w:rFonts w:hint="eastAsia"/>
          <w:highlight w:val="none"/>
          <w:lang w:val="en-US" w:eastAsia="zh-CN"/>
        </w:rPr>
        <w:t>响应</w:t>
      </w:r>
      <w:r>
        <w:rPr>
          <w:rFonts w:hint="eastAsia"/>
        </w:rPr>
        <w:t>文件。</w:t>
      </w:r>
      <w:r>
        <w:rPr>
          <w:rFonts w:hint="eastAsia"/>
          <w:color w:val="auto"/>
        </w:rPr>
        <w:t>未在规定时间内解密的，</w:t>
      </w:r>
      <w:r>
        <w:rPr>
          <w:rFonts w:hint="eastAsia"/>
          <w:color w:val="auto"/>
          <w:lang w:val="en-US" w:eastAsia="zh-CN"/>
        </w:rPr>
        <w:t>评标委员会</w:t>
      </w:r>
      <w:r>
        <w:rPr>
          <w:rFonts w:hint="eastAsia"/>
          <w:color w:val="auto"/>
        </w:rPr>
        <w:t>视为</w:t>
      </w:r>
      <w:r>
        <w:rPr>
          <w:rFonts w:hint="eastAsia" w:cs="仿宋"/>
          <w:color w:val="auto"/>
          <w:highlight w:val="none"/>
        </w:rPr>
        <w:t>响应</w:t>
      </w:r>
      <w:r>
        <w:rPr>
          <w:rFonts w:hint="eastAsia"/>
          <w:color w:val="auto"/>
        </w:rPr>
        <w:t>无效。</w:t>
      </w:r>
    </w:p>
    <w:p w14:paraId="5708D996">
      <w:pPr>
        <w:spacing w:line="500" w:lineRule="exact"/>
        <w:ind w:firstLine="566" w:firstLineChars="200"/>
        <w:rPr>
          <w:rFonts w:ascii="华文仿宋" w:hAnsi="华文仿宋" w:cs="华文仿宋"/>
          <w:color w:val="auto"/>
        </w:rPr>
      </w:pPr>
      <w:r>
        <w:rPr>
          <w:rFonts w:hint="eastAsia" w:cs="华文仿宋"/>
          <w:color w:val="auto"/>
        </w:rPr>
        <w:t>（四）</w:t>
      </w:r>
      <w:r>
        <w:rPr>
          <w:rFonts w:hint="eastAsia" w:ascii="华文仿宋" w:hAnsi="华文仿宋" w:cs="华文仿宋"/>
          <w:color w:val="auto"/>
        </w:rPr>
        <w:t>投标</w:t>
      </w:r>
      <w:r>
        <w:rPr>
          <w:rFonts w:hint="eastAsia" w:ascii="华文仿宋" w:hAnsi="华文仿宋" w:cs="华文仿宋"/>
          <w:color w:val="auto"/>
          <w:lang w:eastAsia="zh-CN"/>
        </w:rPr>
        <w:t>人</w:t>
      </w:r>
      <w:r>
        <w:rPr>
          <w:rFonts w:hint="eastAsia" w:ascii="华文仿宋" w:hAnsi="华文仿宋" w:cs="华文仿宋"/>
          <w:color w:val="auto"/>
        </w:rPr>
        <w:t>对开标过程有疑义，以及认为采购人、</w:t>
      </w:r>
      <w:r>
        <w:rPr>
          <w:rFonts w:hint="eastAsia" w:ascii="华文仿宋" w:hAnsi="华文仿宋" w:cs="华文仿宋"/>
          <w:color w:val="auto"/>
          <w:lang w:eastAsia="zh-CN"/>
        </w:rPr>
        <w:t>中心</w:t>
      </w:r>
      <w:r>
        <w:rPr>
          <w:rFonts w:hint="eastAsia" w:ascii="华文仿宋" w:hAnsi="华文仿宋" w:cs="华文仿宋"/>
          <w:color w:val="auto"/>
        </w:rPr>
        <w:t>相关工作人员有需要回避情形的，</w:t>
      </w:r>
      <w:r>
        <w:rPr>
          <w:rFonts w:hint="eastAsia" w:ascii="华文仿宋" w:hAnsi="华文仿宋" w:cs="华文仿宋"/>
          <w:color w:val="auto"/>
          <w:lang w:eastAsia="zh-CN"/>
        </w:rPr>
        <w:t>应在网络开标大厅</w:t>
      </w:r>
      <w:r>
        <w:rPr>
          <w:rFonts w:hint="eastAsia" w:ascii="华文仿宋" w:hAnsi="华文仿宋" w:cs="华文仿宋"/>
          <w:color w:val="auto"/>
        </w:rPr>
        <w:t>提出询问或回避申请，采购人、</w:t>
      </w:r>
      <w:r>
        <w:rPr>
          <w:rFonts w:hint="eastAsia" w:ascii="华文仿宋" w:hAnsi="华文仿宋" w:cs="华文仿宋"/>
          <w:color w:val="auto"/>
          <w:lang w:eastAsia="zh-CN"/>
        </w:rPr>
        <w:t>中心</w:t>
      </w:r>
      <w:r>
        <w:rPr>
          <w:rFonts w:hint="eastAsia" w:ascii="华文仿宋" w:hAnsi="华文仿宋" w:cs="华文仿宋"/>
          <w:color w:val="auto"/>
        </w:rPr>
        <w:t>应当及时处理。</w:t>
      </w:r>
    </w:p>
    <w:p w14:paraId="7F3867F8">
      <w:pPr>
        <w:spacing w:line="500" w:lineRule="exact"/>
        <w:ind w:firstLine="566" w:firstLineChars="200"/>
        <w:rPr>
          <w:rFonts w:ascii="华文仿宋" w:cs="Times New Roman"/>
          <w:color w:val="auto"/>
        </w:rPr>
      </w:pPr>
      <w:r>
        <w:rPr>
          <w:rFonts w:hint="eastAsia" w:cs="华文仿宋"/>
          <w:color w:val="auto"/>
        </w:rPr>
        <w:t>（五）投标人未参加开标的，视同认可开标结果。</w:t>
      </w:r>
    </w:p>
    <w:p w14:paraId="1DA1A969">
      <w:pPr>
        <w:spacing w:line="500" w:lineRule="exact"/>
        <w:ind w:firstLine="566" w:firstLineChars="200"/>
        <w:rPr>
          <w:rFonts w:ascii="华文仿宋" w:hAnsi="华文仿宋" w:cs="华文仿宋"/>
          <w:b/>
          <w:bCs/>
          <w:color w:val="auto"/>
        </w:rPr>
      </w:pPr>
      <w:r>
        <w:rPr>
          <w:rFonts w:hint="eastAsia" w:ascii="华文仿宋" w:hAnsi="华文仿宋" w:cs="华文仿宋"/>
          <w:b/>
          <w:bCs/>
          <w:color w:val="auto"/>
        </w:rPr>
        <w:t>（六）在开标环节出现下列情况之一的，其投标文件视为无效文件：</w:t>
      </w:r>
    </w:p>
    <w:p w14:paraId="6F487D5E">
      <w:pPr>
        <w:spacing w:line="500" w:lineRule="exact"/>
        <w:ind w:firstLine="566" w:firstLineChars="200"/>
        <w:rPr>
          <w:rFonts w:hint="eastAsia" w:ascii="华文仿宋" w:hAnsi="华文仿宋" w:cs="华文仿宋"/>
          <w:color w:val="auto"/>
        </w:rPr>
      </w:pPr>
      <w:r>
        <w:rPr>
          <w:rFonts w:hint="eastAsia" w:ascii="华文仿宋" w:hAnsi="华文仿宋" w:cs="华文仿宋"/>
          <w:color w:val="auto"/>
        </w:rPr>
        <w:t>1</w:t>
      </w:r>
      <w:r>
        <w:rPr>
          <w:rFonts w:hint="eastAsia" w:ascii="华文仿宋" w:hAnsi="华文仿宋" w:cs="华文仿宋"/>
          <w:color w:val="auto"/>
          <w:lang w:val="en-US" w:eastAsia="zh-CN"/>
        </w:rPr>
        <w:t>.</w:t>
      </w:r>
      <w:r>
        <w:rPr>
          <w:rFonts w:hint="eastAsia" w:ascii="华文仿宋" w:hAnsi="华文仿宋" w:cs="华文仿宋"/>
          <w:color w:val="auto"/>
        </w:rPr>
        <w:t>投标人拒绝对电子投标文件进行解密的；</w:t>
      </w:r>
    </w:p>
    <w:p w14:paraId="632F59C6">
      <w:pPr>
        <w:widowControl w:val="0"/>
        <w:spacing w:line="500" w:lineRule="exact"/>
        <w:ind w:firstLine="566" w:firstLineChars="200"/>
        <w:rPr>
          <w:rFonts w:hint="eastAsia" w:ascii="华文仿宋" w:hAnsi="华文仿宋" w:eastAsia="华文仿宋" w:cs="华文仿宋"/>
          <w:color w:val="auto"/>
          <w:lang w:val="en-US" w:eastAsia="zh-CN"/>
        </w:rPr>
      </w:pPr>
      <w:r>
        <w:rPr>
          <w:rFonts w:hint="eastAsia" w:ascii="华文仿宋" w:hAnsi="华文仿宋" w:cs="华文仿宋"/>
          <w:color w:val="auto"/>
        </w:rPr>
        <w:t>2</w:t>
      </w:r>
      <w:r>
        <w:rPr>
          <w:rFonts w:hint="eastAsia" w:ascii="华文仿宋" w:hAnsi="华文仿宋" w:cs="华文仿宋"/>
          <w:color w:val="auto"/>
          <w:lang w:val="en-US" w:eastAsia="zh-CN"/>
        </w:rPr>
        <w:t>.</w:t>
      </w:r>
      <w:r>
        <w:rPr>
          <w:rFonts w:hint="eastAsia" w:ascii="华文仿宋" w:hAnsi="华文仿宋" w:cs="华文仿宋"/>
          <w:color w:val="auto"/>
        </w:rPr>
        <w:t>因投标人自身原因（如解密时使用的</w:t>
      </w:r>
      <w:r>
        <w:rPr>
          <w:rFonts w:hint="eastAsia" w:ascii="仿宋" w:hAnsi="仿宋" w:eastAsia="仿宋" w:cs="仿宋"/>
          <w:color w:val="auto"/>
        </w:rPr>
        <w:t>CA</w:t>
      </w:r>
      <w:r>
        <w:rPr>
          <w:rFonts w:hint="eastAsia" w:ascii="华文仿宋" w:hAnsi="华文仿宋" w:cs="华文仿宋"/>
          <w:color w:val="auto"/>
        </w:rPr>
        <w:t>锁与制作电子投标文件使用的</w:t>
      </w:r>
      <w:r>
        <w:rPr>
          <w:rFonts w:hint="eastAsia" w:ascii="仿宋" w:hAnsi="仿宋" w:eastAsia="仿宋" w:cs="仿宋"/>
          <w:color w:val="auto"/>
        </w:rPr>
        <w:t>CA</w:t>
      </w:r>
      <w:r>
        <w:rPr>
          <w:rFonts w:hint="eastAsia" w:ascii="华文仿宋" w:hAnsi="华文仿宋" w:cs="华文仿宋"/>
          <w:color w:val="auto"/>
        </w:rPr>
        <w:t>锁不一致或沿用旧版招标文件编制投标文件等情形），导致在规定时间内无法解密投标文件的；</w:t>
      </w:r>
    </w:p>
    <w:p w14:paraId="10B80AD0">
      <w:pPr>
        <w:spacing w:line="500" w:lineRule="exact"/>
        <w:ind w:firstLine="566" w:firstLineChars="200"/>
        <w:rPr>
          <w:rFonts w:ascii="华文仿宋" w:hAnsi="华文仿宋" w:cs="华文仿宋"/>
          <w:color w:val="auto"/>
        </w:rPr>
      </w:pPr>
      <w:r>
        <w:rPr>
          <w:rFonts w:hint="eastAsia" w:ascii="华文仿宋" w:hAnsi="华文仿宋" w:cs="华文仿宋"/>
          <w:color w:val="auto"/>
        </w:rPr>
        <w:t>3</w:t>
      </w:r>
      <w:r>
        <w:rPr>
          <w:rFonts w:hint="eastAsia" w:ascii="华文仿宋" w:hAnsi="华文仿宋" w:cs="华文仿宋"/>
          <w:color w:val="auto"/>
          <w:lang w:val="en-US" w:eastAsia="zh-CN"/>
        </w:rPr>
        <w:t>.</w:t>
      </w:r>
      <w:r>
        <w:rPr>
          <w:rFonts w:hint="eastAsia" w:ascii="华文仿宋" w:hAnsi="华文仿宋" w:cs="华文仿宋"/>
          <w:color w:val="auto"/>
        </w:rPr>
        <w:t>上传的电子投标文件无法打开的；</w:t>
      </w:r>
    </w:p>
    <w:p w14:paraId="065301F9">
      <w:pPr>
        <w:spacing w:line="500" w:lineRule="exact"/>
        <w:ind w:firstLine="566" w:firstLineChars="200"/>
        <w:rPr>
          <w:rFonts w:ascii="华文仿宋" w:hAnsi="华文仿宋" w:cs="华文仿宋"/>
          <w:color w:val="auto"/>
        </w:rPr>
      </w:pPr>
      <w:r>
        <w:rPr>
          <w:rFonts w:hint="eastAsia" w:ascii="华文仿宋" w:hAnsi="华文仿宋" w:cs="华文仿宋"/>
          <w:color w:val="auto"/>
        </w:rPr>
        <w:t>4</w:t>
      </w:r>
      <w:r>
        <w:rPr>
          <w:rFonts w:hint="eastAsia" w:ascii="华文仿宋" w:hAnsi="华文仿宋" w:cs="华文仿宋"/>
          <w:color w:val="auto"/>
          <w:lang w:val="en-US" w:eastAsia="zh-CN"/>
        </w:rPr>
        <w:t>.</w:t>
      </w:r>
      <w:r>
        <w:rPr>
          <w:rFonts w:hint="eastAsia" w:ascii="华文仿宋" w:hAnsi="华文仿宋" w:cs="华文仿宋"/>
          <w:color w:val="auto"/>
        </w:rPr>
        <w:t>政府采购法律法规规定的其他无效情形。</w:t>
      </w:r>
    </w:p>
    <w:p w14:paraId="57A38F6D">
      <w:pPr>
        <w:spacing w:line="500" w:lineRule="exact"/>
        <w:ind w:firstLine="566" w:firstLineChars="200"/>
        <w:rPr>
          <w:rFonts w:ascii="仿宋" w:hAnsi="仿宋" w:eastAsia="仿宋" w:cs="Times New Roman"/>
          <w:b/>
          <w:bCs/>
          <w:color w:val="auto"/>
        </w:rPr>
      </w:pPr>
      <w:r>
        <w:rPr>
          <w:rFonts w:hint="eastAsia" w:ascii="仿宋" w:hAnsi="仿宋" w:eastAsia="仿宋" w:cs="仿宋"/>
          <w:b/>
          <w:bCs/>
          <w:color w:val="auto"/>
        </w:rPr>
        <w:t>（七）特殊情形下的应急处置</w:t>
      </w:r>
    </w:p>
    <w:p w14:paraId="2F65FF1F">
      <w:pPr>
        <w:spacing w:line="500" w:lineRule="exact"/>
        <w:ind w:firstLine="566" w:firstLineChars="200"/>
        <w:rPr>
          <w:rFonts w:hint="eastAsia" w:ascii="华文仿宋" w:hAnsi="华文仿宋" w:cs="华文仿宋"/>
          <w:color w:val="auto"/>
        </w:rPr>
      </w:pPr>
      <w:r>
        <w:rPr>
          <w:rFonts w:hint="eastAsia" w:ascii="华文仿宋" w:hAnsi="华文仿宋" w:cs="华文仿宋"/>
          <w:color w:val="auto"/>
        </w:rPr>
        <w:t>在开标、评审过程中，如因停电、断网、电子化系统故障等特殊原因导致电子化开、评审无法正常进行时，将视电子投标文件解密情况特殊处理。</w:t>
      </w:r>
    </w:p>
    <w:p w14:paraId="4EC0799F">
      <w:pPr>
        <w:spacing w:line="500" w:lineRule="exact"/>
        <w:ind w:firstLine="566" w:firstLineChars="200"/>
        <w:rPr>
          <w:rFonts w:hint="eastAsia" w:ascii="华文仿宋" w:hAnsi="华文仿宋" w:cs="华文仿宋"/>
          <w:color w:val="auto"/>
        </w:rPr>
      </w:pPr>
      <w:r>
        <w:rPr>
          <w:rFonts w:hint="eastAsia" w:ascii="华文仿宋" w:hAnsi="华文仿宋" w:cs="华文仿宋"/>
          <w:color w:val="auto"/>
        </w:rPr>
        <w:t>1</w:t>
      </w:r>
      <w:r>
        <w:rPr>
          <w:rFonts w:hint="eastAsia" w:ascii="华文仿宋" w:hAnsi="华文仿宋" w:cs="华文仿宋"/>
          <w:color w:val="auto"/>
          <w:lang w:val="en-US" w:eastAsia="zh-CN"/>
        </w:rPr>
        <w:t>.</w:t>
      </w:r>
      <w:r>
        <w:rPr>
          <w:rFonts w:hint="eastAsia" w:ascii="华文仿宋" w:hAnsi="华文仿宋" w:cs="华文仿宋"/>
          <w:color w:val="auto"/>
        </w:rPr>
        <w:t>开标时电子投标文件未解密的，将另行确定时间继续完成开标程序；</w:t>
      </w:r>
    </w:p>
    <w:p w14:paraId="1BA103A6">
      <w:pPr>
        <w:spacing w:line="500" w:lineRule="exact"/>
        <w:ind w:firstLine="566" w:firstLineChars="200"/>
        <w:rPr>
          <w:rFonts w:hint="eastAsia" w:ascii="华文仿宋" w:hAnsi="华文仿宋" w:cs="华文仿宋"/>
          <w:color w:val="auto"/>
        </w:rPr>
      </w:pPr>
      <w:r>
        <w:rPr>
          <w:rFonts w:hint="eastAsia" w:ascii="华文仿宋" w:hAnsi="华文仿宋" w:cs="华文仿宋"/>
          <w:color w:val="auto"/>
        </w:rPr>
        <w:t>2</w:t>
      </w:r>
      <w:r>
        <w:rPr>
          <w:rFonts w:hint="eastAsia" w:ascii="华文仿宋" w:hAnsi="华文仿宋" w:cs="华文仿宋"/>
          <w:color w:val="auto"/>
          <w:lang w:val="en-US" w:eastAsia="zh-CN"/>
        </w:rPr>
        <w:t>.</w:t>
      </w:r>
      <w:r>
        <w:rPr>
          <w:rFonts w:hint="eastAsia" w:ascii="华文仿宋" w:hAnsi="华文仿宋" w:cs="华文仿宋"/>
          <w:color w:val="auto"/>
        </w:rPr>
        <w:t>开启后电子响应文件已解密但评审结论未形成的：</w:t>
      </w:r>
    </w:p>
    <w:p w14:paraId="0819CD19">
      <w:pPr>
        <w:spacing w:line="500" w:lineRule="exact"/>
        <w:ind w:firstLine="566" w:firstLineChars="200"/>
        <w:rPr>
          <w:rFonts w:hint="eastAsia" w:ascii="华文仿宋" w:hAnsi="华文仿宋" w:cs="华文仿宋"/>
          <w:color w:val="auto"/>
        </w:rPr>
      </w:pPr>
      <w:r>
        <w:rPr>
          <w:rFonts w:hint="eastAsia" w:ascii="华文仿宋" w:hAnsi="华文仿宋" w:cs="华文仿宋"/>
          <w:color w:val="auto"/>
          <w:lang w:eastAsia="zh-CN"/>
        </w:rPr>
        <w:t>（</w:t>
      </w:r>
      <w:r>
        <w:rPr>
          <w:rFonts w:hint="eastAsia" w:ascii="华文仿宋" w:hAnsi="华文仿宋" w:cs="华文仿宋"/>
          <w:color w:val="auto"/>
          <w:lang w:val="en-US" w:eastAsia="zh-CN"/>
        </w:rPr>
        <w:t>1</w:t>
      </w:r>
      <w:r>
        <w:rPr>
          <w:rFonts w:hint="eastAsia" w:ascii="华文仿宋" w:hAnsi="华文仿宋" w:cs="华文仿宋"/>
          <w:color w:val="auto"/>
          <w:lang w:eastAsia="zh-CN"/>
        </w:rPr>
        <w:t>）</w:t>
      </w:r>
      <w:r>
        <w:rPr>
          <w:rFonts w:hint="eastAsia" w:ascii="华文仿宋" w:hAnsi="华文仿宋" w:cs="华文仿宋"/>
          <w:color w:val="auto"/>
        </w:rPr>
        <w:t>上午开标的项目，在上午下班前仍未解决的，将发布废标公告，重新组织采购活动；</w:t>
      </w:r>
    </w:p>
    <w:p w14:paraId="14C69488">
      <w:pPr>
        <w:spacing w:line="500" w:lineRule="exact"/>
        <w:ind w:firstLine="566" w:firstLineChars="200"/>
        <w:rPr>
          <w:rFonts w:hint="eastAsia" w:ascii="华文仿宋" w:hAnsi="华文仿宋" w:cs="华文仿宋"/>
          <w:color w:val="auto"/>
        </w:rPr>
      </w:pPr>
      <w:r>
        <w:rPr>
          <w:rFonts w:hint="eastAsia" w:ascii="华文仿宋" w:hAnsi="华文仿宋" w:cs="华文仿宋"/>
          <w:color w:val="auto"/>
          <w:lang w:eastAsia="zh-CN"/>
        </w:rPr>
        <w:t>（</w:t>
      </w:r>
      <w:r>
        <w:rPr>
          <w:rFonts w:hint="eastAsia" w:ascii="华文仿宋" w:hAnsi="华文仿宋" w:cs="华文仿宋"/>
          <w:color w:val="auto"/>
          <w:lang w:val="en-US" w:eastAsia="zh-CN"/>
        </w:rPr>
        <w:t>2</w:t>
      </w:r>
      <w:r>
        <w:rPr>
          <w:rFonts w:hint="eastAsia" w:ascii="华文仿宋" w:hAnsi="华文仿宋" w:cs="华文仿宋"/>
          <w:color w:val="auto"/>
          <w:lang w:eastAsia="zh-CN"/>
        </w:rPr>
        <w:t>）</w:t>
      </w:r>
      <w:r>
        <w:rPr>
          <w:rFonts w:hint="eastAsia" w:ascii="华文仿宋" w:hAnsi="华文仿宋" w:cs="华文仿宋"/>
          <w:color w:val="auto"/>
        </w:rPr>
        <w:t>下午开标的项目，在下午下班前仍未解决的，将发布废标公告，重新组织采购活动。</w:t>
      </w:r>
    </w:p>
    <w:p w14:paraId="42C9B7F2">
      <w:pPr>
        <w:spacing w:line="500" w:lineRule="exact"/>
        <w:ind w:firstLine="566" w:firstLineChars="200"/>
        <w:rPr>
          <w:rFonts w:hint="eastAsia" w:ascii="华文仿宋" w:hAnsi="华文仿宋" w:cs="华文仿宋"/>
          <w:color w:val="auto"/>
        </w:rPr>
      </w:pPr>
      <w:r>
        <w:rPr>
          <w:rFonts w:hint="eastAsia" w:ascii="华文仿宋" w:hAnsi="华文仿宋" w:cs="华文仿宋"/>
          <w:color w:val="auto"/>
        </w:rPr>
        <w:t>3</w:t>
      </w:r>
      <w:r>
        <w:rPr>
          <w:rFonts w:hint="eastAsia" w:ascii="华文仿宋" w:hAnsi="华文仿宋" w:cs="华文仿宋"/>
          <w:color w:val="auto"/>
          <w:lang w:val="en-US" w:eastAsia="zh-CN"/>
        </w:rPr>
        <w:t>.</w:t>
      </w:r>
      <w:r>
        <w:rPr>
          <w:rFonts w:hint="eastAsia" w:ascii="华文仿宋" w:hAnsi="华文仿宋" w:cs="华文仿宋"/>
          <w:color w:val="auto"/>
        </w:rPr>
        <w:t>开标后电子投标文件已解密且评审结论已形成的，待特殊情况排除后，继续完成评审活动。</w:t>
      </w:r>
    </w:p>
    <w:p w14:paraId="519F398A">
      <w:pPr>
        <w:pStyle w:val="3"/>
        <w:spacing w:line="500" w:lineRule="exact"/>
        <w:ind w:firstLine="566" w:firstLineChars="200"/>
        <w:rPr>
          <w:rFonts w:ascii="华文仿宋" w:cs="Times New Roman"/>
          <w:color w:val="auto"/>
          <w:sz w:val="28"/>
          <w:szCs w:val="28"/>
        </w:rPr>
      </w:pPr>
      <w:bookmarkStart w:id="367" w:name="_Toc25858"/>
      <w:bookmarkEnd w:id="367"/>
      <w:bookmarkStart w:id="368" w:name="_Toc13241"/>
      <w:bookmarkEnd w:id="368"/>
      <w:bookmarkStart w:id="369" w:name="_Toc16618"/>
      <w:bookmarkEnd w:id="369"/>
      <w:bookmarkStart w:id="370" w:name="_Toc9634"/>
      <w:bookmarkEnd w:id="370"/>
      <w:bookmarkStart w:id="371" w:name="_Toc24074"/>
      <w:bookmarkEnd w:id="371"/>
      <w:r>
        <w:rPr>
          <w:rFonts w:hint="eastAsia" w:ascii="华文仿宋" w:hAnsi="华文仿宋" w:cs="华文仿宋"/>
          <w:color w:val="auto"/>
          <w:sz w:val="28"/>
          <w:szCs w:val="28"/>
        </w:rPr>
        <w:t>七、资格审查</w:t>
      </w:r>
    </w:p>
    <w:p w14:paraId="74E502BB">
      <w:pPr>
        <w:spacing w:line="500" w:lineRule="exact"/>
        <w:ind w:firstLine="566" w:firstLineChars="200"/>
        <w:rPr>
          <w:rFonts w:ascii="华文仿宋" w:cs="Times New Roman"/>
          <w:color w:val="auto"/>
        </w:rPr>
      </w:pPr>
      <w:r>
        <w:rPr>
          <w:rFonts w:hint="eastAsia" w:ascii="华文仿宋" w:hAnsi="华文仿宋" w:cs="华文仿宋"/>
          <w:color w:val="auto"/>
        </w:rPr>
        <w:t>（一）开标结束后，由采购人按照《政府采购货物和服务招标投标管理办法》（财政部第</w:t>
      </w:r>
      <w:r>
        <w:rPr>
          <w:rFonts w:ascii="仿宋" w:hAnsi="仿宋" w:eastAsia="仿宋" w:cs="仿宋"/>
          <w:color w:val="auto"/>
        </w:rPr>
        <w:t>87</w:t>
      </w:r>
      <w:r>
        <w:rPr>
          <w:rFonts w:hint="eastAsia" w:ascii="华文仿宋" w:hAnsi="华文仿宋" w:cs="华文仿宋"/>
          <w:color w:val="auto"/>
        </w:rPr>
        <w:t>号令）有关规定，对投标文件中的投标人资格证明文件进行审查。</w:t>
      </w:r>
    </w:p>
    <w:p w14:paraId="6418802D">
      <w:pPr>
        <w:spacing w:line="500" w:lineRule="exact"/>
        <w:ind w:firstLine="566" w:firstLineChars="200"/>
        <w:rPr>
          <w:rFonts w:ascii="华文仿宋" w:cs="Times New Roman"/>
          <w:b/>
          <w:bCs/>
          <w:color w:val="auto"/>
        </w:rPr>
      </w:pPr>
      <w:r>
        <w:rPr>
          <w:rFonts w:hint="eastAsia" w:ascii="华文仿宋" w:hAnsi="华文仿宋" w:cs="华文仿宋"/>
          <w:b/>
          <w:bCs/>
          <w:color w:val="auto"/>
        </w:rPr>
        <w:t>（二）出现下列情形的，投标文件将被视为无效：</w:t>
      </w:r>
    </w:p>
    <w:p w14:paraId="616DA792">
      <w:pPr>
        <w:spacing w:line="500" w:lineRule="exact"/>
        <w:ind w:firstLine="566" w:firstLineChars="200"/>
        <w:rPr>
          <w:rFonts w:ascii="华文仿宋" w:cs="Times New Roman"/>
          <w:color w:val="auto"/>
        </w:rPr>
      </w:pPr>
      <w:r>
        <w:rPr>
          <w:rFonts w:hint="eastAsia" w:ascii="华文仿宋" w:hAnsi="华文仿宋" w:cs="华文仿宋"/>
          <w:color w:val="auto"/>
          <w:lang w:val="en-US" w:eastAsia="zh-CN"/>
        </w:rPr>
        <w:t>1.</w:t>
      </w:r>
      <w:r>
        <w:rPr>
          <w:rFonts w:hint="eastAsia" w:ascii="华文仿宋" w:hAnsi="华文仿宋" w:cs="华文仿宋"/>
          <w:color w:val="auto"/>
        </w:rPr>
        <w:t>不具备招标文件中规定的资格要求的；</w:t>
      </w:r>
    </w:p>
    <w:p w14:paraId="4B063619">
      <w:pPr>
        <w:spacing w:line="500" w:lineRule="exact"/>
        <w:ind w:firstLine="566" w:firstLineChars="200"/>
        <w:rPr>
          <w:rFonts w:ascii="华文仿宋" w:cs="Times New Roman"/>
          <w:color w:val="auto"/>
        </w:rPr>
      </w:pPr>
      <w:r>
        <w:rPr>
          <w:rFonts w:hint="eastAsia" w:ascii="华文仿宋" w:hAnsi="华文仿宋" w:cs="华文仿宋"/>
          <w:color w:val="auto"/>
          <w:lang w:val="en-US" w:eastAsia="zh-CN"/>
        </w:rPr>
        <w:t>2.</w:t>
      </w:r>
      <w:r>
        <w:rPr>
          <w:rFonts w:hint="eastAsia" w:ascii="华文仿宋" w:hAnsi="华文仿宋" w:cs="华文仿宋"/>
          <w:color w:val="auto"/>
        </w:rPr>
        <w:t>未按招标文件要求提供资格证明文件，或未按招标文件要求加盖公章的；</w:t>
      </w:r>
    </w:p>
    <w:p w14:paraId="0FE1EC77">
      <w:pPr>
        <w:spacing w:line="500" w:lineRule="exact"/>
        <w:ind w:firstLine="566" w:firstLineChars="200"/>
        <w:rPr>
          <w:rFonts w:ascii="华文仿宋" w:cs="Times New Roman"/>
          <w:color w:val="auto"/>
        </w:rPr>
      </w:pPr>
      <w:r>
        <w:rPr>
          <w:rFonts w:hint="eastAsia" w:ascii="华文仿宋" w:hAnsi="华文仿宋" w:cs="华文仿宋"/>
          <w:color w:val="auto"/>
          <w:lang w:val="en-US" w:eastAsia="zh-CN"/>
        </w:rPr>
        <w:t>3.</w:t>
      </w:r>
      <w:r>
        <w:rPr>
          <w:rFonts w:hint="eastAsia" w:ascii="华文仿宋" w:hAnsi="华文仿宋" w:cs="华文仿宋"/>
          <w:color w:val="auto"/>
        </w:rPr>
        <w:t>资格审查小组认为投标人的资格证明文件存在疑点，要求投标人通过公共资源电子交易平台（以下简称“平台”）或电子邮件（在平台无法支持的情况下）等形式提供更清晰有效的证明文件，投标人不能在规定时限内提供符合招标文件要求的证明文件的。</w:t>
      </w:r>
    </w:p>
    <w:p w14:paraId="7F2D4EE3">
      <w:pPr>
        <w:spacing w:line="500" w:lineRule="exact"/>
        <w:ind w:firstLine="566" w:firstLineChars="200"/>
        <w:rPr>
          <w:rFonts w:ascii="华文仿宋" w:cs="Times New Roman"/>
          <w:color w:val="auto"/>
        </w:rPr>
      </w:pPr>
      <w:r>
        <w:rPr>
          <w:rFonts w:hint="eastAsia" w:ascii="华文仿宋" w:hAnsi="华文仿宋" w:cs="华文仿宋"/>
          <w:color w:val="auto"/>
        </w:rPr>
        <w:t>（三）资格审查结束后，资格审查小组成员应当对审查结果进行签字确认，并告知无效投标人资格审查未通过的原因。</w:t>
      </w:r>
    </w:p>
    <w:p w14:paraId="7D493770">
      <w:pPr>
        <w:spacing w:line="500" w:lineRule="exact"/>
        <w:ind w:firstLine="566" w:firstLineChars="200"/>
        <w:rPr>
          <w:rFonts w:ascii="华文仿宋" w:cs="Times New Roman"/>
          <w:color w:val="auto"/>
        </w:rPr>
      </w:pPr>
      <w:r>
        <w:rPr>
          <w:rFonts w:hint="eastAsia" w:ascii="华文仿宋" w:hAnsi="华文仿宋" w:cs="华文仿宋"/>
          <w:color w:val="auto"/>
        </w:rPr>
        <w:t>（四）合格投标人不足</w:t>
      </w:r>
      <w:r>
        <w:rPr>
          <w:rFonts w:ascii="仿宋" w:hAnsi="仿宋" w:eastAsia="仿宋" w:cs="仿宋"/>
          <w:color w:val="auto"/>
        </w:rPr>
        <w:t>3</w:t>
      </w:r>
      <w:r>
        <w:rPr>
          <w:rFonts w:hint="eastAsia" w:ascii="华文仿宋" w:hAnsi="华文仿宋" w:cs="华文仿宋"/>
          <w:color w:val="auto"/>
        </w:rPr>
        <w:t>家的，不得评标，应予以废标。</w:t>
      </w:r>
    </w:p>
    <w:p w14:paraId="5076C155">
      <w:pPr>
        <w:pStyle w:val="3"/>
        <w:spacing w:line="500" w:lineRule="exact"/>
        <w:ind w:firstLine="566" w:firstLineChars="200"/>
        <w:rPr>
          <w:rFonts w:ascii="华文仿宋" w:cs="Times New Roman"/>
          <w:color w:val="auto"/>
          <w:sz w:val="28"/>
          <w:szCs w:val="28"/>
        </w:rPr>
      </w:pPr>
      <w:bookmarkStart w:id="372" w:name="_Toc23119"/>
      <w:bookmarkEnd w:id="372"/>
      <w:bookmarkStart w:id="373" w:name="_Toc5422"/>
      <w:bookmarkEnd w:id="373"/>
      <w:bookmarkStart w:id="374" w:name="_Toc5711"/>
      <w:bookmarkEnd w:id="374"/>
      <w:bookmarkStart w:id="375" w:name="_Toc5987"/>
      <w:bookmarkEnd w:id="375"/>
      <w:bookmarkStart w:id="376" w:name="_Toc25619"/>
      <w:bookmarkEnd w:id="376"/>
      <w:r>
        <w:rPr>
          <w:rFonts w:hint="eastAsia" w:ascii="华文仿宋" w:hAnsi="华文仿宋" w:cs="华文仿宋"/>
          <w:color w:val="auto"/>
          <w:sz w:val="28"/>
          <w:szCs w:val="28"/>
        </w:rPr>
        <w:t>八、组织评标</w:t>
      </w:r>
    </w:p>
    <w:p w14:paraId="72941E80">
      <w:pPr>
        <w:pStyle w:val="3"/>
        <w:spacing w:line="500" w:lineRule="exact"/>
        <w:ind w:firstLine="566" w:firstLineChars="200"/>
        <w:rPr>
          <w:rFonts w:ascii="华文仿宋" w:cs="Times New Roman"/>
          <w:color w:val="auto"/>
          <w:sz w:val="28"/>
          <w:szCs w:val="28"/>
        </w:rPr>
      </w:pPr>
      <w:bookmarkStart w:id="377" w:name="_Toc16555"/>
      <w:bookmarkEnd w:id="377"/>
      <w:bookmarkStart w:id="378" w:name="_Toc11391"/>
      <w:bookmarkEnd w:id="378"/>
      <w:bookmarkStart w:id="379" w:name="_Toc17284"/>
      <w:bookmarkEnd w:id="379"/>
      <w:bookmarkStart w:id="380" w:name="_Toc31430"/>
      <w:bookmarkEnd w:id="380"/>
      <w:bookmarkStart w:id="381" w:name="_Toc13209"/>
      <w:bookmarkEnd w:id="381"/>
      <w:bookmarkStart w:id="382" w:name="_Toc32509"/>
      <w:bookmarkEnd w:id="382"/>
      <w:bookmarkStart w:id="383" w:name="_Toc5675"/>
      <w:bookmarkEnd w:id="383"/>
      <w:bookmarkStart w:id="384" w:name="_Toc17770"/>
      <w:bookmarkEnd w:id="384"/>
      <w:bookmarkStart w:id="385" w:name="_Toc22084"/>
      <w:bookmarkEnd w:id="385"/>
      <w:r>
        <w:rPr>
          <w:rFonts w:hint="eastAsia" w:ascii="华文仿宋" w:hAnsi="华文仿宋" w:cs="华文仿宋"/>
          <w:color w:val="auto"/>
          <w:sz w:val="28"/>
          <w:szCs w:val="28"/>
        </w:rPr>
        <w:t>（一）采购代理机构负责组织评标工作，并履行下列职责：</w:t>
      </w:r>
    </w:p>
    <w:p w14:paraId="49C61FEB">
      <w:pPr>
        <w:pStyle w:val="25"/>
        <w:spacing w:beforeAutospacing="0" w:afterAutospacing="0" w:line="500" w:lineRule="exact"/>
        <w:ind w:firstLine="566" w:firstLineChars="200"/>
        <w:rPr>
          <w:rFonts w:ascii="华文仿宋" w:cs="Times New Roman"/>
          <w:color w:val="auto"/>
          <w:sz w:val="28"/>
          <w:szCs w:val="28"/>
        </w:rPr>
      </w:pPr>
      <w:r>
        <w:rPr>
          <w:rFonts w:ascii="华文仿宋" w:hAnsi="华文仿宋" w:cs="华文仿宋"/>
          <w:color w:val="auto"/>
          <w:sz w:val="28"/>
          <w:szCs w:val="28"/>
          <w:shd w:val="clear" w:color="auto" w:fill="FFFFFF"/>
        </w:rPr>
        <w:t>1</w:t>
      </w:r>
      <w:r>
        <w:rPr>
          <w:rFonts w:hint="eastAsia" w:ascii="华文仿宋" w:hAnsi="华文仿宋" w:cs="华文仿宋"/>
          <w:color w:val="auto"/>
          <w:sz w:val="28"/>
          <w:szCs w:val="28"/>
          <w:shd w:val="clear" w:color="auto" w:fill="FFFFFF"/>
          <w:lang w:val="en-US" w:eastAsia="zh-CN"/>
        </w:rPr>
        <w:t>.</w:t>
      </w:r>
      <w:r>
        <w:rPr>
          <w:rFonts w:hint="eastAsia" w:ascii="华文仿宋" w:hAnsi="华文仿宋" w:cs="华文仿宋"/>
          <w:color w:val="auto"/>
          <w:sz w:val="28"/>
          <w:szCs w:val="28"/>
          <w:shd w:val="clear" w:color="auto" w:fill="FFFFFF"/>
        </w:rPr>
        <w:t>核对评审专家身份和采购人代表授权函，对评审专家在政府采购活动中的职责履行情况予以记录，并及时将有关违法违规行为向财政部门报告</w:t>
      </w:r>
      <w:r>
        <w:rPr>
          <w:rFonts w:ascii="华文仿宋" w:hAnsi="华文仿宋" w:cs="华文仿宋"/>
          <w:color w:val="auto"/>
          <w:sz w:val="28"/>
          <w:szCs w:val="28"/>
          <w:shd w:val="clear" w:color="auto" w:fill="FFFFFF"/>
        </w:rPr>
        <w:t>;</w:t>
      </w:r>
    </w:p>
    <w:p w14:paraId="59EC468D">
      <w:pPr>
        <w:pStyle w:val="25"/>
        <w:spacing w:beforeAutospacing="0" w:afterAutospacing="0" w:line="500" w:lineRule="exact"/>
        <w:ind w:firstLine="566" w:firstLineChars="200"/>
        <w:rPr>
          <w:rFonts w:ascii="华文仿宋" w:cs="Times New Roman"/>
          <w:color w:val="auto"/>
          <w:sz w:val="28"/>
          <w:szCs w:val="28"/>
        </w:rPr>
      </w:pPr>
      <w:r>
        <w:rPr>
          <w:rFonts w:ascii="华文仿宋" w:hAnsi="华文仿宋" w:cs="华文仿宋"/>
          <w:color w:val="auto"/>
          <w:sz w:val="28"/>
          <w:szCs w:val="28"/>
          <w:shd w:val="clear" w:color="auto" w:fill="FFFFFF"/>
        </w:rPr>
        <w:t>2</w:t>
      </w:r>
      <w:r>
        <w:rPr>
          <w:rFonts w:hint="eastAsia" w:ascii="华文仿宋" w:hAnsi="华文仿宋" w:cs="华文仿宋"/>
          <w:color w:val="auto"/>
          <w:sz w:val="28"/>
          <w:szCs w:val="28"/>
          <w:shd w:val="clear" w:color="auto" w:fill="FFFFFF"/>
          <w:lang w:val="en-US" w:eastAsia="zh-CN"/>
        </w:rPr>
        <w:t>.</w:t>
      </w:r>
      <w:r>
        <w:rPr>
          <w:rFonts w:hint="eastAsia" w:ascii="华文仿宋" w:hAnsi="华文仿宋" w:cs="华文仿宋"/>
          <w:color w:val="auto"/>
          <w:sz w:val="28"/>
          <w:szCs w:val="28"/>
          <w:shd w:val="clear" w:color="auto" w:fill="FFFFFF"/>
        </w:rPr>
        <w:t>宣布评标纪律</w:t>
      </w:r>
      <w:r>
        <w:rPr>
          <w:rFonts w:ascii="华文仿宋" w:hAnsi="华文仿宋" w:cs="华文仿宋"/>
          <w:color w:val="auto"/>
          <w:sz w:val="28"/>
          <w:szCs w:val="28"/>
          <w:shd w:val="clear" w:color="auto" w:fill="FFFFFF"/>
        </w:rPr>
        <w:t>;</w:t>
      </w:r>
    </w:p>
    <w:p w14:paraId="36404A1D">
      <w:pPr>
        <w:pStyle w:val="25"/>
        <w:spacing w:beforeAutospacing="0" w:afterAutospacing="0" w:line="500" w:lineRule="exact"/>
        <w:ind w:firstLine="566" w:firstLineChars="200"/>
        <w:rPr>
          <w:rFonts w:ascii="华文仿宋" w:cs="Times New Roman"/>
          <w:color w:val="auto"/>
          <w:sz w:val="28"/>
          <w:szCs w:val="28"/>
        </w:rPr>
      </w:pPr>
      <w:r>
        <w:rPr>
          <w:rFonts w:ascii="华文仿宋" w:hAnsi="华文仿宋" w:cs="华文仿宋"/>
          <w:color w:val="auto"/>
          <w:sz w:val="28"/>
          <w:szCs w:val="28"/>
          <w:shd w:val="clear" w:color="auto" w:fill="FFFFFF"/>
        </w:rPr>
        <w:t>3</w:t>
      </w:r>
      <w:r>
        <w:rPr>
          <w:rFonts w:hint="eastAsia" w:ascii="华文仿宋" w:hAnsi="华文仿宋" w:cs="华文仿宋"/>
          <w:color w:val="auto"/>
          <w:sz w:val="28"/>
          <w:szCs w:val="28"/>
          <w:shd w:val="clear" w:color="auto" w:fill="FFFFFF"/>
          <w:lang w:val="en-US" w:eastAsia="zh-CN"/>
        </w:rPr>
        <w:t>.</w:t>
      </w:r>
      <w:r>
        <w:rPr>
          <w:rFonts w:hint="eastAsia" w:ascii="华文仿宋" w:hAnsi="华文仿宋" w:cs="华文仿宋"/>
          <w:color w:val="auto"/>
          <w:sz w:val="28"/>
          <w:szCs w:val="28"/>
          <w:shd w:val="clear" w:color="auto" w:fill="FFFFFF"/>
        </w:rPr>
        <w:t>公布投标人名单，告知评审专家应当回避的情形</w:t>
      </w:r>
      <w:r>
        <w:rPr>
          <w:rFonts w:ascii="华文仿宋" w:hAnsi="华文仿宋" w:cs="华文仿宋"/>
          <w:color w:val="auto"/>
          <w:sz w:val="28"/>
          <w:szCs w:val="28"/>
          <w:shd w:val="clear" w:color="auto" w:fill="FFFFFF"/>
        </w:rPr>
        <w:t>;</w:t>
      </w:r>
    </w:p>
    <w:p w14:paraId="17A2A74F">
      <w:pPr>
        <w:pStyle w:val="25"/>
        <w:spacing w:beforeAutospacing="0" w:afterAutospacing="0" w:line="500" w:lineRule="exact"/>
        <w:ind w:firstLine="566" w:firstLineChars="200"/>
        <w:rPr>
          <w:rFonts w:ascii="华文仿宋" w:cs="Times New Roman"/>
          <w:color w:val="auto"/>
          <w:sz w:val="28"/>
          <w:szCs w:val="28"/>
        </w:rPr>
      </w:pPr>
      <w:r>
        <w:rPr>
          <w:rFonts w:ascii="华文仿宋" w:hAnsi="华文仿宋" w:cs="华文仿宋"/>
          <w:color w:val="auto"/>
          <w:sz w:val="28"/>
          <w:szCs w:val="28"/>
          <w:shd w:val="clear" w:color="auto" w:fill="FFFFFF"/>
        </w:rPr>
        <w:t>4</w:t>
      </w:r>
      <w:r>
        <w:rPr>
          <w:rFonts w:hint="eastAsia" w:ascii="华文仿宋" w:hAnsi="华文仿宋" w:cs="华文仿宋"/>
          <w:color w:val="auto"/>
          <w:sz w:val="28"/>
          <w:szCs w:val="28"/>
          <w:shd w:val="clear" w:color="auto" w:fill="FFFFFF"/>
          <w:lang w:val="en-US" w:eastAsia="zh-CN"/>
        </w:rPr>
        <w:t>.</w:t>
      </w:r>
      <w:r>
        <w:rPr>
          <w:rFonts w:hint="eastAsia" w:ascii="华文仿宋" w:hAnsi="华文仿宋" w:cs="华文仿宋"/>
          <w:color w:val="auto"/>
          <w:sz w:val="28"/>
          <w:szCs w:val="28"/>
          <w:shd w:val="clear" w:color="auto" w:fill="FFFFFF"/>
        </w:rPr>
        <w:t>组织评标委员会推选评标组长，采购人代表不得担任组长</w:t>
      </w:r>
      <w:r>
        <w:rPr>
          <w:rFonts w:ascii="华文仿宋" w:hAnsi="华文仿宋" w:cs="华文仿宋"/>
          <w:color w:val="auto"/>
          <w:sz w:val="28"/>
          <w:szCs w:val="28"/>
          <w:shd w:val="clear" w:color="auto" w:fill="FFFFFF"/>
        </w:rPr>
        <w:t>;</w:t>
      </w:r>
    </w:p>
    <w:p w14:paraId="6EC42E0F">
      <w:pPr>
        <w:spacing w:line="500" w:lineRule="exact"/>
        <w:ind w:firstLine="566" w:firstLineChars="200"/>
        <w:jc w:val="left"/>
        <w:rPr>
          <w:rFonts w:ascii="仿宋" w:hAnsi="仿宋" w:eastAsia="仿宋" w:cs="仿宋"/>
          <w:color w:val="auto"/>
        </w:rPr>
      </w:pPr>
      <w:r>
        <w:rPr>
          <w:rFonts w:ascii="仿宋" w:hAnsi="仿宋" w:eastAsia="仿宋" w:cs="仿宋"/>
          <w:color w:val="auto"/>
        </w:rPr>
        <w:t>5</w:t>
      </w:r>
      <w:r>
        <w:rPr>
          <w:rFonts w:hint="eastAsia" w:ascii="仿宋" w:hAnsi="仿宋" w:eastAsia="仿宋" w:cs="仿宋"/>
          <w:color w:val="auto"/>
          <w:lang w:val="en-US" w:eastAsia="zh-CN"/>
        </w:rPr>
        <w:t>.</w:t>
      </w:r>
      <w:r>
        <w:rPr>
          <w:rFonts w:hint="eastAsia" w:ascii="仿宋" w:hAnsi="仿宋" w:eastAsia="仿宋" w:cs="仿宋"/>
          <w:color w:val="auto"/>
        </w:rPr>
        <w:t>在评审期间采取必要的通讯管理措施，保证评审活动不受外界干扰</w:t>
      </w:r>
      <w:r>
        <w:rPr>
          <w:rFonts w:ascii="仿宋" w:hAnsi="仿宋" w:eastAsia="仿宋" w:cs="仿宋"/>
          <w:color w:val="auto"/>
        </w:rPr>
        <w:t>;</w:t>
      </w:r>
    </w:p>
    <w:p w14:paraId="0FCF72AD">
      <w:pPr>
        <w:pStyle w:val="25"/>
        <w:spacing w:beforeAutospacing="0" w:afterAutospacing="0" w:line="500" w:lineRule="exact"/>
        <w:ind w:firstLine="566" w:firstLineChars="200"/>
        <w:rPr>
          <w:rFonts w:ascii="华文仿宋" w:cs="Times New Roman"/>
          <w:color w:val="auto"/>
          <w:sz w:val="28"/>
          <w:szCs w:val="28"/>
        </w:rPr>
      </w:pPr>
      <w:r>
        <w:rPr>
          <w:rFonts w:ascii="华文仿宋" w:hAnsi="华文仿宋" w:cs="华文仿宋"/>
          <w:color w:val="auto"/>
          <w:sz w:val="28"/>
          <w:szCs w:val="28"/>
          <w:shd w:val="clear" w:color="auto" w:fill="FFFFFF"/>
        </w:rPr>
        <w:t>6</w:t>
      </w:r>
      <w:r>
        <w:rPr>
          <w:rFonts w:hint="eastAsia" w:ascii="华文仿宋" w:hAnsi="华文仿宋" w:cs="华文仿宋"/>
          <w:color w:val="auto"/>
          <w:sz w:val="28"/>
          <w:szCs w:val="28"/>
          <w:shd w:val="clear" w:color="auto" w:fill="FFFFFF"/>
          <w:lang w:val="en-US" w:eastAsia="zh-CN"/>
        </w:rPr>
        <w:t>.</w:t>
      </w:r>
      <w:r>
        <w:rPr>
          <w:rFonts w:hint="eastAsia" w:ascii="华文仿宋" w:hAnsi="华文仿宋" w:cs="华文仿宋"/>
          <w:color w:val="auto"/>
          <w:sz w:val="28"/>
          <w:szCs w:val="28"/>
          <w:shd w:val="clear" w:color="auto" w:fill="FFFFFF"/>
        </w:rPr>
        <w:t>根据评标委员会的要求介绍政府采购相关政策法规、招标文件</w:t>
      </w:r>
      <w:r>
        <w:rPr>
          <w:rFonts w:ascii="华文仿宋" w:hAnsi="华文仿宋" w:cs="华文仿宋"/>
          <w:color w:val="auto"/>
          <w:sz w:val="28"/>
          <w:szCs w:val="28"/>
          <w:shd w:val="clear" w:color="auto" w:fill="FFFFFF"/>
        </w:rPr>
        <w:t>;</w:t>
      </w:r>
    </w:p>
    <w:p w14:paraId="7F5096E9">
      <w:pPr>
        <w:pStyle w:val="25"/>
        <w:spacing w:beforeAutospacing="0" w:afterAutospacing="0" w:line="500" w:lineRule="exact"/>
        <w:ind w:firstLine="566" w:firstLineChars="200"/>
        <w:rPr>
          <w:rFonts w:ascii="华文仿宋" w:cs="Times New Roman"/>
          <w:color w:val="auto"/>
          <w:sz w:val="28"/>
          <w:szCs w:val="28"/>
        </w:rPr>
      </w:pPr>
      <w:r>
        <w:rPr>
          <w:rFonts w:ascii="华文仿宋" w:hAnsi="华文仿宋" w:cs="华文仿宋"/>
          <w:color w:val="auto"/>
          <w:sz w:val="28"/>
          <w:szCs w:val="28"/>
          <w:shd w:val="clear" w:color="auto" w:fill="FFFFFF"/>
        </w:rPr>
        <w:t>7</w:t>
      </w:r>
      <w:r>
        <w:rPr>
          <w:rFonts w:hint="eastAsia" w:ascii="华文仿宋" w:hAnsi="华文仿宋" w:cs="华文仿宋"/>
          <w:color w:val="auto"/>
          <w:sz w:val="28"/>
          <w:szCs w:val="28"/>
          <w:shd w:val="clear" w:color="auto" w:fill="FFFFFF"/>
          <w:lang w:val="en-US" w:eastAsia="zh-CN"/>
        </w:rPr>
        <w:t>.</w:t>
      </w:r>
      <w:r>
        <w:rPr>
          <w:rFonts w:hint="eastAsia" w:ascii="华文仿宋" w:hAnsi="华文仿宋" w:cs="华文仿宋"/>
          <w:color w:val="auto"/>
          <w:sz w:val="28"/>
          <w:szCs w:val="28"/>
          <w:shd w:val="clear" w:color="auto" w:fill="FFFFFF"/>
        </w:rPr>
        <w:t>维护评标秩序，监督评标委员会依照招标文件规定的评标程序、方法和标准进行独立评审，及时制止和纠正采购人代表、评审专家的倾向性言论或者违法违规行为</w:t>
      </w:r>
      <w:r>
        <w:rPr>
          <w:rFonts w:ascii="华文仿宋" w:hAnsi="华文仿宋" w:cs="华文仿宋"/>
          <w:color w:val="auto"/>
          <w:sz w:val="28"/>
          <w:szCs w:val="28"/>
          <w:shd w:val="clear" w:color="auto" w:fill="FFFFFF"/>
        </w:rPr>
        <w:t>;</w:t>
      </w:r>
    </w:p>
    <w:p w14:paraId="4ECF5788">
      <w:pPr>
        <w:pStyle w:val="25"/>
        <w:spacing w:beforeAutospacing="0" w:afterAutospacing="0" w:line="500" w:lineRule="exact"/>
        <w:ind w:firstLine="566" w:firstLineChars="200"/>
        <w:rPr>
          <w:rFonts w:ascii="华文仿宋" w:cs="Times New Roman"/>
          <w:color w:val="auto"/>
          <w:sz w:val="28"/>
          <w:szCs w:val="28"/>
        </w:rPr>
      </w:pPr>
      <w:r>
        <w:rPr>
          <w:rFonts w:ascii="华文仿宋" w:hAnsi="华文仿宋" w:cs="华文仿宋"/>
          <w:color w:val="auto"/>
          <w:sz w:val="28"/>
          <w:szCs w:val="28"/>
          <w:shd w:val="clear" w:color="auto" w:fill="FFFFFF"/>
        </w:rPr>
        <w:t>8</w:t>
      </w:r>
      <w:r>
        <w:rPr>
          <w:rFonts w:hint="eastAsia" w:ascii="华文仿宋" w:hAnsi="华文仿宋" w:cs="华文仿宋"/>
          <w:color w:val="auto"/>
          <w:sz w:val="28"/>
          <w:szCs w:val="28"/>
          <w:shd w:val="clear" w:color="auto" w:fill="FFFFFF"/>
          <w:lang w:val="en-US" w:eastAsia="zh-CN"/>
        </w:rPr>
        <w:t>.</w:t>
      </w:r>
      <w:r>
        <w:rPr>
          <w:rFonts w:hint="eastAsia" w:ascii="华文仿宋" w:hAnsi="华文仿宋" w:cs="华文仿宋"/>
          <w:color w:val="auto"/>
          <w:sz w:val="28"/>
          <w:szCs w:val="28"/>
          <w:shd w:val="clear" w:color="auto" w:fill="FFFFFF"/>
        </w:rPr>
        <w:t>核对评标结果</w:t>
      </w:r>
      <w:r>
        <w:rPr>
          <w:rFonts w:ascii="华文仿宋" w:hAnsi="华文仿宋" w:cs="华文仿宋"/>
          <w:color w:val="auto"/>
          <w:sz w:val="28"/>
          <w:szCs w:val="28"/>
          <w:shd w:val="clear" w:color="auto" w:fill="FFFFFF"/>
        </w:rPr>
        <w:t>;</w:t>
      </w:r>
    </w:p>
    <w:p w14:paraId="25393AC5">
      <w:pPr>
        <w:pStyle w:val="25"/>
        <w:spacing w:beforeAutospacing="0" w:afterAutospacing="0" w:line="500" w:lineRule="exact"/>
        <w:ind w:firstLine="566" w:firstLineChars="200"/>
        <w:rPr>
          <w:rFonts w:ascii="华文仿宋" w:cs="Times New Roman"/>
          <w:color w:val="auto"/>
          <w:sz w:val="28"/>
          <w:szCs w:val="28"/>
        </w:rPr>
      </w:pPr>
      <w:r>
        <w:rPr>
          <w:rFonts w:ascii="华文仿宋" w:hAnsi="华文仿宋" w:cs="华文仿宋"/>
          <w:color w:val="auto"/>
          <w:sz w:val="28"/>
          <w:szCs w:val="28"/>
          <w:shd w:val="clear" w:color="auto" w:fill="FFFFFF"/>
        </w:rPr>
        <w:t>9</w:t>
      </w:r>
      <w:r>
        <w:rPr>
          <w:rFonts w:hint="eastAsia" w:ascii="华文仿宋" w:hAnsi="华文仿宋" w:cs="华文仿宋"/>
          <w:color w:val="auto"/>
          <w:sz w:val="28"/>
          <w:szCs w:val="28"/>
          <w:shd w:val="clear" w:color="auto" w:fill="FFFFFF"/>
          <w:lang w:val="en-US" w:eastAsia="zh-CN"/>
        </w:rPr>
        <w:t>.</w:t>
      </w:r>
      <w:r>
        <w:rPr>
          <w:rFonts w:hint="eastAsia" w:ascii="华文仿宋" w:hAnsi="华文仿宋" w:cs="华文仿宋"/>
          <w:color w:val="auto"/>
          <w:sz w:val="28"/>
          <w:szCs w:val="28"/>
          <w:shd w:val="clear" w:color="auto" w:fill="FFFFFF"/>
        </w:rPr>
        <w:t>评审工作完成后，按照规定向评审专家支付劳务报酬和异地评审差旅费，不得向评审专家以外的其他人员支付评审劳务报酬</w:t>
      </w:r>
      <w:r>
        <w:rPr>
          <w:rFonts w:ascii="华文仿宋" w:hAnsi="华文仿宋" w:cs="华文仿宋"/>
          <w:color w:val="auto"/>
          <w:sz w:val="28"/>
          <w:szCs w:val="28"/>
          <w:shd w:val="clear" w:color="auto" w:fill="FFFFFF"/>
        </w:rPr>
        <w:t>;</w:t>
      </w:r>
    </w:p>
    <w:p w14:paraId="3C5A3C8F">
      <w:pPr>
        <w:pStyle w:val="25"/>
        <w:spacing w:beforeAutospacing="0" w:afterAutospacing="0" w:line="500" w:lineRule="exact"/>
        <w:ind w:firstLine="566" w:firstLineChars="200"/>
        <w:rPr>
          <w:rFonts w:ascii="华文仿宋" w:cs="Times New Roman"/>
          <w:color w:val="auto"/>
          <w:sz w:val="28"/>
          <w:szCs w:val="28"/>
        </w:rPr>
      </w:pPr>
      <w:r>
        <w:rPr>
          <w:rFonts w:ascii="华文仿宋" w:hAnsi="华文仿宋" w:cs="华文仿宋"/>
          <w:color w:val="auto"/>
          <w:sz w:val="28"/>
          <w:szCs w:val="28"/>
          <w:shd w:val="clear" w:color="auto" w:fill="FFFFFF"/>
        </w:rPr>
        <w:t>10</w:t>
      </w:r>
      <w:r>
        <w:rPr>
          <w:rFonts w:hint="eastAsia" w:ascii="华文仿宋" w:hAnsi="华文仿宋" w:cs="华文仿宋"/>
          <w:color w:val="auto"/>
          <w:sz w:val="28"/>
          <w:szCs w:val="28"/>
          <w:shd w:val="clear" w:color="auto" w:fill="FFFFFF"/>
          <w:lang w:val="en-US" w:eastAsia="zh-CN"/>
        </w:rPr>
        <w:t>.</w:t>
      </w:r>
      <w:r>
        <w:rPr>
          <w:rFonts w:hint="eastAsia" w:ascii="华文仿宋" w:hAnsi="华文仿宋" w:cs="华文仿宋"/>
          <w:color w:val="auto"/>
          <w:sz w:val="28"/>
          <w:szCs w:val="28"/>
          <w:shd w:val="clear" w:color="auto" w:fill="FFFFFF"/>
        </w:rPr>
        <w:t>处理与评标有关的其他事项。</w:t>
      </w:r>
    </w:p>
    <w:p w14:paraId="7D8A26C4">
      <w:pPr>
        <w:pStyle w:val="25"/>
        <w:spacing w:beforeAutospacing="0" w:afterAutospacing="0" w:line="500" w:lineRule="exact"/>
        <w:ind w:firstLine="566" w:firstLineChars="200"/>
        <w:rPr>
          <w:rFonts w:ascii="华文仿宋" w:cs="Times New Roman"/>
          <w:color w:val="auto"/>
          <w:sz w:val="28"/>
          <w:szCs w:val="28"/>
        </w:rPr>
      </w:pPr>
      <w:r>
        <w:rPr>
          <w:rFonts w:hint="eastAsia" w:ascii="华文仿宋" w:hAnsi="华文仿宋" w:cs="华文仿宋"/>
          <w:color w:val="auto"/>
          <w:sz w:val="28"/>
          <w:szCs w:val="28"/>
          <w:shd w:val="clear" w:color="auto" w:fill="FFFFFF"/>
        </w:rPr>
        <w:t>采购人可以在评标前说明项目背景和采购需求，说明内容不得含有歧视性、倾向性意见，不得超出招标文件所述范围。说明应当提交书面材料，并随招标文件一并存档。</w:t>
      </w:r>
    </w:p>
    <w:p w14:paraId="7D25778D">
      <w:pPr>
        <w:pStyle w:val="3"/>
        <w:spacing w:line="500" w:lineRule="exact"/>
        <w:ind w:firstLine="566" w:firstLineChars="200"/>
        <w:rPr>
          <w:rFonts w:ascii="华文仿宋" w:cs="Times New Roman"/>
          <w:color w:val="auto"/>
          <w:sz w:val="28"/>
          <w:szCs w:val="28"/>
        </w:rPr>
      </w:pPr>
      <w:bookmarkStart w:id="386" w:name="_Toc11858"/>
      <w:bookmarkEnd w:id="386"/>
      <w:bookmarkStart w:id="387" w:name="_Toc29543"/>
      <w:bookmarkEnd w:id="387"/>
      <w:bookmarkStart w:id="388" w:name="_Toc10171"/>
      <w:bookmarkEnd w:id="388"/>
      <w:bookmarkStart w:id="389" w:name="_Toc12813"/>
      <w:bookmarkEnd w:id="389"/>
      <w:bookmarkStart w:id="390" w:name="_Toc3164"/>
      <w:bookmarkEnd w:id="390"/>
      <w:bookmarkStart w:id="391" w:name="_Toc12271"/>
      <w:bookmarkEnd w:id="391"/>
      <w:bookmarkStart w:id="392" w:name="_Toc1094"/>
      <w:bookmarkEnd w:id="392"/>
      <w:bookmarkStart w:id="393" w:name="_Toc13091"/>
      <w:bookmarkEnd w:id="393"/>
      <w:bookmarkStart w:id="394" w:name="_Toc10566"/>
      <w:bookmarkEnd w:id="394"/>
      <w:r>
        <w:rPr>
          <w:rFonts w:hint="eastAsia" w:ascii="华文仿宋" w:hAnsi="华文仿宋" w:cs="华文仿宋"/>
          <w:color w:val="auto"/>
          <w:sz w:val="28"/>
          <w:szCs w:val="28"/>
        </w:rPr>
        <w:t>（二）评标委员会负责具体评标事务，并独立履行下列职责：</w:t>
      </w:r>
    </w:p>
    <w:p w14:paraId="46F4F2BD">
      <w:pPr>
        <w:pStyle w:val="25"/>
        <w:spacing w:beforeAutospacing="0" w:afterAutospacing="0" w:line="500" w:lineRule="exact"/>
        <w:ind w:firstLine="566" w:firstLineChars="200"/>
        <w:rPr>
          <w:rFonts w:ascii="华文仿宋" w:cs="Times New Roman"/>
          <w:color w:val="auto"/>
          <w:sz w:val="28"/>
          <w:szCs w:val="28"/>
          <w:shd w:val="clear" w:color="auto" w:fill="FFFFFF"/>
        </w:rPr>
      </w:pPr>
      <w:r>
        <w:rPr>
          <w:rFonts w:ascii="华文仿宋" w:hAnsi="华文仿宋" w:cs="华文仿宋"/>
          <w:color w:val="auto"/>
          <w:sz w:val="28"/>
          <w:szCs w:val="28"/>
          <w:shd w:val="clear" w:color="auto" w:fill="FFFFFF"/>
        </w:rPr>
        <w:t>1</w:t>
      </w:r>
      <w:r>
        <w:rPr>
          <w:rFonts w:hint="eastAsia" w:ascii="华文仿宋" w:hAnsi="华文仿宋" w:cs="华文仿宋"/>
          <w:color w:val="auto"/>
          <w:sz w:val="28"/>
          <w:szCs w:val="28"/>
          <w:shd w:val="clear" w:color="auto" w:fill="FFFFFF"/>
          <w:lang w:val="en-US" w:eastAsia="zh-CN"/>
        </w:rPr>
        <w:t>.</w:t>
      </w:r>
      <w:r>
        <w:rPr>
          <w:rFonts w:hint="eastAsia" w:ascii="华文仿宋" w:hAnsi="华文仿宋" w:cs="华文仿宋"/>
          <w:color w:val="auto"/>
          <w:sz w:val="28"/>
          <w:szCs w:val="28"/>
          <w:shd w:val="clear" w:color="auto" w:fill="FFFFFF"/>
        </w:rPr>
        <w:t>严格遵守评审工作纪律，按照客观、公正、审慎的原则，根据招标文件规定的评审程序、评审方法和评审标准进行独立评审；</w:t>
      </w:r>
    </w:p>
    <w:p w14:paraId="0DF266DD">
      <w:pPr>
        <w:pStyle w:val="25"/>
        <w:spacing w:beforeAutospacing="0" w:afterAutospacing="0" w:line="500" w:lineRule="exact"/>
        <w:ind w:firstLine="566" w:firstLineChars="200"/>
        <w:rPr>
          <w:rFonts w:ascii="华文仿宋" w:cs="Times New Roman"/>
          <w:color w:val="auto"/>
          <w:sz w:val="28"/>
          <w:szCs w:val="28"/>
          <w:shd w:val="clear" w:color="auto" w:fill="FFFFFF"/>
        </w:rPr>
      </w:pPr>
      <w:r>
        <w:rPr>
          <w:rFonts w:ascii="华文仿宋" w:hAnsi="华文仿宋" w:cs="华文仿宋"/>
          <w:color w:val="auto"/>
          <w:sz w:val="28"/>
          <w:szCs w:val="28"/>
          <w:shd w:val="clear" w:color="auto" w:fill="FFFFFF"/>
        </w:rPr>
        <w:t>2</w:t>
      </w:r>
      <w:r>
        <w:rPr>
          <w:rFonts w:hint="eastAsia" w:ascii="华文仿宋" w:hAnsi="华文仿宋" w:cs="华文仿宋"/>
          <w:color w:val="auto"/>
          <w:sz w:val="28"/>
          <w:szCs w:val="28"/>
          <w:shd w:val="clear" w:color="auto" w:fill="FFFFFF"/>
          <w:lang w:val="en-US" w:eastAsia="zh-CN"/>
        </w:rPr>
        <w:t>.</w:t>
      </w:r>
      <w:r>
        <w:rPr>
          <w:rFonts w:hint="eastAsia" w:ascii="华文仿宋" w:hAnsi="华文仿宋" w:cs="华文仿宋"/>
          <w:color w:val="auto"/>
          <w:sz w:val="28"/>
          <w:szCs w:val="28"/>
          <w:shd w:val="clear" w:color="auto" w:fill="FFFFFF"/>
        </w:rPr>
        <w:t>招标文件内容违反国家有关强制性规定或者招标文件存在歧义、重大缺陷导致评审工作无法进行时，应当停止评审并向采购人或者采购代理机构书面说明情况；</w:t>
      </w:r>
    </w:p>
    <w:p w14:paraId="5F4EFF99">
      <w:pPr>
        <w:pStyle w:val="25"/>
        <w:spacing w:beforeAutospacing="0" w:afterAutospacing="0" w:line="500" w:lineRule="exact"/>
        <w:ind w:firstLine="566" w:firstLineChars="200"/>
        <w:rPr>
          <w:rFonts w:ascii="华文仿宋" w:cs="Times New Roman"/>
          <w:color w:val="auto"/>
          <w:sz w:val="28"/>
          <w:szCs w:val="28"/>
          <w:shd w:val="clear" w:color="auto" w:fill="FFFFFF"/>
        </w:rPr>
      </w:pPr>
      <w:r>
        <w:rPr>
          <w:rFonts w:ascii="华文仿宋" w:hAnsi="华文仿宋" w:cs="华文仿宋"/>
          <w:color w:val="auto"/>
          <w:sz w:val="28"/>
          <w:szCs w:val="28"/>
          <w:shd w:val="clear" w:color="auto" w:fill="FFFFFF"/>
        </w:rPr>
        <w:t>3</w:t>
      </w:r>
      <w:r>
        <w:rPr>
          <w:rFonts w:hint="eastAsia" w:ascii="华文仿宋" w:hAnsi="华文仿宋" w:cs="华文仿宋"/>
          <w:color w:val="auto"/>
          <w:sz w:val="28"/>
          <w:szCs w:val="28"/>
          <w:shd w:val="clear" w:color="auto" w:fill="FFFFFF"/>
          <w:lang w:val="en-US" w:eastAsia="zh-CN"/>
        </w:rPr>
        <w:t>.</w:t>
      </w:r>
      <w:r>
        <w:rPr>
          <w:rFonts w:hint="eastAsia" w:ascii="华文仿宋" w:hAnsi="华文仿宋" w:cs="华文仿宋"/>
          <w:color w:val="auto"/>
          <w:sz w:val="28"/>
          <w:szCs w:val="28"/>
          <w:shd w:val="clear" w:color="auto" w:fill="FFFFFF"/>
        </w:rPr>
        <w:t>审查、评价投标文件是否符合招标文件的商务、技术等实质性要求；</w:t>
      </w:r>
    </w:p>
    <w:p w14:paraId="57DEA7E8">
      <w:pPr>
        <w:pStyle w:val="25"/>
        <w:spacing w:beforeAutospacing="0" w:afterAutospacing="0" w:line="500" w:lineRule="exact"/>
        <w:ind w:firstLine="566" w:firstLineChars="200"/>
        <w:rPr>
          <w:rFonts w:ascii="华文仿宋" w:cs="Times New Roman"/>
          <w:color w:val="auto"/>
          <w:sz w:val="28"/>
          <w:szCs w:val="28"/>
          <w:shd w:val="clear" w:color="auto" w:fill="FFFFFF"/>
        </w:rPr>
      </w:pPr>
      <w:r>
        <w:rPr>
          <w:rFonts w:ascii="华文仿宋" w:hAnsi="华文仿宋" w:cs="华文仿宋"/>
          <w:color w:val="auto"/>
          <w:sz w:val="28"/>
          <w:szCs w:val="28"/>
          <w:shd w:val="clear" w:color="auto" w:fill="FFFFFF"/>
        </w:rPr>
        <w:t>4</w:t>
      </w:r>
      <w:r>
        <w:rPr>
          <w:rFonts w:hint="eastAsia" w:ascii="华文仿宋" w:hAnsi="华文仿宋" w:cs="华文仿宋"/>
          <w:color w:val="auto"/>
          <w:sz w:val="28"/>
          <w:szCs w:val="28"/>
          <w:shd w:val="clear" w:color="auto" w:fill="FFFFFF"/>
          <w:lang w:val="en-US" w:eastAsia="zh-CN"/>
        </w:rPr>
        <w:t>.</w:t>
      </w:r>
      <w:r>
        <w:rPr>
          <w:rFonts w:hint="eastAsia" w:ascii="华文仿宋" w:hAnsi="华文仿宋" w:cs="华文仿宋"/>
          <w:color w:val="auto"/>
          <w:sz w:val="28"/>
          <w:szCs w:val="28"/>
          <w:shd w:val="clear" w:color="auto" w:fill="FFFFFF"/>
        </w:rPr>
        <w:t>要求投标人对投标文件有关事项作出澄清或者说明；</w:t>
      </w:r>
    </w:p>
    <w:p w14:paraId="0F8EA1A9">
      <w:pPr>
        <w:pStyle w:val="25"/>
        <w:spacing w:beforeAutospacing="0" w:afterAutospacing="0" w:line="500" w:lineRule="exact"/>
        <w:ind w:firstLine="566" w:firstLineChars="200"/>
        <w:rPr>
          <w:rFonts w:ascii="华文仿宋" w:cs="Times New Roman"/>
          <w:color w:val="auto"/>
          <w:sz w:val="28"/>
          <w:szCs w:val="28"/>
          <w:shd w:val="clear" w:color="auto" w:fill="FFFFFF"/>
        </w:rPr>
      </w:pPr>
      <w:r>
        <w:rPr>
          <w:rFonts w:ascii="华文仿宋" w:hAnsi="华文仿宋" w:cs="华文仿宋"/>
          <w:color w:val="auto"/>
          <w:sz w:val="28"/>
          <w:szCs w:val="28"/>
          <w:shd w:val="clear" w:color="auto" w:fill="FFFFFF"/>
        </w:rPr>
        <w:t>5</w:t>
      </w:r>
      <w:r>
        <w:rPr>
          <w:rFonts w:hint="eastAsia" w:ascii="华文仿宋" w:hAnsi="华文仿宋" w:cs="华文仿宋"/>
          <w:color w:val="auto"/>
          <w:sz w:val="28"/>
          <w:szCs w:val="28"/>
          <w:shd w:val="clear" w:color="auto" w:fill="FFFFFF"/>
          <w:lang w:val="en-US" w:eastAsia="zh-CN"/>
        </w:rPr>
        <w:t>.</w:t>
      </w:r>
      <w:r>
        <w:rPr>
          <w:rFonts w:hint="eastAsia" w:ascii="华文仿宋" w:hAnsi="华文仿宋" w:cs="华文仿宋"/>
          <w:color w:val="auto"/>
          <w:sz w:val="28"/>
          <w:szCs w:val="28"/>
          <w:shd w:val="clear" w:color="auto" w:fill="FFFFFF"/>
        </w:rPr>
        <w:t>对投标文件进行比较和评价；</w:t>
      </w:r>
    </w:p>
    <w:p w14:paraId="657CD251">
      <w:pPr>
        <w:pStyle w:val="25"/>
        <w:spacing w:beforeAutospacing="0" w:afterAutospacing="0" w:line="500" w:lineRule="exact"/>
        <w:ind w:firstLine="566" w:firstLineChars="200"/>
        <w:rPr>
          <w:rFonts w:ascii="华文仿宋" w:cs="Times New Roman"/>
          <w:color w:val="auto"/>
          <w:sz w:val="28"/>
          <w:szCs w:val="28"/>
          <w:shd w:val="clear" w:color="auto" w:fill="FFFFFF"/>
        </w:rPr>
      </w:pPr>
      <w:r>
        <w:rPr>
          <w:rFonts w:ascii="华文仿宋" w:hAnsi="华文仿宋" w:cs="华文仿宋"/>
          <w:color w:val="auto"/>
          <w:sz w:val="28"/>
          <w:szCs w:val="28"/>
          <w:shd w:val="clear" w:color="auto" w:fill="FFFFFF"/>
        </w:rPr>
        <w:t>6</w:t>
      </w:r>
      <w:r>
        <w:rPr>
          <w:rFonts w:hint="eastAsia" w:ascii="华文仿宋" w:hAnsi="华文仿宋" w:cs="华文仿宋"/>
          <w:color w:val="auto"/>
          <w:sz w:val="28"/>
          <w:szCs w:val="28"/>
          <w:shd w:val="clear" w:color="auto" w:fill="FFFFFF"/>
          <w:lang w:val="en-US" w:eastAsia="zh-CN"/>
        </w:rPr>
        <w:t>.</w:t>
      </w:r>
      <w:r>
        <w:rPr>
          <w:rFonts w:hint="eastAsia" w:ascii="华文仿宋" w:hAnsi="华文仿宋" w:cs="华文仿宋"/>
          <w:color w:val="auto"/>
          <w:sz w:val="28"/>
          <w:szCs w:val="28"/>
          <w:shd w:val="clear" w:color="auto" w:fill="FFFFFF"/>
        </w:rPr>
        <w:t>确定中标候选人名单，以及根据采购人委托直接确定中标人；</w:t>
      </w:r>
    </w:p>
    <w:p w14:paraId="79CBBB5F">
      <w:pPr>
        <w:pStyle w:val="25"/>
        <w:spacing w:beforeAutospacing="0" w:afterAutospacing="0" w:line="500" w:lineRule="exact"/>
        <w:ind w:firstLine="566" w:firstLineChars="200"/>
        <w:rPr>
          <w:rFonts w:ascii="华文仿宋" w:cs="Times New Roman"/>
          <w:color w:val="auto"/>
          <w:sz w:val="28"/>
          <w:szCs w:val="28"/>
          <w:shd w:val="clear" w:color="auto" w:fill="FFFFFF"/>
        </w:rPr>
      </w:pPr>
      <w:r>
        <w:rPr>
          <w:rFonts w:ascii="华文仿宋" w:hAnsi="华文仿宋" w:cs="华文仿宋"/>
          <w:color w:val="auto"/>
          <w:sz w:val="28"/>
          <w:szCs w:val="28"/>
          <w:shd w:val="clear" w:color="auto" w:fill="FFFFFF"/>
        </w:rPr>
        <w:t>7</w:t>
      </w:r>
      <w:r>
        <w:rPr>
          <w:rFonts w:hint="eastAsia" w:ascii="华文仿宋" w:hAnsi="华文仿宋" w:cs="华文仿宋"/>
          <w:color w:val="auto"/>
          <w:sz w:val="28"/>
          <w:szCs w:val="28"/>
          <w:shd w:val="clear" w:color="auto" w:fill="FFFFFF"/>
          <w:lang w:val="en-US" w:eastAsia="zh-CN"/>
        </w:rPr>
        <w:t>.</w:t>
      </w:r>
      <w:r>
        <w:rPr>
          <w:rFonts w:hint="eastAsia" w:ascii="华文仿宋" w:hAnsi="华文仿宋" w:cs="华文仿宋"/>
          <w:color w:val="auto"/>
          <w:sz w:val="28"/>
          <w:szCs w:val="28"/>
          <w:shd w:val="clear" w:color="auto" w:fill="FFFFFF"/>
        </w:rPr>
        <w:t>配合答复投标人的询问、质疑和投诉等事项</w:t>
      </w:r>
      <w:r>
        <w:rPr>
          <w:rFonts w:ascii="华文仿宋" w:cs="华文仿宋"/>
          <w:color w:val="auto"/>
          <w:sz w:val="28"/>
          <w:szCs w:val="28"/>
          <w:shd w:val="clear" w:color="auto" w:fill="FFFFFF"/>
        </w:rPr>
        <w:t>,</w:t>
      </w:r>
      <w:r>
        <w:rPr>
          <w:rFonts w:hint="eastAsia" w:ascii="华文仿宋" w:hAnsi="华文仿宋" w:cs="华文仿宋"/>
          <w:color w:val="auto"/>
          <w:sz w:val="28"/>
          <w:szCs w:val="28"/>
          <w:shd w:val="clear" w:color="auto" w:fill="FFFFFF"/>
        </w:rPr>
        <w:t>不得泄露评审文件、评审情况和在评审过程中获悉的商业秘密；</w:t>
      </w:r>
    </w:p>
    <w:p w14:paraId="20ED0755">
      <w:pPr>
        <w:pStyle w:val="25"/>
        <w:spacing w:beforeAutospacing="0" w:afterAutospacing="0" w:line="500" w:lineRule="exact"/>
        <w:ind w:firstLine="566" w:firstLineChars="200"/>
        <w:rPr>
          <w:rFonts w:ascii="华文仿宋" w:cs="Times New Roman"/>
          <w:color w:val="auto"/>
          <w:sz w:val="28"/>
          <w:szCs w:val="28"/>
        </w:rPr>
      </w:pPr>
      <w:r>
        <w:rPr>
          <w:rFonts w:ascii="华文仿宋" w:hAnsi="华文仿宋" w:cs="华文仿宋"/>
          <w:color w:val="auto"/>
          <w:sz w:val="28"/>
          <w:szCs w:val="28"/>
          <w:shd w:val="clear" w:color="auto" w:fill="FFFFFF"/>
        </w:rPr>
        <w:t>8</w:t>
      </w:r>
      <w:r>
        <w:rPr>
          <w:rFonts w:hint="eastAsia" w:ascii="华文仿宋" w:hAnsi="华文仿宋" w:cs="华文仿宋"/>
          <w:color w:val="auto"/>
          <w:sz w:val="28"/>
          <w:szCs w:val="28"/>
          <w:shd w:val="clear" w:color="auto" w:fill="FFFFFF"/>
          <w:lang w:val="en-US" w:eastAsia="zh-CN"/>
        </w:rPr>
        <w:t>.</w:t>
      </w:r>
      <w:r>
        <w:rPr>
          <w:rFonts w:hint="eastAsia" w:ascii="华文仿宋" w:hAnsi="华文仿宋" w:cs="华文仿宋"/>
          <w:color w:val="auto"/>
          <w:sz w:val="28"/>
          <w:szCs w:val="28"/>
          <w:shd w:val="clear" w:color="auto" w:fill="FFFFFF"/>
        </w:rPr>
        <w:t>向采购人、</w:t>
      </w:r>
      <w:r>
        <w:rPr>
          <w:rFonts w:hint="eastAsia" w:ascii="华文仿宋" w:hAnsi="华文仿宋" w:cs="华文仿宋"/>
          <w:color w:val="auto"/>
          <w:sz w:val="28"/>
          <w:szCs w:val="28"/>
          <w:shd w:val="clear" w:color="auto" w:fill="FFFFFF"/>
          <w:lang w:val="zh-CN"/>
        </w:rPr>
        <w:t>中心</w:t>
      </w:r>
      <w:r>
        <w:rPr>
          <w:rFonts w:hint="eastAsia" w:ascii="华文仿宋" w:hAnsi="华文仿宋" w:cs="华文仿宋"/>
          <w:color w:val="auto"/>
          <w:sz w:val="28"/>
          <w:szCs w:val="28"/>
          <w:shd w:val="clear" w:color="auto" w:fill="FFFFFF"/>
        </w:rPr>
        <w:t>或者有关部门报告评标中发现的违法行为。</w:t>
      </w:r>
    </w:p>
    <w:p w14:paraId="37670F86">
      <w:pPr>
        <w:pStyle w:val="3"/>
        <w:spacing w:line="500" w:lineRule="exact"/>
        <w:ind w:firstLine="566" w:firstLineChars="200"/>
        <w:rPr>
          <w:rFonts w:ascii="华文仿宋" w:cs="Times New Roman"/>
          <w:color w:val="auto"/>
          <w:sz w:val="28"/>
          <w:szCs w:val="28"/>
        </w:rPr>
      </w:pPr>
      <w:bookmarkStart w:id="395" w:name="_Toc25447"/>
      <w:bookmarkEnd w:id="395"/>
      <w:bookmarkStart w:id="396" w:name="_Toc17965"/>
      <w:bookmarkEnd w:id="396"/>
      <w:bookmarkStart w:id="397" w:name="_Toc31666"/>
      <w:bookmarkEnd w:id="397"/>
      <w:bookmarkStart w:id="398" w:name="_Toc28395"/>
      <w:bookmarkEnd w:id="398"/>
      <w:bookmarkStart w:id="399" w:name="_Toc1922"/>
      <w:bookmarkEnd w:id="399"/>
      <w:bookmarkStart w:id="400" w:name="_Toc18693"/>
      <w:bookmarkEnd w:id="400"/>
      <w:bookmarkStart w:id="401" w:name="_Toc31640"/>
      <w:bookmarkEnd w:id="401"/>
      <w:bookmarkStart w:id="402" w:name="_Toc5809"/>
      <w:bookmarkEnd w:id="402"/>
      <w:bookmarkStart w:id="403" w:name="_Toc14825"/>
      <w:bookmarkEnd w:id="403"/>
      <w:r>
        <w:rPr>
          <w:rFonts w:hint="eastAsia" w:ascii="华文仿宋" w:hAnsi="华文仿宋" w:cs="华文仿宋"/>
          <w:color w:val="auto"/>
          <w:sz w:val="28"/>
          <w:szCs w:val="28"/>
        </w:rPr>
        <w:t>（三）组建评标委员会</w:t>
      </w:r>
    </w:p>
    <w:p w14:paraId="0DA30F61">
      <w:pPr>
        <w:spacing w:line="500" w:lineRule="exact"/>
        <w:ind w:firstLine="566" w:firstLineChars="200"/>
        <w:rPr>
          <w:rFonts w:ascii="华文仿宋" w:cs="Times New Roman"/>
          <w:color w:val="auto"/>
        </w:rPr>
      </w:pPr>
      <w:r>
        <w:rPr>
          <w:rFonts w:ascii="华文仿宋" w:hAnsi="华文仿宋" w:cs="华文仿宋"/>
          <w:color w:val="auto"/>
        </w:rPr>
        <w:t>1</w:t>
      </w:r>
      <w:r>
        <w:rPr>
          <w:rFonts w:hint="eastAsia" w:ascii="华文仿宋" w:hAnsi="华文仿宋" w:cs="华文仿宋"/>
          <w:color w:val="auto"/>
          <w:lang w:val="en-US" w:eastAsia="zh-CN"/>
        </w:rPr>
        <w:t>.</w:t>
      </w:r>
      <w:r>
        <w:rPr>
          <w:rFonts w:hint="eastAsia" w:ascii="华文仿宋" w:hAnsi="华文仿宋" w:cs="华文仿宋"/>
          <w:color w:val="auto"/>
        </w:rPr>
        <w:t>为了确保评标工作的公平、公正，依据政府采购法和政府采购相关法规、规章，成立评标委员会。评标委员会由采购人代表和有关技术、经济等方面的专家组成，成员人数为</w:t>
      </w:r>
      <w:r>
        <w:rPr>
          <w:rFonts w:ascii="仿宋" w:hAnsi="仿宋" w:eastAsia="仿宋" w:cs="仿宋"/>
          <w:color w:val="auto"/>
        </w:rPr>
        <w:t>5</w:t>
      </w:r>
      <w:r>
        <w:rPr>
          <w:rFonts w:hint="eastAsia" w:ascii="华文仿宋" w:hAnsi="华文仿宋" w:cs="华文仿宋"/>
          <w:color w:val="auto"/>
        </w:rPr>
        <w:t>人以上单数。其中，评审专家不少于成员总数的三分之二。</w:t>
      </w:r>
    </w:p>
    <w:p w14:paraId="44F9885C">
      <w:pPr>
        <w:spacing w:line="500" w:lineRule="exact"/>
        <w:ind w:firstLine="566" w:firstLineChars="200"/>
        <w:rPr>
          <w:rFonts w:ascii="华文仿宋" w:cs="Times New Roman"/>
          <w:color w:val="auto"/>
        </w:rPr>
      </w:pPr>
      <w:r>
        <w:rPr>
          <w:rFonts w:hint="eastAsia" w:ascii="华文仿宋" w:hAnsi="华文仿宋" w:cs="华文仿宋"/>
          <w:color w:val="auto"/>
        </w:rPr>
        <w:t>采购项目符合下列情形之一的，评标委员会成员人数应当为</w:t>
      </w:r>
      <w:r>
        <w:rPr>
          <w:rFonts w:ascii="仿宋" w:hAnsi="仿宋" w:eastAsia="仿宋" w:cs="仿宋"/>
          <w:color w:val="auto"/>
        </w:rPr>
        <w:t>7</w:t>
      </w:r>
      <w:r>
        <w:rPr>
          <w:rFonts w:hint="eastAsia" w:ascii="华文仿宋" w:hAnsi="华文仿宋" w:cs="华文仿宋"/>
          <w:color w:val="auto"/>
        </w:rPr>
        <w:t>人以上单数：</w:t>
      </w:r>
    </w:p>
    <w:p w14:paraId="62393ECD">
      <w:pPr>
        <w:spacing w:line="500" w:lineRule="exact"/>
        <w:ind w:firstLine="566" w:firstLineChars="200"/>
        <w:rPr>
          <w:rFonts w:ascii="华文仿宋" w:cs="Times New Roman"/>
          <w:color w:val="auto"/>
        </w:rPr>
      </w:pPr>
      <w:r>
        <w:rPr>
          <w:rFonts w:hint="eastAsia" w:ascii="华文仿宋" w:hAnsi="华文仿宋" w:cs="华文仿宋"/>
          <w:color w:val="auto"/>
        </w:rPr>
        <w:t>（</w:t>
      </w:r>
      <w:r>
        <w:rPr>
          <w:rFonts w:ascii="华文仿宋" w:hAnsi="华文仿宋" w:cs="华文仿宋"/>
          <w:color w:val="auto"/>
        </w:rPr>
        <w:t>1</w:t>
      </w:r>
      <w:r>
        <w:rPr>
          <w:rFonts w:hint="eastAsia" w:ascii="华文仿宋" w:hAnsi="华文仿宋" w:cs="华文仿宋"/>
          <w:color w:val="auto"/>
        </w:rPr>
        <w:t>）采购预算金额在</w:t>
      </w:r>
      <w:r>
        <w:rPr>
          <w:rFonts w:ascii="仿宋" w:hAnsi="仿宋" w:eastAsia="仿宋" w:cs="仿宋"/>
          <w:color w:val="auto"/>
        </w:rPr>
        <w:t>1000</w:t>
      </w:r>
      <w:r>
        <w:rPr>
          <w:rFonts w:hint="eastAsia" w:ascii="华文仿宋" w:hAnsi="华文仿宋" w:cs="华文仿宋"/>
          <w:color w:val="auto"/>
        </w:rPr>
        <w:t>万元以上；</w:t>
      </w:r>
    </w:p>
    <w:p w14:paraId="217200D1">
      <w:pPr>
        <w:spacing w:line="500" w:lineRule="exact"/>
        <w:ind w:firstLine="566" w:firstLineChars="200"/>
        <w:rPr>
          <w:rFonts w:ascii="华文仿宋" w:cs="Times New Roman"/>
          <w:color w:val="auto"/>
        </w:rPr>
      </w:pPr>
      <w:r>
        <w:rPr>
          <w:rFonts w:hint="eastAsia" w:ascii="华文仿宋" w:hAnsi="华文仿宋" w:cs="华文仿宋"/>
          <w:color w:val="auto"/>
        </w:rPr>
        <w:t>（</w:t>
      </w:r>
      <w:r>
        <w:rPr>
          <w:rFonts w:ascii="华文仿宋" w:hAnsi="华文仿宋" w:cs="华文仿宋"/>
          <w:color w:val="auto"/>
        </w:rPr>
        <w:t>2</w:t>
      </w:r>
      <w:r>
        <w:rPr>
          <w:rFonts w:hint="eastAsia" w:ascii="华文仿宋" w:hAnsi="华文仿宋" w:cs="华文仿宋"/>
          <w:color w:val="auto"/>
        </w:rPr>
        <w:t>）技术复杂；</w:t>
      </w:r>
    </w:p>
    <w:p w14:paraId="2576F86E">
      <w:pPr>
        <w:spacing w:line="500" w:lineRule="exact"/>
        <w:ind w:firstLine="566" w:firstLineChars="200"/>
        <w:rPr>
          <w:rFonts w:ascii="华文仿宋" w:cs="Times New Roman"/>
          <w:color w:val="auto"/>
        </w:rPr>
      </w:pPr>
      <w:r>
        <w:rPr>
          <w:rFonts w:hint="eastAsia" w:ascii="华文仿宋" w:hAnsi="华文仿宋" w:cs="华文仿宋"/>
          <w:color w:val="auto"/>
        </w:rPr>
        <w:t>（</w:t>
      </w:r>
      <w:r>
        <w:rPr>
          <w:rFonts w:ascii="华文仿宋" w:hAnsi="华文仿宋" w:cs="华文仿宋"/>
          <w:color w:val="auto"/>
        </w:rPr>
        <w:t>3</w:t>
      </w:r>
      <w:r>
        <w:rPr>
          <w:rFonts w:hint="eastAsia" w:ascii="华文仿宋" w:hAnsi="华文仿宋" w:cs="华文仿宋"/>
          <w:color w:val="auto"/>
        </w:rPr>
        <w:t>）社会影响较大。</w:t>
      </w:r>
    </w:p>
    <w:p w14:paraId="5F10EAAB">
      <w:pPr>
        <w:spacing w:line="500" w:lineRule="exact"/>
        <w:ind w:firstLine="566" w:firstLineChars="200"/>
        <w:rPr>
          <w:rFonts w:ascii="华文仿宋" w:cs="Times New Roman"/>
          <w:color w:val="auto"/>
        </w:rPr>
      </w:pPr>
      <w:r>
        <w:rPr>
          <w:rFonts w:hint="eastAsia" w:ascii="华文仿宋" w:hAnsi="华文仿宋" w:cs="华文仿宋"/>
          <w:color w:val="auto"/>
        </w:rPr>
        <w:t>评审专家对本单位的采购项目只能作为采购人代表参与评标。</w:t>
      </w:r>
      <w:r>
        <w:rPr>
          <w:rFonts w:hint="eastAsia" w:ascii="华文仿宋" w:hAnsi="华文仿宋" w:cs="华文仿宋"/>
          <w:color w:val="auto"/>
          <w:lang w:val="zh-CN"/>
        </w:rPr>
        <w:t>中心</w:t>
      </w:r>
      <w:r>
        <w:rPr>
          <w:rFonts w:hint="eastAsia" w:ascii="华文仿宋" w:hAnsi="华文仿宋" w:cs="华文仿宋"/>
          <w:color w:val="auto"/>
        </w:rPr>
        <w:t>工作人员不得参加由本机构代理的政府采购项目的评标。</w:t>
      </w:r>
    </w:p>
    <w:p w14:paraId="238C96A3">
      <w:pPr>
        <w:spacing w:line="500" w:lineRule="exact"/>
        <w:ind w:firstLine="566" w:firstLineChars="200"/>
        <w:rPr>
          <w:rFonts w:ascii="华文仿宋" w:cs="Times New Roman"/>
          <w:color w:val="auto"/>
        </w:rPr>
      </w:pPr>
      <w:r>
        <w:rPr>
          <w:rFonts w:hint="eastAsia" w:ascii="华文仿宋" w:hAnsi="华文仿宋" w:cs="华文仿宋"/>
          <w:color w:val="auto"/>
        </w:rPr>
        <w:t>评标委员会成员名单在评标结果公告前应当保密。</w:t>
      </w:r>
    </w:p>
    <w:p w14:paraId="0B3AACD5">
      <w:pPr>
        <w:spacing w:line="500" w:lineRule="exact"/>
        <w:ind w:firstLine="566" w:firstLineChars="200"/>
        <w:rPr>
          <w:rFonts w:ascii="华文仿宋" w:cs="Times New Roman"/>
          <w:color w:val="auto"/>
        </w:rPr>
      </w:pPr>
      <w:r>
        <w:rPr>
          <w:rFonts w:ascii="华文仿宋" w:hAnsi="华文仿宋" w:cs="华文仿宋"/>
          <w:color w:val="auto"/>
        </w:rPr>
        <w:t>2</w:t>
      </w:r>
      <w:r>
        <w:rPr>
          <w:rFonts w:hint="eastAsia" w:ascii="华文仿宋" w:hAnsi="华文仿宋" w:cs="华文仿宋"/>
          <w:color w:val="auto"/>
          <w:lang w:val="en-US" w:eastAsia="zh-CN"/>
        </w:rPr>
        <w:t>.</w:t>
      </w:r>
      <w:r>
        <w:rPr>
          <w:rFonts w:hint="eastAsia" w:ascii="华文仿宋" w:hAnsi="华文仿宋" w:cs="华文仿宋"/>
          <w:color w:val="auto"/>
        </w:rPr>
        <w:t>评标专家从政府采购评审专家库内相关专业的专家名单中随机抽取。对技术复杂、专业性强的采购项目，通过随机方式难以确定合适评审专家的，经主管预算单位同意，采购人可以自行选定相应专业领域的评审专家。自行选定评审专家的，应当优先选择本单位以外的评审专家。</w:t>
      </w:r>
    </w:p>
    <w:p w14:paraId="563EC0E1">
      <w:pPr>
        <w:spacing w:line="500" w:lineRule="exact"/>
        <w:ind w:firstLine="566" w:firstLineChars="200"/>
        <w:rPr>
          <w:rFonts w:ascii="华文仿宋" w:cs="Times New Roman"/>
          <w:color w:val="auto"/>
        </w:rPr>
      </w:pPr>
      <w:r>
        <w:rPr>
          <w:rFonts w:ascii="华文仿宋" w:hAnsi="华文仿宋" w:cs="华文仿宋"/>
          <w:color w:val="auto"/>
        </w:rPr>
        <w:t>3</w:t>
      </w:r>
      <w:r>
        <w:rPr>
          <w:rFonts w:hint="eastAsia" w:ascii="华文仿宋" w:hAnsi="华文仿宋" w:cs="华文仿宋"/>
          <w:color w:val="auto"/>
          <w:lang w:val="en-US" w:eastAsia="zh-CN"/>
        </w:rPr>
        <w:t>.</w:t>
      </w:r>
      <w:r>
        <w:rPr>
          <w:rFonts w:hint="eastAsia" w:ascii="华文仿宋" w:hAnsi="华文仿宋" w:cs="华文仿宋"/>
          <w:color w:val="auto"/>
        </w:rPr>
        <w:t>评标中因评标委员会成员缺席、回避或者健康等特殊原因导致评标委员会组成不符合规定的，</w:t>
      </w:r>
      <w:r>
        <w:rPr>
          <w:rFonts w:hint="eastAsia" w:ascii="华文仿宋" w:hAnsi="华文仿宋" w:cs="华文仿宋"/>
          <w:color w:val="auto"/>
          <w:lang w:eastAsia="zh-CN"/>
        </w:rPr>
        <w:t>中心</w:t>
      </w:r>
      <w:r>
        <w:rPr>
          <w:rFonts w:hint="eastAsia" w:ascii="华文仿宋" w:hAnsi="华文仿宋" w:cs="华文仿宋"/>
          <w:color w:val="auto"/>
        </w:rPr>
        <w:t>应当依法补足后继续评标</w:t>
      </w:r>
      <w:r>
        <w:rPr>
          <w:rFonts w:hint="eastAsia" w:ascii="华文仿宋" w:hAnsi="华文仿宋" w:cs="华文仿宋"/>
          <w:color w:val="auto"/>
          <w:lang w:eastAsia="zh-CN"/>
        </w:rPr>
        <w:t>，</w:t>
      </w:r>
      <w:r>
        <w:rPr>
          <w:rFonts w:hint="eastAsia" w:ascii="华文仿宋" w:hAnsi="华文仿宋" w:cs="华文仿宋"/>
          <w:color w:val="auto"/>
        </w:rPr>
        <w:t>被更换的评标委员会成员所作出的评标意见无效。无法及时补足评标委员会成员的，</w:t>
      </w:r>
      <w:r>
        <w:rPr>
          <w:rFonts w:hint="eastAsia" w:ascii="华文仿宋" w:hAnsi="华文仿宋" w:cs="华文仿宋"/>
          <w:color w:val="auto"/>
          <w:lang w:eastAsia="zh-CN"/>
        </w:rPr>
        <w:t>中心</w:t>
      </w:r>
      <w:r>
        <w:rPr>
          <w:rFonts w:hint="eastAsia" w:ascii="华文仿宋" w:hAnsi="华文仿宋" w:cs="华文仿宋"/>
          <w:color w:val="auto"/>
        </w:rPr>
        <w:t>应当停止评标活动，封存所有投标文件和开标、评标资料，依法重新组建评标委员会进行评标。原评标委员会所作出的评标意见无效。</w:t>
      </w:r>
    </w:p>
    <w:p w14:paraId="59A0E07F">
      <w:pPr>
        <w:spacing w:line="500" w:lineRule="exact"/>
        <w:ind w:firstLine="566" w:firstLineChars="200"/>
        <w:rPr>
          <w:rFonts w:ascii="华文仿宋" w:cs="Times New Roman"/>
          <w:color w:val="auto"/>
        </w:rPr>
      </w:pPr>
      <w:r>
        <w:rPr>
          <w:rFonts w:hint="eastAsia" w:ascii="华文仿宋" w:hAnsi="华文仿宋" w:cs="华文仿宋"/>
          <w:color w:val="auto"/>
          <w:lang w:eastAsia="zh-CN"/>
        </w:rPr>
        <w:t>中心</w:t>
      </w:r>
      <w:r>
        <w:rPr>
          <w:rFonts w:hint="eastAsia" w:ascii="华文仿宋" w:hAnsi="华文仿宋" w:cs="华文仿宋"/>
          <w:color w:val="auto"/>
        </w:rPr>
        <w:t>应当将变更、重新组建评标委员会的情况予以记录，并随招标文件一并存档。</w:t>
      </w:r>
    </w:p>
    <w:p w14:paraId="2070A24D">
      <w:pPr>
        <w:pStyle w:val="3"/>
        <w:spacing w:line="500" w:lineRule="exact"/>
        <w:ind w:firstLine="566" w:firstLineChars="200"/>
        <w:rPr>
          <w:rFonts w:ascii="华文仿宋" w:cs="Times New Roman"/>
          <w:color w:val="auto"/>
          <w:sz w:val="28"/>
          <w:szCs w:val="28"/>
        </w:rPr>
      </w:pPr>
      <w:bookmarkStart w:id="404" w:name="_Toc11222"/>
      <w:bookmarkEnd w:id="404"/>
      <w:bookmarkStart w:id="405" w:name="_Toc8363"/>
      <w:bookmarkEnd w:id="405"/>
      <w:bookmarkStart w:id="406" w:name="_Toc11990"/>
      <w:bookmarkEnd w:id="406"/>
      <w:bookmarkStart w:id="407" w:name="_Toc8922"/>
      <w:bookmarkEnd w:id="407"/>
      <w:bookmarkStart w:id="408" w:name="_Toc2684"/>
      <w:bookmarkEnd w:id="408"/>
      <w:bookmarkStart w:id="409" w:name="_Toc16172"/>
      <w:bookmarkEnd w:id="409"/>
      <w:bookmarkStart w:id="410" w:name="_Toc23311"/>
      <w:bookmarkEnd w:id="410"/>
      <w:bookmarkStart w:id="411" w:name="_Toc26164"/>
      <w:bookmarkEnd w:id="411"/>
      <w:bookmarkStart w:id="412" w:name="_Toc30089"/>
      <w:bookmarkEnd w:id="412"/>
      <w:r>
        <w:rPr>
          <w:rFonts w:hint="eastAsia" w:ascii="华文仿宋" w:hAnsi="华文仿宋" w:cs="华文仿宋"/>
          <w:color w:val="auto"/>
          <w:sz w:val="28"/>
          <w:szCs w:val="28"/>
        </w:rPr>
        <w:t>（四）评标方法：本次评审采用综合评分法</w:t>
      </w:r>
    </w:p>
    <w:p w14:paraId="51A5FBE9">
      <w:pPr>
        <w:spacing w:line="500" w:lineRule="exact"/>
        <w:ind w:firstLine="566" w:firstLineChars="200"/>
        <w:rPr>
          <w:rFonts w:ascii="华文仿宋" w:cs="Times New Roman"/>
          <w:color w:val="auto"/>
        </w:rPr>
      </w:pPr>
      <w:r>
        <w:rPr>
          <w:rFonts w:hint="eastAsia" w:ascii="华文仿宋" w:hAnsi="华文仿宋" w:cs="华文仿宋"/>
          <w:color w:val="auto"/>
        </w:rPr>
        <w:t>评标方法分为最低评标价法和综合评分法。</w:t>
      </w:r>
    </w:p>
    <w:p w14:paraId="0671C267">
      <w:pPr>
        <w:spacing w:line="500" w:lineRule="exact"/>
        <w:ind w:firstLine="566" w:firstLineChars="200"/>
        <w:rPr>
          <w:rFonts w:ascii="华文仿宋" w:cs="Times New Roman"/>
          <w:color w:val="auto"/>
        </w:rPr>
      </w:pPr>
      <w:r>
        <w:rPr>
          <w:rFonts w:ascii="华文仿宋" w:hAnsi="华文仿宋" w:cs="华文仿宋"/>
          <w:color w:val="auto"/>
        </w:rPr>
        <w:t>1</w:t>
      </w:r>
      <w:r>
        <w:rPr>
          <w:rFonts w:hint="eastAsia" w:ascii="华文仿宋" w:hAnsi="华文仿宋" w:cs="华文仿宋"/>
          <w:color w:val="auto"/>
          <w:lang w:val="en-US" w:eastAsia="zh-CN"/>
        </w:rPr>
        <w:t>.</w:t>
      </w:r>
      <w:r>
        <w:rPr>
          <w:rFonts w:hint="eastAsia" w:ascii="华文仿宋" w:hAnsi="华文仿宋" w:cs="华文仿宋"/>
          <w:color w:val="auto"/>
        </w:rPr>
        <w:t>最低评标价法，是指投标文件满足招标文件全部实质性要求，且投标报价最低的投标人为中标候选人的评标方法。</w:t>
      </w:r>
    </w:p>
    <w:p w14:paraId="76A93F11">
      <w:pPr>
        <w:spacing w:line="500" w:lineRule="exact"/>
        <w:ind w:firstLine="566" w:firstLineChars="200"/>
        <w:jc w:val="left"/>
        <w:rPr>
          <w:rFonts w:cs="Times New Roman"/>
          <w:b/>
          <w:bCs/>
          <w:color w:val="auto"/>
        </w:rPr>
      </w:pPr>
      <w:r>
        <w:rPr>
          <w:rFonts w:hint="eastAsia" w:cs="华文仿宋"/>
          <w:color w:val="auto"/>
        </w:rPr>
        <w:t>技术、服务等标准统一的货物服务项目，应当采用最低评标价法。</w:t>
      </w:r>
    </w:p>
    <w:p w14:paraId="197D0F5F">
      <w:pPr>
        <w:spacing w:line="500" w:lineRule="exact"/>
        <w:ind w:firstLine="566" w:firstLineChars="200"/>
        <w:rPr>
          <w:rFonts w:ascii="华文仿宋" w:cs="Times New Roman"/>
          <w:color w:val="auto"/>
        </w:rPr>
      </w:pPr>
      <w:r>
        <w:rPr>
          <w:rFonts w:hint="eastAsia" w:ascii="华文仿宋" w:hAnsi="华文仿宋" w:cs="华文仿宋"/>
          <w:color w:val="auto"/>
        </w:rPr>
        <w:t>采用最低评标价法评标时，除了算术修正和落实政府采购政策需进行的价格扣除外，不能对投标人的投标价格进行任何调整。</w:t>
      </w:r>
    </w:p>
    <w:p w14:paraId="67607F92">
      <w:pPr>
        <w:spacing w:line="500" w:lineRule="exact"/>
        <w:ind w:firstLine="566" w:firstLineChars="200"/>
        <w:rPr>
          <w:rFonts w:ascii="华文仿宋" w:cs="Times New Roman"/>
          <w:color w:val="auto"/>
        </w:rPr>
      </w:pPr>
      <w:r>
        <w:rPr>
          <w:rFonts w:ascii="华文仿宋" w:hAnsi="华文仿宋" w:cs="华文仿宋"/>
          <w:color w:val="auto"/>
        </w:rPr>
        <w:t>2</w:t>
      </w:r>
      <w:r>
        <w:rPr>
          <w:rFonts w:hint="eastAsia" w:ascii="华文仿宋" w:hAnsi="华文仿宋" w:cs="华文仿宋"/>
          <w:color w:val="auto"/>
          <w:lang w:val="en-US" w:eastAsia="zh-CN"/>
        </w:rPr>
        <w:t>.</w:t>
      </w:r>
      <w:r>
        <w:rPr>
          <w:rFonts w:hint="eastAsia" w:ascii="华文仿宋" w:hAnsi="华文仿宋" w:cs="华文仿宋"/>
          <w:color w:val="auto"/>
        </w:rPr>
        <w:t>综合评分法，是指投标文件满足招标文件全部实质性要求，且按照评审因素的量化指标评审得分最高的投标人为中标候选人的评标方法。</w:t>
      </w:r>
    </w:p>
    <w:p w14:paraId="5E9760E1">
      <w:pPr>
        <w:pStyle w:val="3"/>
        <w:spacing w:line="500" w:lineRule="exact"/>
        <w:ind w:firstLine="566" w:firstLineChars="200"/>
        <w:rPr>
          <w:rFonts w:ascii="华文仿宋" w:cs="Times New Roman"/>
          <w:color w:val="auto"/>
          <w:sz w:val="28"/>
          <w:szCs w:val="28"/>
        </w:rPr>
      </w:pPr>
      <w:bookmarkStart w:id="413" w:name="_Toc27750"/>
      <w:bookmarkEnd w:id="413"/>
      <w:bookmarkStart w:id="414" w:name="_Toc12899"/>
      <w:bookmarkEnd w:id="414"/>
      <w:bookmarkStart w:id="415" w:name="_Toc20016"/>
      <w:bookmarkEnd w:id="415"/>
      <w:bookmarkStart w:id="416" w:name="_Toc17893"/>
      <w:bookmarkEnd w:id="416"/>
      <w:bookmarkStart w:id="417" w:name="_Toc23094"/>
      <w:bookmarkEnd w:id="417"/>
      <w:bookmarkStart w:id="418" w:name="_Toc21371"/>
      <w:bookmarkEnd w:id="418"/>
      <w:bookmarkStart w:id="419" w:name="_Toc7039"/>
      <w:bookmarkEnd w:id="419"/>
      <w:bookmarkStart w:id="420" w:name="_Toc3594"/>
      <w:bookmarkEnd w:id="420"/>
      <w:bookmarkStart w:id="421" w:name="_Toc32053"/>
      <w:bookmarkEnd w:id="421"/>
      <w:r>
        <w:rPr>
          <w:rFonts w:hint="eastAsia" w:ascii="华文仿宋" w:hAnsi="华文仿宋" w:cs="华文仿宋"/>
          <w:color w:val="auto"/>
          <w:sz w:val="28"/>
          <w:szCs w:val="28"/>
        </w:rPr>
        <w:t>（五）评标程序</w:t>
      </w:r>
    </w:p>
    <w:p w14:paraId="4C493414">
      <w:pPr>
        <w:spacing w:line="500" w:lineRule="exact"/>
        <w:ind w:firstLine="566" w:firstLineChars="200"/>
        <w:rPr>
          <w:rFonts w:ascii="华文仿宋" w:cs="Times New Roman"/>
          <w:color w:val="auto"/>
        </w:rPr>
      </w:pPr>
      <w:r>
        <w:rPr>
          <w:rFonts w:hint="eastAsia" w:ascii="华文仿宋" w:hAnsi="华文仿宋" w:cs="华文仿宋"/>
          <w:color w:val="auto"/>
        </w:rPr>
        <w:t>分步评审，每一步评审不符合招标文件要求者，不得进入下一步评审，全部评审合格的投标人，进入最后的打分，最后按得分由高到低排序，推荐中标候选人。</w:t>
      </w:r>
    </w:p>
    <w:p w14:paraId="3D3FD8CA">
      <w:pPr>
        <w:spacing w:line="500" w:lineRule="exact"/>
        <w:ind w:firstLine="566" w:firstLineChars="200"/>
        <w:rPr>
          <w:rFonts w:ascii="华文仿宋" w:cs="Times New Roman"/>
          <w:b/>
          <w:bCs/>
          <w:color w:val="auto"/>
        </w:rPr>
      </w:pPr>
      <w:r>
        <w:rPr>
          <w:rFonts w:ascii="华文仿宋" w:hAnsi="华文仿宋" w:cs="华文仿宋"/>
          <w:b/>
          <w:bCs/>
          <w:color w:val="auto"/>
        </w:rPr>
        <w:t>1</w:t>
      </w:r>
      <w:r>
        <w:rPr>
          <w:rFonts w:hint="eastAsia" w:ascii="华文仿宋" w:hAnsi="华文仿宋" w:cs="华文仿宋"/>
          <w:b/>
          <w:bCs/>
          <w:color w:val="auto"/>
          <w:lang w:val="en-US" w:eastAsia="zh-CN"/>
        </w:rPr>
        <w:t>.</w:t>
      </w:r>
      <w:r>
        <w:rPr>
          <w:rFonts w:hint="eastAsia" w:ascii="华文仿宋" w:hAnsi="华文仿宋" w:cs="华文仿宋"/>
          <w:b/>
          <w:bCs/>
          <w:color w:val="auto"/>
        </w:rPr>
        <w:t>投标文件的符合性审查</w:t>
      </w:r>
    </w:p>
    <w:p w14:paraId="7D3432E4">
      <w:pPr>
        <w:spacing w:line="500" w:lineRule="exact"/>
        <w:ind w:firstLine="566" w:firstLineChars="200"/>
        <w:rPr>
          <w:rFonts w:ascii="华文仿宋" w:cs="Times New Roman"/>
          <w:color w:val="auto"/>
        </w:rPr>
      </w:pPr>
      <w:r>
        <w:rPr>
          <w:rFonts w:hint="eastAsia" w:ascii="华文仿宋" w:hAnsi="华文仿宋" w:cs="华文仿宋"/>
          <w:color w:val="auto"/>
        </w:rPr>
        <w:t>评标委员会依据招标文件的规定，对投标文件的有效性、完整性和对招标文件的响应程度进行审查，以确定是否对招标文件的全部实质性要求作出响应。</w:t>
      </w:r>
    </w:p>
    <w:p w14:paraId="4F889D2E">
      <w:pPr>
        <w:spacing w:line="500" w:lineRule="exact"/>
        <w:ind w:firstLine="566" w:firstLineChars="200"/>
        <w:rPr>
          <w:rFonts w:ascii="华文仿宋" w:cs="Times New Roman"/>
          <w:color w:val="auto"/>
        </w:rPr>
      </w:pPr>
      <w:r>
        <w:rPr>
          <w:rFonts w:hint="eastAsia" w:ascii="华文仿宋" w:hAnsi="华文仿宋" w:cs="华文仿宋"/>
          <w:color w:val="auto"/>
        </w:rPr>
        <w:t>评标委员会要审查每份投标文件是否实质上响应了招标文件的要求。实质上没有响应招标文件要求的投标作无效投标处理，评标委员会应告知有关投标人未通过审查的原因，投标人不得通过修正或撤销不符之处而使其成为实质上响应。</w:t>
      </w:r>
    </w:p>
    <w:p w14:paraId="4CE99400">
      <w:pPr>
        <w:spacing w:line="500" w:lineRule="exact"/>
        <w:ind w:firstLine="566" w:firstLineChars="200"/>
        <w:rPr>
          <w:rFonts w:ascii="华文仿宋" w:cs="Times New Roman"/>
          <w:b/>
          <w:bCs/>
          <w:color w:val="auto"/>
        </w:rPr>
      </w:pPr>
      <w:r>
        <w:rPr>
          <w:rFonts w:ascii="华文仿宋" w:hAnsi="华文仿宋" w:cs="华文仿宋"/>
          <w:b/>
          <w:bCs/>
          <w:color w:val="auto"/>
        </w:rPr>
        <w:t>2</w:t>
      </w:r>
      <w:r>
        <w:rPr>
          <w:rFonts w:hint="eastAsia" w:ascii="华文仿宋" w:hAnsi="华文仿宋" w:cs="华文仿宋"/>
          <w:b/>
          <w:bCs/>
          <w:color w:val="auto"/>
          <w:lang w:val="en-US" w:eastAsia="zh-CN"/>
        </w:rPr>
        <w:t>.</w:t>
      </w:r>
      <w:r>
        <w:rPr>
          <w:rFonts w:hint="eastAsia" w:ascii="华文仿宋" w:hAnsi="华文仿宋" w:cs="华文仿宋"/>
          <w:b/>
          <w:bCs/>
          <w:color w:val="auto"/>
        </w:rPr>
        <w:t>投标文件的澄清</w:t>
      </w:r>
    </w:p>
    <w:p w14:paraId="7E9B3DD4">
      <w:pPr>
        <w:spacing w:line="500" w:lineRule="exact"/>
        <w:ind w:firstLine="566" w:firstLineChars="200"/>
        <w:rPr>
          <w:rFonts w:ascii="华文仿宋" w:cs="Times New Roman"/>
          <w:color w:val="auto"/>
        </w:rPr>
      </w:pPr>
      <w:r>
        <w:rPr>
          <w:rFonts w:hint="eastAsia" w:ascii="华文仿宋" w:hAnsi="华文仿宋" w:cs="华文仿宋"/>
          <w:color w:val="auto"/>
        </w:rPr>
        <w:t>（</w:t>
      </w:r>
      <w:r>
        <w:rPr>
          <w:rFonts w:ascii="华文仿宋" w:hAnsi="华文仿宋" w:cs="华文仿宋"/>
          <w:color w:val="auto"/>
        </w:rPr>
        <w:t>1</w:t>
      </w:r>
      <w:r>
        <w:rPr>
          <w:rFonts w:hint="eastAsia" w:ascii="华文仿宋" w:hAnsi="华文仿宋" w:cs="华文仿宋"/>
          <w:color w:val="auto"/>
        </w:rPr>
        <w:t>）评标委员会在对投标文件的有效性、完整性和响应程度进行审查时，可以要求投标人对投标文件中含义不明确、同类问题表述不一致或者有明显文字和计算错误的内容等做出必要的澄清、说明或者补正。</w:t>
      </w:r>
    </w:p>
    <w:p w14:paraId="2A827C27">
      <w:pPr>
        <w:spacing w:line="500" w:lineRule="exact"/>
        <w:ind w:firstLine="566" w:firstLineChars="200"/>
        <w:rPr>
          <w:rFonts w:ascii="华文仿宋" w:cs="Times New Roman"/>
          <w:color w:val="auto"/>
        </w:rPr>
      </w:pPr>
      <w:r>
        <w:rPr>
          <w:rFonts w:hint="eastAsia" w:ascii="华文仿宋" w:hAnsi="华文仿宋" w:cs="华文仿宋"/>
          <w:color w:val="auto"/>
        </w:rPr>
        <w:t>（</w:t>
      </w:r>
      <w:r>
        <w:rPr>
          <w:rFonts w:ascii="华文仿宋" w:hAnsi="华文仿宋" w:cs="华文仿宋"/>
          <w:color w:val="auto"/>
        </w:rPr>
        <w:t>2</w:t>
      </w:r>
      <w:r>
        <w:rPr>
          <w:rFonts w:hint="eastAsia" w:ascii="华文仿宋" w:hAnsi="华文仿宋" w:cs="华文仿宋"/>
          <w:color w:val="auto"/>
        </w:rPr>
        <w:t>）依照《中华人民共和国民法典》的过失责任原则，澄清、说明或补正前评标委员会将按最不利于投标人的原则对投标文件做出评判。</w:t>
      </w:r>
    </w:p>
    <w:p w14:paraId="3A07D5CE">
      <w:pPr>
        <w:spacing w:line="500" w:lineRule="exact"/>
        <w:rPr>
          <w:rFonts w:ascii="华文仿宋" w:cs="Times New Roman"/>
          <w:color w:val="auto"/>
        </w:rPr>
      </w:pPr>
      <w:r>
        <w:rPr>
          <w:rFonts w:hint="eastAsia" w:ascii="华文仿宋" w:hAnsi="华文仿宋" w:cs="华文仿宋"/>
          <w:color w:val="auto"/>
        </w:rPr>
        <w:t xml:space="preserve">    （</w:t>
      </w:r>
      <w:r>
        <w:rPr>
          <w:rFonts w:ascii="华文仿宋" w:hAnsi="华文仿宋" w:cs="华文仿宋"/>
          <w:color w:val="auto"/>
        </w:rPr>
        <w:t>3</w:t>
      </w:r>
      <w:r>
        <w:rPr>
          <w:rFonts w:hint="eastAsia" w:ascii="华文仿宋" w:hAnsi="华文仿宋" w:cs="华文仿宋"/>
          <w:color w:val="auto"/>
        </w:rPr>
        <w:t>）评标委员会要求投标人澄清、说明或者补正投标文件应通过书面形式做出。投标人应当在规定的澄清时限内按评标委员会要求的方式，通过书面形式提交，投标人的澄清、说明或者补正应当由法定代表人或其授权代表签字或者加盖公章。</w:t>
      </w:r>
    </w:p>
    <w:p w14:paraId="6BF1A143">
      <w:pPr>
        <w:spacing w:line="500" w:lineRule="exact"/>
        <w:ind w:firstLine="566" w:firstLineChars="200"/>
        <w:rPr>
          <w:rFonts w:ascii="华文仿宋" w:cs="Times New Roman"/>
          <w:color w:val="auto"/>
        </w:rPr>
      </w:pPr>
      <w:r>
        <w:rPr>
          <w:rFonts w:hint="eastAsia" w:ascii="华文仿宋" w:hAnsi="华文仿宋" w:cs="华文仿宋"/>
          <w:color w:val="auto"/>
        </w:rPr>
        <w:t>（</w:t>
      </w:r>
      <w:r>
        <w:rPr>
          <w:rFonts w:ascii="华文仿宋" w:hAnsi="华文仿宋" w:cs="华文仿宋"/>
          <w:color w:val="auto"/>
        </w:rPr>
        <w:t>4</w:t>
      </w:r>
      <w:r>
        <w:rPr>
          <w:rFonts w:hint="eastAsia" w:ascii="华文仿宋" w:hAnsi="华文仿宋" w:cs="华文仿宋"/>
          <w:color w:val="auto"/>
        </w:rPr>
        <w:t>）投标人的澄清、说明或者补正不得超出投标文件的范围或者改变投标文件的实质性内容。澄清、说明或者补正的内容将作为</w:t>
      </w:r>
      <w:r>
        <w:rPr>
          <w:rFonts w:hint="eastAsia" w:ascii="华文仿宋" w:hAnsi="华文仿宋" w:cs="华文仿宋"/>
          <w:color w:val="auto"/>
          <w:kern w:val="0"/>
        </w:rPr>
        <w:t>合同</w:t>
      </w:r>
      <w:r>
        <w:rPr>
          <w:rFonts w:hint="eastAsia" w:ascii="华文仿宋" w:hAnsi="华文仿宋" w:cs="华文仿宋"/>
          <w:color w:val="auto"/>
        </w:rPr>
        <w:t>履行的重要依据。</w:t>
      </w:r>
    </w:p>
    <w:p w14:paraId="36877FBC">
      <w:pPr>
        <w:spacing w:line="500" w:lineRule="exact"/>
        <w:ind w:firstLine="566" w:firstLineChars="200"/>
        <w:rPr>
          <w:rFonts w:ascii="华文仿宋" w:cs="Times New Roman"/>
          <w:b/>
          <w:bCs/>
          <w:color w:val="auto"/>
        </w:rPr>
      </w:pPr>
      <w:r>
        <w:rPr>
          <w:rFonts w:ascii="华文仿宋" w:hAnsi="华文仿宋" w:cs="华文仿宋"/>
          <w:b/>
          <w:bCs/>
          <w:color w:val="auto"/>
        </w:rPr>
        <w:t>3</w:t>
      </w:r>
      <w:r>
        <w:rPr>
          <w:rFonts w:hint="eastAsia" w:ascii="华文仿宋" w:hAnsi="华文仿宋" w:cs="华文仿宋"/>
          <w:b/>
          <w:bCs/>
          <w:color w:val="auto"/>
          <w:lang w:val="en-US" w:eastAsia="zh-CN"/>
        </w:rPr>
        <w:t>.</w:t>
      </w:r>
      <w:r>
        <w:rPr>
          <w:rFonts w:hint="eastAsia" w:ascii="华文仿宋" w:hAnsi="华文仿宋" w:cs="华文仿宋"/>
          <w:b/>
          <w:bCs/>
          <w:color w:val="auto"/>
        </w:rPr>
        <w:t>综合比较与评价</w:t>
      </w:r>
    </w:p>
    <w:p w14:paraId="2A0FDB75">
      <w:pPr>
        <w:spacing w:line="500" w:lineRule="exact"/>
        <w:ind w:firstLine="566" w:firstLineChars="200"/>
        <w:rPr>
          <w:rFonts w:ascii="华文仿宋" w:cs="Times New Roman"/>
          <w:color w:val="auto"/>
        </w:rPr>
      </w:pPr>
      <w:r>
        <w:rPr>
          <w:rFonts w:hint="eastAsia" w:ascii="华文仿宋" w:hAnsi="华文仿宋" w:cs="华文仿宋"/>
          <w:color w:val="auto"/>
        </w:rPr>
        <w:t>采用最低评标价法的，评标委员会对通过符合性审查的投标文件的投标报价由低到高顺序排列。</w:t>
      </w:r>
    </w:p>
    <w:p w14:paraId="24E6C035">
      <w:pPr>
        <w:spacing w:line="500" w:lineRule="exact"/>
        <w:ind w:firstLine="566" w:firstLineChars="200"/>
        <w:rPr>
          <w:rFonts w:ascii="华文仿宋" w:cs="Times New Roman"/>
          <w:color w:val="auto"/>
        </w:rPr>
      </w:pPr>
      <w:r>
        <w:rPr>
          <w:rFonts w:hint="eastAsia" w:ascii="华文仿宋" w:hAnsi="华文仿宋" w:cs="华文仿宋"/>
          <w:color w:val="auto"/>
        </w:rPr>
        <w:t>采用综合评分法的，评标委员会按“评审要素及分值一览表”中规定的评标标准，对通过符合性审查的投标文件进行商务和技术评估，综合比较与评价。</w:t>
      </w:r>
    </w:p>
    <w:p w14:paraId="37DF6ED2">
      <w:pPr>
        <w:spacing w:line="500" w:lineRule="exact"/>
        <w:ind w:firstLine="566" w:firstLineChars="200"/>
        <w:rPr>
          <w:rFonts w:ascii="华文仿宋" w:cs="Times New Roman"/>
          <w:b/>
          <w:bCs/>
          <w:color w:val="auto"/>
        </w:rPr>
      </w:pPr>
      <w:r>
        <w:rPr>
          <w:rFonts w:hint="eastAsia" w:ascii="华文仿宋" w:hAnsi="华文仿宋" w:cs="华文仿宋"/>
          <w:b/>
          <w:bCs/>
          <w:color w:val="auto"/>
        </w:rPr>
        <w:t>出现下列情形的，投标人投标无效：</w:t>
      </w:r>
    </w:p>
    <w:p w14:paraId="3EF09084">
      <w:pPr>
        <w:spacing w:line="500" w:lineRule="exact"/>
        <w:ind w:firstLine="566" w:firstLineChars="200"/>
        <w:rPr>
          <w:rFonts w:ascii="华文仿宋" w:cs="Times New Roman"/>
          <w:color w:val="auto"/>
        </w:rPr>
      </w:pPr>
      <w:r>
        <w:rPr>
          <w:rFonts w:hint="eastAsia" w:ascii="华文仿宋" w:hAnsi="华文仿宋" w:cs="华文仿宋"/>
          <w:color w:val="auto"/>
        </w:rPr>
        <w:t>（</w:t>
      </w:r>
      <w:r>
        <w:rPr>
          <w:rFonts w:ascii="华文仿宋" w:hAnsi="华文仿宋" w:cs="华文仿宋"/>
          <w:color w:val="auto"/>
        </w:rPr>
        <w:t>1</w:t>
      </w:r>
      <w:r>
        <w:rPr>
          <w:rFonts w:hint="eastAsia" w:ascii="华文仿宋" w:hAnsi="华文仿宋" w:cs="华文仿宋"/>
          <w:color w:val="auto"/>
        </w:rPr>
        <w:t>）投标文件报价出现本章“五、投标报价”所列需要修正情形，但投标人对修正后的报价不予确认的；</w:t>
      </w:r>
    </w:p>
    <w:p w14:paraId="237CFD1E">
      <w:pPr>
        <w:spacing w:line="500" w:lineRule="exact"/>
        <w:ind w:firstLine="566" w:firstLineChars="200"/>
        <w:rPr>
          <w:rFonts w:ascii="华文仿宋" w:cs="Times New Roman"/>
          <w:color w:val="auto"/>
        </w:rPr>
      </w:pPr>
      <w:r>
        <w:rPr>
          <w:rFonts w:hint="eastAsia" w:ascii="华文仿宋" w:hAnsi="华文仿宋" w:cs="华文仿宋"/>
          <w:color w:val="auto"/>
        </w:rPr>
        <w:t>（</w:t>
      </w:r>
      <w:r>
        <w:rPr>
          <w:rFonts w:ascii="华文仿宋" w:hAnsi="华文仿宋" w:cs="华文仿宋"/>
          <w:color w:val="auto"/>
        </w:rPr>
        <w:t>2</w:t>
      </w:r>
      <w:r>
        <w:rPr>
          <w:rFonts w:hint="eastAsia" w:ascii="华文仿宋" w:hAnsi="华文仿宋" w:cs="华文仿宋"/>
          <w:color w:val="auto"/>
        </w:rPr>
        <w:t>）评标委员会认为投标人的报价明显低于其他通过符合性审查投标人的报价，有可能影响产品质量或者不能诚信履约的，要求投标人通过电子交易平台或电子邮件等书面形式做出说明（必要时提交相关证明材料），投标人不能证明其报价合理性的。</w:t>
      </w:r>
    </w:p>
    <w:p w14:paraId="46AFCC4D">
      <w:pPr>
        <w:spacing w:line="500" w:lineRule="exact"/>
        <w:ind w:firstLine="566" w:firstLineChars="200"/>
        <w:rPr>
          <w:rFonts w:ascii="华文仿宋" w:cs="Times New Roman"/>
          <w:b/>
          <w:bCs/>
          <w:color w:val="auto"/>
        </w:rPr>
      </w:pPr>
      <w:r>
        <w:rPr>
          <w:rFonts w:ascii="华文仿宋" w:hAnsi="华文仿宋" w:cs="华文仿宋"/>
          <w:b/>
          <w:bCs/>
          <w:color w:val="auto"/>
        </w:rPr>
        <w:t>4</w:t>
      </w:r>
      <w:r>
        <w:rPr>
          <w:rFonts w:hint="eastAsia" w:ascii="华文仿宋" w:hAnsi="华文仿宋" w:cs="华文仿宋"/>
          <w:b/>
          <w:bCs/>
          <w:color w:val="auto"/>
          <w:lang w:val="en-US" w:eastAsia="zh-CN"/>
        </w:rPr>
        <w:t>.</w:t>
      </w:r>
      <w:r>
        <w:rPr>
          <w:rFonts w:hint="eastAsia" w:ascii="华文仿宋" w:hAnsi="华文仿宋" w:cs="华文仿宋"/>
          <w:b/>
          <w:bCs/>
          <w:color w:val="auto"/>
        </w:rPr>
        <w:t>推荐中标候选人</w:t>
      </w:r>
    </w:p>
    <w:p w14:paraId="66E31F39">
      <w:pPr>
        <w:spacing w:line="500" w:lineRule="exact"/>
        <w:ind w:firstLine="566" w:firstLineChars="200"/>
        <w:rPr>
          <w:rFonts w:ascii="华文仿宋" w:cs="Times New Roman"/>
          <w:color w:val="auto"/>
        </w:rPr>
      </w:pPr>
      <w:r>
        <w:rPr>
          <w:rFonts w:hint="eastAsia" w:ascii="华文仿宋" w:hAnsi="华文仿宋" w:cs="华文仿宋"/>
          <w:color w:val="auto"/>
        </w:rPr>
        <w:t>采用最低评标价法的，评标结果按投标报价由低到高顺序排列。投标报价相同的，投标文件满足招标文件全部实质性要求且投标报价最低的投标人为排名第一的中标候选人。</w:t>
      </w:r>
    </w:p>
    <w:p w14:paraId="13C6A04E">
      <w:pPr>
        <w:spacing w:line="500" w:lineRule="exact"/>
        <w:ind w:firstLine="566" w:firstLineChars="200"/>
        <w:rPr>
          <w:rFonts w:ascii="华文仿宋" w:cs="Times New Roman"/>
          <w:color w:val="auto"/>
        </w:rPr>
      </w:pPr>
      <w:r>
        <w:rPr>
          <w:rFonts w:hint="eastAsia" w:ascii="华文仿宋" w:hAnsi="华文仿宋" w:cs="华文仿宋"/>
          <w:color w:val="auto"/>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5759CA4D">
      <w:pPr>
        <w:spacing w:line="500" w:lineRule="exact"/>
        <w:ind w:firstLine="566" w:firstLineChars="200"/>
        <w:rPr>
          <w:color w:val="auto"/>
        </w:rPr>
      </w:pPr>
      <w:r>
        <w:rPr>
          <w:rFonts w:hint="eastAsia" w:ascii="华文仿宋" w:hAnsi="华文仿宋" w:cs="华文仿宋"/>
          <w:b/>
          <w:bCs/>
          <w:color w:val="auto"/>
        </w:rPr>
        <w:t>5</w:t>
      </w:r>
      <w:r>
        <w:rPr>
          <w:rFonts w:hint="eastAsia" w:ascii="华文仿宋" w:hAnsi="华文仿宋" w:cs="华文仿宋"/>
          <w:b/>
          <w:bCs/>
          <w:color w:val="auto"/>
          <w:lang w:val="en-US" w:eastAsia="zh-CN"/>
        </w:rPr>
        <w:t>.</w:t>
      </w:r>
      <w:r>
        <w:rPr>
          <w:rFonts w:hint="eastAsia" w:ascii="华文仿宋" w:hAnsi="华文仿宋" w:cs="华文仿宋"/>
          <w:b/>
          <w:bCs/>
          <w:color w:val="auto"/>
        </w:rPr>
        <w:t>编写评标报告</w:t>
      </w:r>
    </w:p>
    <w:p w14:paraId="48174E00">
      <w:pPr>
        <w:autoSpaceDE w:val="0"/>
        <w:autoSpaceDN w:val="0"/>
        <w:adjustRightInd w:val="0"/>
        <w:spacing w:line="520" w:lineRule="exact"/>
        <w:ind w:firstLine="566" w:firstLineChars="200"/>
        <w:rPr>
          <w:rFonts w:ascii="华文仿宋" w:hAnsi="华文仿宋" w:cs="华文仿宋"/>
          <w:color w:val="auto"/>
        </w:rPr>
      </w:pPr>
      <w:r>
        <w:rPr>
          <w:rFonts w:hint="eastAsia" w:ascii="华文仿宋" w:hAnsi="华文仿宋" w:cs="华文仿宋"/>
          <w:color w:val="auto"/>
        </w:rPr>
        <w:t>评标委员会根据评标情况编制评标报告，评标委员会成员对需要共同认定的事项存在争议的，应当按照少数服从多数的原则做出结论。持不同意见的评标委员会成员应当在评标报告上签署不同意见及理由，否则视为同意评标报告。对拒绝说明理由的，须报政府采购监管部门处理，并将其评审情况如实计入考核表。</w:t>
      </w:r>
    </w:p>
    <w:p w14:paraId="436F6371">
      <w:pPr>
        <w:pStyle w:val="7"/>
        <w:spacing w:line="520" w:lineRule="exact"/>
        <w:ind w:firstLine="566" w:firstLineChars="200"/>
        <w:rPr>
          <w:color w:val="auto"/>
        </w:rPr>
      </w:pPr>
      <w:r>
        <w:rPr>
          <w:rFonts w:hint="eastAsia"/>
          <w:color w:val="auto"/>
        </w:rPr>
        <w:t>采购人书面授权评标委员会直接确定中标人的，评标委员会应在评标报告中明确中标人及中标金额。</w:t>
      </w:r>
    </w:p>
    <w:p w14:paraId="46E8D7EE">
      <w:pPr>
        <w:autoSpaceDE w:val="0"/>
        <w:autoSpaceDN w:val="0"/>
        <w:adjustRightInd w:val="0"/>
        <w:spacing w:line="500" w:lineRule="exact"/>
        <w:ind w:firstLine="566" w:firstLineChars="200"/>
        <w:rPr>
          <w:rFonts w:ascii="华文仿宋" w:cs="Times New Roman"/>
          <w:color w:val="auto"/>
        </w:rPr>
      </w:pPr>
      <w:r>
        <w:rPr>
          <w:rFonts w:hint="eastAsia" w:ascii="华文仿宋" w:hAnsi="华文仿宋" w:cs="华文仿宋"/>
          <w:color w:val="auto"/>
        </w:rPr>
        <w:t>评标结果汇总完成后，除下列情形外，任何人不得修改评标结果：</w:t>
      </w:r>
    </w:p>
    <w:p w14:paraId="18A9BA78">
      <w:pPr>
        <w:spacing w:line="500" w:lineRule="exact"/>
        <w:ind w:firstLine="566" w:firstLineChars="200"/>
        <w:rPr>
          <w:rFonts w:ascii="华文仿宋" w:cs="Times New Roman"/>
          <w:color w:val="auto"/>
        </w:rPr>
      </w:pPr>
      <w:r>
        <w:rPr>
          <w:rFonts w:hint="eastAsia" w:ascii="华文仿宋" w:hAnsi="华文仿宋" w:cs="华文仿宋"/>
          <w:color w:val="auto"/>
        </w:rPr>
        <w:t>（</w:t>
      </w:r>
      <w:r>
        <w:rPr>
          <w:rFonts w:ascii="华文仿宋" w:hAnsi="华文仿宋" w:cs="华文仿宋"/>
          <w:color w:val="auto"/>
        </w:rPr>
        <w:t>1</w:t>
      </w:r>
      <w:r>
        <w:rPr>
          <w:rFonts w:hint="eastAsia" w:ascii="华文仿宋" w:hAnsi="华文仿宋" w:cs="华文仿宋"/>
          <w:color w:val="auto"/>
        </w:rPr>
        <w:t>）分值汇总计算错误的；</w:t>
      </w:r>
    </w:p>
    <w:p w14:paraId="769B3E70">
      <w:pPr>
        <w:spacing w:line="500" w:lineRule="exact"/>
        <w:ind w:firstLine="566" w:firstLineChars="200"/>
        <w:rPr>
          <w:rFonts w:ascii="华文仿宋" w:cs="Times New Roman"/>
          <w:color w:val="auto"/>
        </w:rPr>
      </w:pPr>
      <w:r>
        <w:rPr>
          <w:rFonts w:hint="eastAsia" w:ascii="华文仿宋" w:hAnsi="华文仿宋" w:cs="华文仿宋"/>
          <w:color w:val="auto"/>
        </w:rPr>
        <w:t>（</w:t>
      </w:r>
      <w:r>
        <w:rPr>
          <w:rFonts w:ascii="华文仿宋" w:hAnsi="华文仿宋" w:cs="华文仿宋"/>
          <w:color w:val="auto"/>
        </w:rPr>
        <w:t>2</w:t>
      </w:r>
      <w:r>
        <w:rPr>
          <w:rFonts w:hint="eastAsia" w:ascii="华文仿宋" w:hAnsi="华文仿宋" w:cs="华文仿宋"/>
          <w:color w:val="auto"/>
        </w:rPr>
        <w:t>）分项评分超出评分标准范围的；</w:t>
      </w:r>
    </w:p>
    <w:p w14:paraId="2FC7986F">
      <w:pPr>
        <w:spacing w:line="500" w:lineRule="exact"/>
        <w:ind w:firstLine="566" w:firstLineChars="200"/>
        <w:rPr>
          <w:rFonts w:ascii="华文仿宋" w:cs="Times New Roman"/>
          <w:color w:val="auto"/>
        </w:rPr>
      </w:pPr>
      <w:r>
        <w:rPr>
          <w:rFonts w:hint="eastAsia" w:ascii="华文仿宋" w:hAnsi="华文仿宋" w:cs="华文仿宋"/>
          <w:color w:val="auto"/>
        </w:rPr>
        <w:t>（</w:t>
      </w:r>
      <w:r>
        <w:rPr>
          <w:rFonts w:ascii="华文仿宋" w:hAnsi="华文仿宋" w:cs="华文仿宋"/>
          <w:color w:val="auto"/>
        </w:rPr>
        <w:t>3</w:t>
      </w:r>
      <w:r>
        <w:rPr>
          <w:rFonts w:hint="eastAsia" w:ascii="华文仿宋" w:hAnsi="华文仿宋" w:cs="华文仿宋"/>
          <w:color w:val="auto"/>
        </w:rPr>
        <w:t>）评标委员会成员对客观评审因素评分不一致的；</w:t>
      </w:r>
    </w:p>
    <w:p w14:paraId="3A0EBB90">
      <w:pPr>
        <w:spacing w:line="500" w:lineRule="exact"/>
        <w:ind w:firstLine="566" w:firstLineChars="200"/>
        <w:rPr>
          <w:rFonts w:ascii="华文仿宋" w:cs="Times New Roman"/>
          <w:color w:val="auto"/>
        </w:rPr>
      </w:pPr>
      <w:r>
        <w:rPr>
          <w:rFonts w:hint="eastAsia" w:ascii="华文仿宋" w:hAnsi="华文仿宋" w:cs="华文仿宋"/>
          <w:color w:val="auto"/>
        </w:rPr>
        <w:t>（</w:t>
      </w:r>
      <w:r>
        <w:rPr>
          <w:rFonts w:ascii="华文仿宋" w:hAnsi="华文仿宋" w:cs="华文仿宋"/>
          <w:color w:val="auto"/>
        </w:rPr>
        <w:t>4</w:t>
      </w:r>
      <w:r>
        <w:rPr>
          <w:rFonts w:hint="eastAsia" w:ascii="华文仿宋" w:hAnsi="华文仿宋" w:cs="华文仿宋"/>
          <w:color w:val="auto"/>
        </w:rPr>
        <w:t>）经评标委员会认定评分畸高、畸低的。</w:t>
      </w:r>
    </w:p>
    <w:p w14:paraId="3275EB40">
      <w:pPr>
        <w:autoSpaceDE w:val="0"/>
        <w:autoSpaceDN w:val="0"/>
        <w:adjustRightInd w:val="0"/>
        <w:spacing w:line="500" w:lineRule="exact"/>
        <w:ind w:firstLine="566" w:firstLineChars="200"/>
        <w:rPr>
          <w:rFonts w:ascii="华文仿宋" w:cs="Times New Roman"/>
          <w:color w:val="auto"/>
        </w:rPr>
      </w:pPr>
      <w:r>
        <w:rPr>
          <w:rFonts w:hint="eastAsia" w:ascii="华文仿宋" w:hAnsi="华文仿宋" w:cs="华文仿宋"/>
          <w:color w:val="auto"/>
        </w:rPr>
        <w:t>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p>
    <w:p w14:paraId="54CCCF68">
      <w:pPr>
        <w:pStyle w:val="3"/>
        <w:spacing w:line="500" w:lineRule="exact"/>
        <w:ind w:firstLine="566" w:firstLineChars="200"/>
        <w:rPr>
          <w:rFonts w:ascii="华文仿宋" w:cs="Times New Roman"/>
          <w:color w:val="auto"/>
          <w:sz w:val="28"/>
          <w:szCs w:val="28"/>
        </w:rPr>
      </w:pPr>
      <w:bookmarkStart w:id="422" w:name="_Toc2851"/>
      <w:bookmarkEnd w:id="422"/>
      <w:bookmarkStart w:id="423" w:name="_Toc27786"/>
      <w:bookmarkEnd w:id="423"/>
      <w:bookmarkStart w:id="424" w:name="_Toc2101"/>
      <w:bookmarkEnd w:id="424"/>
      <w:bookmarkStart w:id="425" w:name="_Toc9225"/>
      <w:bookmarkEnd w:id="425"/>
      <w:bookmarkStart w:id="426" w:name="_Toc3364"/>
      <w:bookmarkEnd w:id="426"/>
      <w:bookmarkStart w:id="427" w:name="_Toc31904"/>
      <w:bookmarkEnd w:id="427"/>
      <w:bookmarkStart w:id="428" w:name="_Toc919"/>
      <w:bookmarkEnd w:id="428"/>
      <w:bookmarkStart w:id="429" w:name="_Toc13609"/>
      <w:bookmarkEnd w:id="429"/>
      <w:bookmarkStart w:id="430" w:name="_Toc3221"/>
      <w:bookmarkEnd w:id="430"/>
      <w:r>
        <w:rPr>
          <w:rFonts w:hint="eastAsia" w:ascii="华文仿宋" w:hAnsi="华文仿宋" w:cs="华文仿宋"/>
          <w:color w:val="auto"/>
          <w:sz w:val="28"/>
          <w:szCs w:val="28"/>
        </w:rPr>
        <w:t>（六）有下列情形之一的，视为投标人串通投标，其投标无效：</w:t>
      </w:r>
    </w:p>
    <w:p w14:paraId="51E62F15">
      <w:pPr>
        <w:spacing w:line="500" w:lineRule="exact"/>
        <w:ind w:firstLine="566" w:firstLineChars="200"/>
        <w:rPr>
          <w:rFonts w:ascii="华文仿宋" w:cs="Times New Roman"/>
          <w:color w:val="auto"/>
        </w:rPr>
      </w:pPr>
      <w:r>
        <w:rPr>
          <w:rFonts w:ascii="华文仿宋" w:hAnsi="华文仿宋" w:cs="华文仿宋"/>
          <w:color w:val="auto"/>
        </w:rPr>
        <w:t>1</w:t>
      </w:r>
      <w:r>
        <w:rPr>
          <w:rFonts w:hint="eastAsia" w:ascii="华文仿宋" w:hAnsi="华文仿宋" w:cs="华文仿宋"/>
          <w:color w:val="auto"/>
          <w:lang w:val="en-US" w:eastAsia="zh-CN"/>
        </w:rPr>
        <w:t>.</w:t>
      </w:r>
      <w:r>
        <w:rPr>
          <w:rFonts w:hint="eastAsia" w:ascii="华文仿宋" w:hAnsi="华文仿宋" w:cs="华文仿宋"/>
          <w:color w:val="auto"/>
        </w:rPr>
        <w:t>不同投标人的投标文件由同一单位或者个人编制；</w:t>
      </w:r>
    </w:p>
    <w:p w14:paraId="3F5F3065">
      <w:pPr>
        <w:spacing w:line="500" w:lineRule="exact"/>
        <w:ind w:firstLine="566" w:firstLineChars="200"/>
        <w:rPr>
          <w:rFonts w:ascii="华文仿宋" w:cs="Times New Roman"/>
          <w:color w:val="auto"/>
        </w:rPr>
      </w:pPr>
      <w:r>
        <w:rPr>
          <w:rFonts w:ascii="华文仿宋" w:hAnsi="华文仿宋" w:cs="华文仿宋"/>
          <w:color w:val="auto"/>
        </w:rPr>
        <w:t>2</w:t>
      </w:r>
      <w:r>
        <w:rPr>
          <w:rFonts w:hint="eastAsia" w:ascii="华文仿宋" w:hAnsi="华文仿宋" w:cs="华文仿宋"/>
          <w:color w:val="auto"/>
          <w:lang w:val="en-US" w:eastAsia="zh-CN"/>
        </w:rPr>
        <w:t>.</w:t>
      </w:r>
      <w:r>
        <w:rPr>
          <w:rFonts w:hint="eastAsia" w:ascii="华文仿宋" w:hAnsi="华文仿宋" w:cs="华文仿宋"/>
          <w:color w:val="auto"/>
        </w:rPr>
        <w:t>不同投标人的投标文件由同一台电脑编制；</w:t>
      </w:r>
    </w:p>
    <w:p w14:paraId="5AE3E43D">
      <w:pPr>
        <w:spacing w:line="500" w:lineRule="exact"/>
        <w:ind w:firstLine="566" w:firstLineChars="200"/>
        <w:rPr>
          <w:rFonts w:ascii="华文仿宋" w:cs="Times New Roman"/>
          <w:color w:val="auto"/>
        </w:rPr>
      </w:pPr>
      <w:r>
        <w:rPr>
          <w:rFonts w:ascii="华文仿宋" w:hAnsi="华文仿宋" w:cs="华文仿宋"/>
          <w:color w:val="auto"/>
        </w:rPr>
        <w:t>3</w:t>
      </w:r>
      <w:r>
        <w:rPr>
          <w:rFonts w:hint="eastAsia" w:ascii="华文仿宋" w:hAnsi="华文仿宋" w:cs="华文仿宋"/>
          <w:color w:val="auto"/>
          <w:lang w:val="en-US" w:eastAsia="zh-CN"/>
        </w:rPr>
        <w:t>.</w:t>
      </w:r>
      <w:r>
        <w:rPr>
          <w:rFonts w:hint="eastAsia" w:ascii="华文仿宋" w:hAnsi="华文仿宋" w:cs="华文仿宋"/>
          <w:color w:val="auto"/>
        </w:rPr>
        <w:t>不同投标人委托同一单位或者个人办理投标事宜；</w:t>
      </w:r>
    </w:p>
    <w:p w14:paraId="293D42C3">
      <w:pPr>
        <w:spacing w:line="500" w:lineRule="exact"/>
        <w:ind w:firstLine="566" w:firstLineChars="200"/>
        <w:rPr>
          <w:rFonts w:ascii="华文仿宋" w:cs="Times New Roman"/>
          <w:color w:val="auto"/>
        </w:rPr>
      </w:pPr>
      <w:r>
        <w:rPr>
          <w:rFonts w:ascii="华文仿宋" w:hAnsi="华文仿宋" w:cs="华文仿宋"/>
          <w:color w:val="auto"/>
        </w:rPr>
        <w:t>4</w:t>
      </w:r>
      <w:r>
        <w:rPr>
          <w:rFonts w:hint="eastAsia" w:ascii="华文仿宋" w:hAnsi="华文仿宋" w:cs="华文仿宋"/>
          <w:color w:val="auto"/>
          <w:lang w:val="en-US" w:eastAsia="zh-CN"/>
        </w:rPr>
        <w:t>.</w:t>
      </w:r>
      <w:r>
        <w:rPr>
          <w:rFonts w:hint="eastAsia" w:ascii="华文仿宋" w:hAnsi="华文仿宋" w:cs="华文仿宋"/>
          <w:color w:val="auto"/>
        </w:rPr>
        <w:t>不同投标人的投标文件载明的项目管理成员或者联系人员为同一人；</w:t>
      </w:r>
    </w:p>
    <w:p w14:paraId="2647E6AE">
      <w:pPr>
        <w:spacing w:line="500" w:lineRule="exact"/>
        <w:ind w:firstLine="566" w:firstLineChars="200"/>
        <w:rPr>
          <w:rFonts w:ascii="华文仿宋" w:cs="Times New Roman"/>
          <w:color w:val="auto"/>
        </w:rPr>
      </w:pPr>
      <w:r>
        <w:rPr>
          <w:rFonts w:ascii="华文仿宋" w:hAnsi="华文仿宋" w:cs="华文仿宋"/>
          <w:color w:val="auto"/>
        </w:rPr>
        <w:t>5</w:t>
      </w:r>
      <w:r>
        <w:rPr>
          <w:rFonts w:hint="eastAsia" w:ascii="华文仿宋" w:hAnsi="华文仿宋" w:cs="华文仿宋"/>
          <w:color w:val="auto"/>
          <w:lang w:val="en-US" w:eastAsia="zh-CN"/>
        </w:rPr>
        <w:t>.</w:t>
      </w:r>
      <w:r>
        <w:rPr>
          <w:rFonts w:hint="eastAsia" w:ascii="华文仿宋" w:hAnsi="华文仿宋" w:cs="华文仿宋"/>
          <w:color w:val="auto"/>
        </w:rPr>
        <w:t>不同投标人的投标文件异常一致或者投标报价呈规律性差异；</w:t>
      </w:r>
    </w:p>
    <w:p w14:paraId="6DD86EF8">
      <w:pPr>
        <w:spacing w:line="500" w:lineRule="exact"/>
        <w:ind w:firstLine="566" w:firstLineChars="200"/>
        <w:rPr>
          <w:rFonts w:ascii="华文仿宋" w:cs="Times New Roman"/>
          <w:color w:val="auto"/>
        </w:rPr>
      </w:pPr>
      <w:r>
        <w:rPr>
          <w:rFonts w:ascii="华文仿宋" w:hAnsi="华文仿宋" w:cs="华文仿宋"/>
          <w:color w:val="auto"/>
        </w:rPr>
        <w:t>6</w:t>
      </w:r>
      <w:r>
        <w:rPr>
          <w:rFonts w:hint="eastAsia" w:ascii="华文仿宋" w:hAnsi="华文仿宋" w:cs="华文仿宋"/>
          <w:color w:val="auto"/>
          <w:lang w:val="en-US" w:eastAsia="zh-CN"/>
        </w:rPr>
        <w:t>.</w:t>
      </w:r>
      <w:r>
        <w:rPr>
          <w:rFonts w:hint="eastAsia" w:ascii="华文仿宋" w:hAnsi="华文仿宋" w:cs="华文仿宋"/>
          <w:color w:val="auto"/>
        </w:rPr>
        <w:t>不同投标人的投标文件相互混装；</w:t>
      </w:r>
    </w:p>
    <w:p w14:paraId="5F0C56CF">
      <w:pPr>
        <w:spacing w:line="500" w:lineRule="exact"/>
        <w:ind w:firstLine="566" w:firstLineChars="200"/>
        <w:rPr>
          <w:rFonts w:ascii="华文仿宋" w:cs="Times New Roman"/>
          <w:color w:val="auto"/>
        </w:rPr>
      </w:pPr>
      <w:r>
        <w:rPr>
          <w:rFonts w:ascii="华文仿宋" w:hAnsi="华文仿宋" w:cs="华文仿宋"/>
          <w:color w:val="auto"/>
        </w:rPr>
        <w:t>7</w:t>
      </w:r>
      <w:r>
        <w:rPr>
          <w:rFonts w:hint="eastAsia" w:ascii="华文仿宋" w:hAnsi="华文仿宋" w:cs="华文仿宋"/>
          <w:color w:val="auto"/>
          <w:lang w:val="en-US" w:eastAsia="zh-CN"/>
        </w:rPr>
        <w:t>.</w:t>
      </w:r>
      <w:r>
        <w:rPr>
          <w:rFonts w:hint="eastAsia" w:ascii="华文仿宋" w:hAnsi="华文仿宋" w:cs="华文仿宋"/>
          <w:color w:val="auto"/>
        </w:rPr>
        <w:t>政府采购法律法规及</w:t>
      </w:r>
      <w:r>
        <w:rPr>
          <w:rFonts w:hint="eastAsia" w:ascii="华文仿宋" w:hAnsi="华文仿宋" w:cs="华文仿宋"/>
          <w:color w:val="auto"/>
          <w:lang w:eastAsia="zh-CN"/>
        </w:rPr>
        <w:t>招标</w:t>
      </w:r>
      <w:r>
        <w:rPr>
          <w:rFonts w:hint="eastAsia" w:ascii="华文仿宋" w:hAnsi="华文仿宋" w:cs="华文仿宋"/>
          <w:color w:val="auto"/>
        </w:rPr>
        <w:t>文件规定的其他情形。</w:t>
      </w:r>
    </w:p>
    <w:p w14:paraId="20C00C99">
      <w:pPr>
        <w:pStyle w:val="3"/>
        <w:spacing w:line="500" w:lineRule="exact"/>
        <w:ind w:firstLine="566" w:firstLineChars="200"/>
        <w:rPr>
          <w:rFonts w:ascii="华文仿宋" w:cs="Times New Roman"/>
          <w:color w:val="auto"/>
          <w:sz w:val="28"/>
          <w:szCs w:val="28"/>
        </w:rPr>
      </w:pPr>
      <w:bookmarkStart w:id="431" w:name="_Toc16256"/>
      <w:bookmarkEnd w:id="431"/>
      <w:bookmarkStart w:id="432" w:name="_Toc7003"/>
      <w:bookmarkEnd w:id="432"/>
      <w:bookmarkStart w:id="433" w:name="_Toc7890"/>
      <w:bookmarkEnd w:id="433"/>
      <w:bookmarkStart w:id="434" w:name="_Toc8271"/>
      <w:bookmarkEnd w:id="434"/>
      <w:bookmarkStart w:id="435" w:name="_Toc13427"/>
      <w:bookmarkEnd w:id="435"/>
      <w:r>
        <w:rPr>
          <w:rFonts w:hint="eastAsia" w:ascii="华文仿宋" w:hAnsi="华文仿宋" w:cs="华文仿宋"/>
          <w:color w:val="auto"/>
          <w:sz w:val="28"/>
          <w:szCs w:val="28"/>
        </w:rPr>
        <w:t>九、中标</w:t>
      </w:r>
    </w:p>
    <w:p w14:paraId="228083C9">
      <w:pPr>
        <w:spacing w:line="500" w:lineRule="exact"/>
        <w:ind w:firstLine="566" w:firstLineChars="200"/>
        <w:rPr>
          <w:rFonts w:ascii="华文仿宋" w:cs="Times New Roman"/>
          <w:color w:val="auto"/>
        </w:rPr>
      </w:pPr>
      <w:r>
        <w:rPr>
          <w:rFonts w:hint="eastAsia" w:ascii="华文仿宋" w:hAnsi="华文仿宋" w:cs="华文仿宋"/>
          <w:color w:val="auto"/>
        </w:rPr>
        <w:t>（一）</w:t>
      </w:r>
      <w:r>
        <w:rPr>
          <w:rFonts w:hint="eastAsia" w:ascii="华文仿宋" w:hAnsi="华文仿宋" w:cs="华文仿宋"/>
          <w:color w:val="auto"/>
          <w:lang w:eastAsia="zh-CN"/>
        </w:rPr>
        <w:t>中心</w:t>
      </w:r>
      <w:r>
        <w:rPr>
          <w:rFonts w:hint="eastAsia" w:ascii="华文仿宋" w:hAnsi="华文仿宋" w:cs="华文仿宋"/>
          <w:color w:val="auto"/>
        </w:rPr>
        <w:t>在评标工作结束后</w:t>
      </w:r>
      <w:r>
        <w:rPr>
          <w:rFonts w:ascii="仿宋" w:hAnsi="仿宋" w:eastAsia="仿宋" w:cs="仿宋"/>
          <w:color w:val="auto"/>
        </w:rPr>
        <w:t>2</w:t>
      </w:r>
      <w:r>
        <w:rPr>
          <w:rFonts w:hint="eastAsia" w:ascii="华文仿宋" w:hAnsi="华文仿宋" w:cs="华文仿宋"/>
          <w:color w:val="auto"/>
        </w:rPr>
        <w:t>个工作日内将评标报告送采购人。</w:t>
      </w:r>
    </w:p>
    <w:p w14:paraId="55F34AF0">
      <w:pPr>
        <w:spacing w:line="500" w:lineRule="exact"/>
        <w:ind w:firstLine="566" w:firstLineChars="200"/>
        <w:rPr>
          <w:rFonts w:ascii="仿宋" w:hAnsi="仿宋" w:eastAsia="仿宋" w:cs="仿宋"/>
          <w:color w:val="auto"/>
        </w:rPr>
      </w:pPr>
      <w:r>
        <w:rPr>
          <w:rFonts w:hint="eastAsia" w:ascii="华文仿宋" w:hAnsi="华文仿宋" w:cs="华文仿宋"/>
          <w:color w:val="auto"/>
        </w:rPr>
        <w:t>（二）</w:t>
      </w:r>
      <w:r>
        <w:rPr>
          <w:rFonts w:hint="eastAsia" w:ascii="仿宋" w:hAnsi="仿宋" w:eastAsia="仿宋" w:cs="仿宋"/>
          <w:color w:val="auto"/>
        </w:rPr>
        <w:t>本项目采用第</w:t>
      </w:r>
      <w:r>
        <w:rPr>
          <w:rFonts w:hint="eastAsia" w:ascii="仿宋" w:hAnsi="仿宋" w:eastAsia="仿宋" w:cs="仿宋"/>
          <w:b/>
          <w:bCs/>
          <w:color w:val="auto"/>
          <w:u w:val="single"/>
          <w:lang w:val="en-US" w:eastAsia="zh-CN"/>
        </w:rPr>
        <w:t>1</w:t>
      </w:r>
      <w:r>
        <w:rPr>
          <w:rFonts w:hint="eastAsia" w:ascii="仿宋" w:hAnsi="仿宋" w:eastAsia="仿宋" w:cs="仿宋"/>
          <w:b/>
          <w:bCs/>
          <w:color w:val="auto"/>
          <w:u w:val="single"/>
        </w:rPr>
        <w:t xml:space="preserve"> </w:t>
      </w:r>
      <w:r>
        <w:rPr>
          <w:rFonts w:hint="eastAsia" w:ascii="仿宋" w:hAnsi="仿宋" w:eastAsia="仿宋" w:cs="仿宋"/>
          <w:color w:val="auto"/>
        </w:rPr>
        <w:t>种方式确定中标人。</w:t>
      </w:r>
    </w:p>
    <w:p w14:paraId="787C1AEF">
      <w:pPr>
        <w:spacing w:line="500" w:lineRule="exact"/>
        <w:ind w:firstLine="566" w:firstLineChars="200"/>
        <w:rPr>
          <w:rFonts w:hint="eastAsia" w:ascii="仿宋" w:hAnsi="仿宋" w:eastAsia="仿宋" w:cs="仿宋"/>
          <w:color w:val="auto"/>
        </w:rPr>
      </w:pPr>
      <w:r>
        <w:rPr>
          <w:rFonts w:hint="eastAsia" w:ascii="仿宋" w:hAnsi="仿宋" w:eastAsia="仿宋" w:cs="仿宋"/>
          <w:color w:val="auto"/>
        </w:rPr>
        <w:t>1.采购人授权</w:t>
      </w:r>
      <w:r>
        <w:rPr>
          <w:rFonts w:hint="eastAsia" w:ascii="华文仿宋" w:hAnsi="华文仿宋" w:cs="华文仿宋"/>
          <w:color w:val="auto"/>
        </w:rPr>
        <w:t>评标委员会</w:t>
      </w:r>
      <w:r>
        <w:rPr>
          <w:rFonts w:hint="eastAsia" w:ascii="仿宋" w:hAnsi="仿宋" w:eastAsia="仿宋" w:cs="仿宋"/>
          <w:color w:val="auto"/>
        </w:rPr>
        <w:t>直接确定</w:t>
      </w:r>
      <w:r>
        <w:rPr>
          <w:rFonts w:hint="eastAsia" w:ascii="仿宋" w:hAnsi="仿宋" w:eastAsia="仿宋" w:cs="仿宋"/>
          <w:color w:val="auto"/>
          <w:lang w:val="en-US" w:eastAsia="zh-CN"/>
        </w:rPr>
        <w:t>中标人</w:t>
      </w:r>
      <w:r>
        <w:rPr>
          <w:rFonts w:hint="eastAsia" w:ascii="仿宋" w:hAnsi="仿宋" w:eastAsia="仿宋" w:cs="仿宋"/>
          <w:color w:val="auto"/>
        </w:rPr>
        <w:t>。</w:t>
      </w:r>
    </w:p>
    <w:p w14:paraId="7445CCCC">
      <w:pPr>
        <w:spacing w:line="500" w:lineRule="exact"/>
        <w:ind w:firstLine="566" w:firstLineChars="200"/>
        <w:rPr>
          <w:rFonts w:hint="eastAsia" w:ascii="仿宋" w:hAnsi="仿宋" w:eastAsia="仿宋" w:cs="仿宋"/>
          <w:color w:val="auto"/>
        </w:rPr>
      </w:pPr>
      <w:r>
        <w:rPr>
          <w:rFonts w:hint="eastAsia" w:ascii="仿宋" w:hAnsi="仿宋" w:eastAsia="仿宋" w:cs="仿宋"/>
          <w:color w:val="auto"/>
        </w:rPr>
        <w:t>采购人在评审前提供《委托评审小组定标授权书》，评标委员会将根据采购人授权直接确定</w:t>
      </w:r>
      <w:r>
        <w:rPr>
          <w:rFonts w:hint="eastAsia" w:ascii="仿宋" w:hAnsi="仿宋" w:eastAsia="仿宋" w:cs="仿宋"/>
          <w:color w:val="auto"/>
          <w:lang w:val="en-US" w:eastAsia="zh-CN"/>
        </w:rPr>
        <w:t>中标人</w:t>
      </w:r>
      <w:r>
        <w:rPr>
          <w:rFonts w:hint="eastAsia" w:ascii="仿宋" w:hAnsi="仿宋" w:eastAsia="仿宋" w:cs="仿宋"/>
          <w:color w:val="auto"/>
        </w:rPr>
        <w:t>。</w:t>
      </w:r>
    </w:p>
    <w:p w14:paraId="222B9426">
      <w:pPr>
        <w:spacing w:line="500" w:lineRule="exact"/>
        <w:ind w:firstLine="566" w:firstLineChars="200"/>
        <w:rPr>
          <w:rFonts w:hint="eastAsia" w:ascii="仿宋" w:hAnsi="仿宋" w:eastAsia="仿宋" w:cs="仿宋"/>
          <w:color w:val="auto"/>
        </w:rPr>
      </w:pPr>
      <w:r>
        <w:rPr>
          <w:rFonts w:hint="eastAsia" w:ascii="仿宋" w:hAnsi="仿宋" w:eastAsia="仿宋" w:cs="仿宋"/>
          <w:color w:val="auto"/>
        </w:rPr>
        <w:t>2.采购人根据</w:t>
      </w:r>
      <w:r>
        <w:rPr>
          <w:rFonts w:hint="eastAsia" w:ascii="华文仿宋" w:hAnsi="华文仿宋" w:cs="华文仿宋"/>
          <w:color w:val="auto"/>
        </w:rPr>
        <w:t>评标委员会</w:t>
      </w:r>
      <w:r>
        <w:rPr>
          <w:rFonts w:hint="eastAsia" w:ascii="仿宋" w:hAnsi="仿宋" w:eastAsia="仿宋" w:cs="仿宋"/>
          <w:color w:val="auto"/>
        </w:rPr>
        <w:t>评审结果确认。</w:t>
      </w:r>
    </w:p>
    <w:p w14:paraId="5B637992">
      <w:pPr>
        <w:spacing w:line="500" w:lineRule="exact"/>
        <w:ind w:firstLine="566" w:firstLineChars="200"/>
        <w:rPr>
          <w:rFonts w:ascii="仿宋" w:hAnsi="仿宋" w:eastAsia="仿宋" w:cs="仿宋"/>
          <w:color w:val="auto"/>
        </w:rPr>
      </w:pPr>
      <w:r>
        <w:rPr>
          <w:rFonts w:hint="eastAsia" w:ascii="仿宋" w:hAnsi="仿宋" w:eastAsia="仿宋" w:cs="仿宋"/>
          <w:color w:val="auto"/>
        </w:rPr>
        <w:t>采购人在收到评标报告之日起5个工作日内，在评标报告确定的中标候选人名单中按顺序确定中标人。采购人在收到评标报告5个工作日内未按评标报告推荐的中标候选人顺序确定中标人，又不能说明合法理由的，视同按评标报告推荐的顺序确定</w:t>
      </w:r>
      <w:r>
        <w:rPr>
          <w:rFonts w:hint="eastAsia" w:ascii="华文仿宋" w:hAnsi="华文仿宋" w:cs="华文仿宋"/>
          <w:color w:val="auto"/>
        </w:rPr>
        <w:t>排名第一的中标候选人为中标人。</w:t>
      </w:r>
    </w:p>
    <w:p w14:paraId="15F4D39F">
      <w:pPr>
        <w:spacing w:line="500" w:lineRule="exact"/>
        <w:ind w:firstLine="566" w:firstLineChars="200"/>
        <w:rPr>
          <w:rFonts w:ascii="仿宋" w:hAnsi="仿宋" w:eastAsia="仿宋" w:cs="仿宋"/>
          <w:color w:val="auto"/>
        </w:rPr>
      </w:pPr>
      <w:r>
        <w:rPr>
          <w:rFonts w:hint="eastAsia" w:ascii="仿宋" w:hAnsi="仿宋" w:eastAsia="仿宋" w:cs="仿宋"/>
          <w:color w:val="auto"/>
        </w:rPr>
        <w:t>注：按照《</w:t>
      </w:r>
      <w:r>
        <w:rPr>
          <w:rFonts w:hint="eastAsia" w:ascii="仿宋" w:hAnsi="仿宋" w:eastAsia="仿宋" w:cs="仿宋"/>
          <w:color w:val="auto"/>
          <w:lang w:eastAsia="zh-CN"/>
        </w:rPr>
        <w:t>中心</w:t>
      </w:r>
      <w:r>
        <w:rPr>
          <w:rFonts w:hint="eastAsia" w:ascii="仿宋" w:hAnsi="仿宋" w:eastAsia="仿宋" w:cs="仿宋"/>
          <w:color w:val="auto"/>
        </w:rPr>
        <w:t>采购项目委托代理协议书》中约定执行。</w:t>
      </w:r>
    </w:p>
    <w:p w14:paraId="6412FDCE">
      <w:pPr>
        <w:spacing w:line="500" w:lineRule="exact"/>
        <w:ind w:firstLine="566" w:firstLineChars="200"/>
        <w:rPr>
          <w:rFonts w:ascii="华文仿宋" w:cs="Times New Roman"/>
          <w:color w:val="auto"/>
        </w:rPr>
      </w:pPr>
      <w:r>
        <w:rPr>
          <w:rFonts w:hint="eastAsia" w:ascii="华文仿宋" w:hAnsi="华文仿宋" w:cs="华文仿宋"/>
          <w:color w:val="auto"/>
        </w:rPr>
        <w:t>（三）</w:t>
      </w:r>
      <w:r>
        <w:rPr>
          <w:rFonts w:hint="eastAsia" w:ascii="华文仿宋" w:hAnsi="华文仿宋" w:cs="华文仿宋"/>
          <w:color w:val="auto"/>
          <w:lang w:eastAsia="zh-CN"/>
        </w:rPr>
        <w:t>中心</w:t>
      </w:r>
      <w:r>
        <w:rPr>
          <w:rFonts w:hint="eastAsia" w:ascii="华文仿宋" w:hAnsi="华文仿宋" w:cs="华文仿宋"/>
          <w:color w:val="auto"/>
        </w:rPr>
        <w:t>将在中标人确定之日起</w:t>
      </w:r>
      <w:r>
        <w:rPr>
          <w:rFonts w:ascii="仿宋" w:hAnsi="仿宋" w:eastAsia="仿宋" w:cs="仿宋"/>
          <w:color w:val="auto"/>
        </w:rPr>
        <w:t>2</w:t>
      </w:r>
      <w:r>
        <w:rPr>
          <w:rFonts w:hint="eastAsia" w:ascii="华文仿宋" w:hAnsi="华文仿宋" w:cs="华文仿宋"/>
          <w:color w:val="auto"/>
        </w:rPr>
        <w:t>个工作日内，在【</w:t>
      </w:r>
      <w:r>
        <w:rPr>
          <w:color w:val="auto"/>
        </w:rPr>
        <w:fldChar w:fldCharType="begin"/>
      </w:r>
      <w:r>
        <w:rPr>
          <w:color w:val="auto"/>
        </w:rPr>
        <w:instrText xml:space="preserve"> HYPERLINK "http://www.ccgp-shaanxi.gov.cn" </w:instrText>
      </w:r>
      <w:r>
        <w:rPr>
          <w:color w:val="auto"/>
        </w:rPr>
        <w:fldChar w:fldCharType="separate"/>
      </w:r>
      <w:r>
        <w:rPr>
          <w:rStyle w:val="40"/>
          <w:rFonts w:hint="eastAsia" w:ascii="华文仿宋" w:hAnsi="华文仿宋" w:cs="华文仿宋"/>
          <w:color w:val="auto"/>
          <w:sz w:val="28"/>
          <w:szCs w:val="28"/>
        </w:rPr>
        <w:t>陕西省政府采购网</w:t>
      </w:r>
      <w:r>
        <w:rPr>
          <w:rStyle w:val="40"/>
          <w:rFonts w:hint="eastAsia" w:ascii="华文仿宋" w:hAnsi="华文仿宋" w:cs="华文仿宋"/>
          <w:color w:val="auto"/>
          <w:sz w:val="28"/>
          <w:szCs w:val="28"/>
        </w:rPr>
        <w:fldChar w:fldCharType="end"/>
      </w:r>
      <w:r>
        <w:rPr>
          <w:rFonts w:hint="eastAsia" w:ascii="华文仿宋" w:hAnsi="华文仿宋" w:cs="华文仿宋"/>
          <w:color w:val="auto"/>
        </w:rPr>
        <w:t>（</w:t>
      </w:r>
      <w:r>
        <w:rPr>
          <w:rFonts w:ascii="仿宋" w:hAnsi="仿宋" w:eastAsia="仿宋" w:cs="仿宋"/>
          <w:color w:val="auto"/>
        </w:rPr>
        <w:t>www.ccgp-shaanxi.gov.cn</w:t>
      </w:r>
      <w:r>
        <w:rPr>
          <w:rFonts w:hint="eastAsia" w:ascii="华文仿宋" w:hAnsi="华文仿宋" w:cs="华文仿宋"/>
          <w:color w:val="auto"/>
        </w:rPr>
        <w:t>）</w:t>
      </w:r>
      <w:r>
        <w:rPr>
          <w:rStyle w:val="40"/>
          <w:rFonts w:hint="eastAsia" w:ascii="华文仿宋" w:hAnsi="华文仿宋" w:cs="华文仿宋"/>
          <w:color w:val="auto"/>
          <w:sz w:val="28"/>
          <w:szCs w:val="28"/>
        </w:rPr>
        <w:t>】、</w:t>
      </w:r>
      <w:r>
        <w:rPr>
          <w:rFonts w:hint="eastAsia" w:ascii="华文仿宋" w:hAnsi="华文仿宋" w:cs="华文仿宋"/>
          <w:color w:val="auto"/>
        </w:rPr>
        <w:t>【全国公共资源交易平台（陕西省·延安市）  （http://ya.sxggzyjy.cn/</w:t>
      </w:r>
      <w:r>
        <w:rPr>
          <w:rFonts w:hint="eastAsia" w:ascii="华文仿宋" w:hAnsi="华文仿宋" w:cs="华文仿宋"/>
          <w:color w:val="auto"/>
          <w:lang w:val="en-US" w:eastAsia="zh-CN"/>
        </w:rPr>
        <w:t xml:space="preserve"> </w:t>
      </w:r>
      <w:r>
        <w:rPr>
          <w:rFonts w:hint="eastAsia" w:ascii="华文仿宋" w:hAnsi="华文仿宋" w:cs="华文仿宋"/>
          <w:color w:val="auto"/>
        </w:rPr>
        <w:t>）</w:t>
      </w:r>
      <w:r>
        <w:rPr>
          <w:rStyle w:val="40"/>
          <w:rFonts w:hint="eastAsia" w:ascii="华文仿宋" w:hAnsi="华文仿宋" w:cs="华文仿宋"/>
          <w:color w:val="auto"/>
          <w:sz w:val="28"/>
          <w:szCs w:val="28"/>
        </w:rPr>
        <w:t>】</w:t>
      </w:r>
      <w:r>
        <w:rPr>
          <w:rFonts w:hint="eastAsia" w:ascii="华文仿宋" w:hAnsi="华文仿宋" w:cs="华文仿宋"/>
          <w:color w:val="auto"/>
        </w:rPr>
        <w:t>上公告中标结果。</w:t>
      </w:r>
    </w:p>
    <w:p w14:paraId="1549C64B">
      <w:pPr>
        <w:spacing w:line="500" w:lineRule="exact"/>
        <w:ind w:firstLine="566" w:firstLineChars="200"/>
        <w:rPr>
          <w:rFonts w:ascii="华文仿宋" w:cs="Times New Roman"/>
          <w:color w:val="auto"/>
        </w:rPr>
      </w:pPr>
      <w:r>
        <w:rPr>
          <w:rFonts w:hint="eastAsia" w:ascii="华文仿宋" w:hAnsi="华文仿宋" w:cs="华文仿宋"/>
          <w:color w:val="auto"/>
        </w:rPr>
        <w:t>中标结果公告内容应当包括采购人及其委托的采购代理机构的名称、地址、联系方式，项目名称和项目编号，中标人名称、地址和中标金额，主要中标标的的名称、规格型号、数量、单价、服务要求，中标公告期限以及评审专家名单。</w:t>
      </w:r>
    </w:p>
    <w:p w14:paraId="6CEEBC48">
      <w:pPr>
        <w:spacing w:line="500" w:lineRule="exact"/>
        <w:ind w:firstLine="566" w:firstLineChars="200"/>
        <w:rPr>
          <w:rFonts w:ascii="华文仿宋" w:cs="Times New Roman"/>
          <w:color w:val="auto"/>
        </w:rPr>
      </w:pPr>
      <w:r>
        <w:rPr>
          <w:rFonts w:hint="eastAsia" w:ascii="华文仿宋" w:hAnsi="华文仿宋" w:cs="华文仿宋"/>
          <w:color w:val="auto"/>
        </w:rPr>
        <w:t>中标公告期限为</w:t>
      </w:r>
      <w:r>
        <w:rPr>
          <w:rFonts w:ascii="仿宋" w:hAnsi="仿宋" w:eastAsia="仿宋" w:cs="仿宋"/>
          <w:color w:val="auto"/>
        </w:rPr>
        <w:t>1</w:t>
      </w:r>
      <w:r>
        <w:rPr>
          <w:rFonts w:hint="eastAsia" w:ascii="华文仿宋" w:hAnsi="华文仿宋" w:cs="华文仿宋"/>
          <w:color w:val="auto"/>
        </w:rPr>
        <w:t>个工作日。</w:t>
      </w:r>
    </w:p>
    <w:p w14:paraId="5DE5A50C">
      <w:pPr>
        <w:wordWrap w:val="0"/>
        <w:spacing w:line="500" w:lineRule="exact"/>
        <w:ind w:firstLine="566" w:firstLineChars="200"/>
        <w:rPr>
          <w:rFonts w:ascii="华文仿宋" w:cs="Times New Roman"/>
          <w:color w:val="auto"/>
        </w:rPr>
      </w:pPr>
      <w:r>
        <w:rPr>
          <w:rFonts w:hint="eastAsia" w:ascii="华文仿宋" w:hAnsi="华文仿宋" w:cs="华文仿宋"/>
          <w:color w:val="auto"/>
        </w:rPr>
        <w:t>（四）在公告中标结果的同时，</w:t>
      </w:r>
      <w:r>
        <w:rPr>
          <w:rFonts w:hint="eastAsia" w:ascii="华文仿宋" w:hAnsi="华文仿宋" w:cs="华文仿宋"/>
          <w:color w:val="auto"/>
          <w:lang w:eastAsia="zh-CN"/>
        </w:rPr>
        <w:t>中心</w:t>
      </w:r>
      <w:r>
        <w:rPr>
          <w:rFonts w:hint="eastAsia" w:ascii="华文仿宋" w:hAnsi="华文仿宋" w:cs="华文仿宋"/>
          <w:color w:val="auto"/>
        </w:rPr>
        <w:t>向中标人发出中标通知书；采用综合评分法评审的，</w:t>
      </w:r>
      <w:r>
        <w:rPr>
          <w:rFonts w:hint="eastAsia" w:ascii="华文仿宋" w:hAnsi="华文仿宋" w:cs="华文仿宋"/>
          <w:color w:val="auto"/>
          <w:lang w:eastAsia="zh-CN"/>
        </w:rPr>
        <w:t>中心</w:t>
      </w:r>
      <w:r>
        <w:rPr>
          <w:rFonts w:hint="eastAsia" w:ascii="华文仿宋" w:hAnsi="华文仿宋" w:cs="华文仿宋"/>
          <w:color w:val="auto"/>
        </w:rPr>
        <w:t>将通过全国公共资源交易平台（陕西省·延安市）告知未中标人本人的评审最终得分与排序。</w:t>
      </w:r>
    </w:p>
    <w:p w14:paraId="0606A7A1">
      <w:pPr>
        <w:spacing w:line="500" w:lineRule="exact"/>
        <w:ind w:firstLine="566" w:firstLineChars="200"/>
        <w:rPr>
          <w:rFonts w:ascii="华文仿宋" w:cs="Times New Roman"/>
          <w:color w:val="auto"/>
        </w:rPr>
      </w:pPr>
      <w:r>
        <w:rPr>
          <w:rFonts w:hint="eastAsia" w:ascii="华文仿宋" w:hAnsi="华文仿宋" w:cs="华文仿宋"/>
          <w:color w:val="auto"/>
        </w:rPr>
        <w:t>（五）中标通知书发出后，采购人不得违法改变中标结果，中标人无正当理由不得放弃中标。</w:t>
      </w:r>
    </w:p>
    <w:p w14:paraId="2A3BCE88">
      <w:pPr>
        <w:pStyle w:val="3"/>
        <w:spacing w:line="500" w:lineRule="exact"/>
        <w:ind w:firstLine="566" w:firstLineChars="200"/>
        <w:rPr>
          <w:rFonts w:ascii="华文仿宋" w:cs="Times New Roman"/>
          <w:color w:val="auto"/>
          <w:sz w:val="28"/>
          <w:szCs w:val="28"/>
        </w:rPr>
      </w:pPr>
      <w:bookmarkStart w:id="436" w:name="_Toc16777"/>
      <w:bookmarkEnd w:id="436"/>
      <w:bookmarkStart w:id="437" w:name="_Toc19161"/>
      <w:bookmarkEnd w:id="437"/>
      <w:bookmarkStart w:id="438" w:name="_Toc27915"/>
      <w:bookmarkEnd w:id="438"/>
      <w:bookmarkStart w:id="439" w:name="_Toc13737"/>
      <w:bookmarkEnd w:id="439"/>
      <w:bookmarkStart w:id="440" w:name="_Toc10156"/>
      <w:bookmarkEnd w:id="440"/>
      <w:r>
        <w:rPr>
          <w:rFonts w:hint="eastAsia" w:ascii="华文仿宋" w:hAnsi="华文仿宋" w:cs="华文仿宋"/>
          <w:color w:val="auto"/>
          <w:sz w:val="28"/>
          <w:szCs w:val="28"/>
        </w:rPr>
        <w:t>十、签订政府采购合同</w:t>
      </w:r>
    </w:p>
    <w:p w14:paraId="770AFAB9">
      <w:pPr>
        <w:spacing w:line="500" w:lineRule="exact"/>
        <w:ind w:firstLine="566" w:firstLineChars="200"/>
        <w:rPr>
          <w:rFonts w:ascii="华文仿宋" w:cs="Times New Roman"/>
          <w:color w:val="auto"/>
          <w:kern w:val="0"/>
        </w:rPr>
      </w:pPr>
      <w:r>
        <w:rPr>
          <w:rFonts w:hint="eastAsia" w:ascii="华文仿宋" w:hAnsi="华文仿宋" w:cs="华文仿宋"/>
          <w:color w:val="auto"/>
        </w:rPr>
        <w:t>（一）自中标通知书发出之日起</w:t>
      </w:r>
      <w:r>
        <w:rPr>
          <w:rFonts w:hint="eastAsia"/>
          <w:lang w:val="en-US" w:eastAsia="zh-CN"/>
        </w:rPr>
        <w:t>一般不得</w:t>
      </w:r>
      <w:r>
        <w:rPr>
          <w:rFonts w:hint="eastAsia"/>
          <w:b w:val="0"/>
          <w:bCs w:val="0"/>
          <w:lang w:val="en-US" w:eastAsia="zh-CN"/>
        </w:rPr>
        <w:t>超出</w:t>
      </w:r>
      <w:r>
        <w:rPr>
          <w:rFonts w:hint="eastAsia" w:ascii="华文仿宋" w:hAnsi="Calibri" w:eastAsia="华文仿宋" w:cs="Times New Roman"/>
          <w:b w:val="0"/>
          <w:bCs w:val="0"/>
          <w:color w:val="auto"/>
          <w:kern w:val="2"/>
          <w:sz w:val="28"/>
          <w:szCs w:val="28"/>
          <w:lang w:val="en-US" w:eastAsia="zh-CN" w:bidi="ar-SA"/>
        </w:rPr>
        <w:t>15日</w:t>
      </w:r>
      <w:r>
        <w:rPr>
          <w:rFonts w:hint="eastAsia" w:ascii="华文仿宋" w:hAnsi="华文仿宋" w:cs="华文仿宋"/>
          <w:b w:val="0"/>
          <w:bCs w:val="0"/>
          <w:color w:val="auto"/>
        </w:rPr>
        <w:t>，</w:t>
      </w:r>
      <w:r>
        <w:rPr>
          <w:rFonts w:hint="eastAsia" w:ascii="华文仿宋" w:hAnsi="华文仿宋" w:cs="华文仿宋"/>
          <w:b w:val="0"/>
          <w:bCs w:val="0"/>
          <w:color w:val="auto"/>
          <w:kern w:val="0"/>
        </w:rPr>
        <w:t>采</w:t>
      </w:r>
      <w:r>
        <w:rPr>
          <w:rFonts w:hint="eastAsia" w:ascii="华文仿宋" w:hAnsi="华文仿宋" w:cs="华文仿宋"/>
          <w:color w:val="auto"/>
          <w:kern w:val="0"/>
        </w:rPr>
        <w:t>购人与中标人应按招标文件和中标人投标文件的规定，签订书面合同。所签订的政府采购合同不得对招标文件和中标人的投标文件内容作实质性修改。</w:t>
      </w:r>
    </w:p>
    <w:p w14:paraId="2180B79F">
      <w:pPr>
        <w:spacing w:line="500" w:lineRule="exact"/>
        <w:ind w:firstLine="566" w:firstLineChars="200"/>
        <w:rPr>
          <w:rFonts w:ascii="华文仿宋" w:cs="Times New Roman"/>
          <w:color w:val="auto"/>
          <w:kern w:val="0"/>
        </w:rPr>
      </w:pPr>
      <w:r>
        <w:rPr>
          <w:rFonts w:hint="eastAsia" w:ascii="华文仿宋" w:hAnsi="华文仿宋" w:cs="华文仿宋"/>
          <w:color w:val="auto"/>
          <w:kern w:val="0"/>
        </w:rPr>
        <w:t>采购人不得向中标人提出任何不合理的要求作为签订合同的条件。</w:t>
      </w:r>
    </w:p>
    <w:p w14:paraId="06D1CDA1">
      <w:pPr>
        <w:spacing w:line="500" w:lineRule="exact"/>
        <w:ind w:firstLine="566" w:firstLineChars="200"/>
        <w:rPr>
          <w:rFonts w:ascii="华文仿宋" w:cs="Times New Roman"/>
          <w:color w:val="auto"/>
        </w:rPr>
      </w:pPr>
      <w:r>
        <w:rPr>
          <w:rFonts w:hint="eastAsia" w:ascii="华文仿宋" w:hAnsi="华文仿宋" w:cs="华文仿宋"/>
          <w:color w:val="auto"/>
        </w:rPr>
        <w:t>（二）</w:t>
      </w:r>
      <w:r>
        <w:rPr>
          <w:rFonts w:hint="eastAsia" w:ascii="华文仿宋" w:hAnsi="华文仿宋" w:cs="华文仿宋"/>
          <w:color w:val="auto"/>
          <w:kern w:val="0"/>
        </w:rPr>
        <w:t>中标人拒绝与采购人签订合同的，采购人可以按照评标报告推荐的中标候选人名单排序，确定下一候选人为中标人，也可以重新开展政府采购活动。</w:t>
      </w:r>
    </w:p>
    <w:p w14:paraId="3BA7A73C">
      <w:pPr>
        <w:spacing w:line="500" w:lineRule="exact"/>
        <w:ind w:firstLine="566" w:firstLineChars="200"/>
        <w:rPr>
          <w:rFonts w:ascii="华文仿宋" w:cs="Times New Roman"/>
          <w:color w:val="auto"/>
          <w:kern w:val="0"/>
        </w:rPr>
      </w:pPr>
      <w:r>
        <w:rPr>
          <w:rFonts w:hint="eastAsia" w:ascii="华文仿宋" w:hAnsi="华文仿宋" w:cs="华文仿宋"/>
          <w:color w:val="auto"/>
        </w:rPr>
        <w:t>（三）招标文件、中标人的投标文件、《中标通知书》及其澄清、说明文件、承诺等，均为签订采购合同的依据，作为采购合同的组成部分。</w:t>
      </w:r>
    </w:p>
    <w:p w14:paraId="41AD386F">
      <w:pPr>
        <w:spacing w:line="500" w:lineRule="exact"/>
        <w:ind w:firstLine="566" w:firstLineChars="200"/>
        <w:rPr>
          <w:rFonts w:ascii="华文仿宋" w:cs="Times New Roman"/>
          <w:color w:val="auto"/>
          <w:kern w:val="0"/>
        </w:rPr>
      </w:pPr>
      <w:r>
        <w:rPr>
          <w:rFonts w:hint="eastAsia" w:ascii="华文仿宋" w:hAnsi="华文仿宋" w:cs="华文仿宋"/>
          <w:color w:val="auto"/>
          <w:kern w:val="0"/>
        </w:rPr>
        <w:t>（四）政府采购合同应当包括采购人与中标人的名称和住所、标的、数量、质量、价款或者报酬、履行期限及地点和方式、验收要求、违约责任、解决争议的方法等内容。</w:t>
      </w:r>
    </w:p>
    <w:p w14:paraId="16589393">
      <w:pPr>
        <w:spacing w:line="500" w:lineRule="exact"/>
        <w:ind w:firstLine="566" w:firstLineChars="200"/>
        <w:rPr>
          <w:rFonts w:ascii="华文仿宋" w:cs="Times New Roman"/>
          <w:color w:val="auto"/>
          <w:kern w:val="0"/>
        </w:rPr>
      </w:pPr>
      <w:r>
        <w:rPr>
          <w:rFonts w:hint="eastAsia" w:ascii="华文仿宋" w:hAnsi="华文仿宋" w:cs="华文仿宋"/>
          <w:color w:val="auto"/>
          <w:kern w:val="0"/>
        </w:rPr>
        <w:t>（五）采购人与中标人应当根据合同的约定依法履行合同义务。政府采购合同的履行、违约责任和解决争议的方法等适用</w:t>
      </w:r>
      <w:r>
        <w:rPr>
          <w:rFonts w:hint="eastAsia" w:ascii="华文仿宋" w:hAnsi="华文仿宋" w:cs="华文仿宋"/>
          <w:color w:val="auto"/>
        </w:rPr>
        <w:t>《中华人民共和国民法典》</w:t>
      </w:r>
      <w:r>
        <w:rPr>
          <w:rFonts w:hint="eastAsia" w:ascii="华文仿宋" w:hAnsi="华文仿宋" w:cs="华文仿宋"/>
          <w:color w:val="auto"/>
          <w:kern w:val="0"/>
        </w:rPr>
        <w:t>。</w:t>
      </w:r>
    </w:p>
    <w:p w14:paraId="4F60229F">
      <w:pPr>
        <w:spacing w:line="500" w:lineRule="exact"/>
        <w:ind w:firstLine="566" w:firstLineChars="200"/>
        <w:rPr>
          <w:rFonts w:ascii="华文仿宋" w:cs="Times New Roman"/>
          <w:color w:val="auto"/>
          <w:kern w:val="0"/>
        </w:rPr>
      </w:pPr>
      <w:r>
        <w:rPr>
          <w:rFonts w:hint="eastAsia" w:ascii="华文仿宋" w:hAnsi="华文仿宋" w:cs="华文仿宋"/>
          <w:color w:val="auto"/>
          <w:kern w:val="0"/>
        </w:rPr>
        <w:t>（六）采购人应当及时对采购项目进行验收，完成采购项目履约验收期限一般不得超过15日。采购人可以邀请参加本项目的其他投标供应商或者第三方机构参与验收。参与验收的供应商或者第三方机构的意见作为验收书的参考资料一并存档。</w:t>
      </w:r>
    </w:p>
    <w:p w14:paraId="00FA7E9F">
      <w:pPr>
        <w:spacing w:line="500" w:lineRule="exact"/>
        <w:ind w:firstLine="566" w:firstLineChars="200"/>
        <w:rPr>
          <w:rFonts w:ascii="华文仿宋" w:cs="Times New Roman"/>
          <w:color w:val="auto"/>
          <w:kern w:val="0"/>
        </w:rPr>
      </w:pPr>
      <w:r>
        <w:rPr>
          <w:rFonts w:hint="eastAsia" w:ascii="华文仿宋" w:hAnsi="华文仿宋" w:cs="华文仿宋"/>
          <w:color w:val="auto"/>
          <w:kern w:val="0"/>
        </w:rPr>
        <w:t>（七）采购人应当加强对中标人的履约管理，并按照采购合同约定，及时向中标人支付采购资金。对于中标人违反采购合同约定的行为，采购人应当及时处理，依法追究其违约责任。</w:t>
      </w:r>
    </w:p>
    <w:p w14:paraId="7CEBD7DC">
      <w:pPr>
        <w:pStyle w:val="3"/>
        <w:spacing w:line="480" w:lineRule="exact"/>
        <w:ind w:firstLine="566" w:firstLineChars="200"/>
        <w:rPr>
          <w:rFonts w:ascii="华文仿宋" w:cs="Times New Roman"/>
          <w:color w:val="auto"/>
          <w:sz w:val="28"/>
          <w:szCs w:val="28"/>
        </w:rPr>
      </w:pPr>
      <w:bookmarkStart w:id="441" w:name="_Toc12605"/>
      <w:bookmarkEnd w:id="441"/>
      <w:bookmarkStart w:id="442" w:name="_Toc19798"/>
      <w:bookmarkEnd w:id="442"/>
      <w:bookmarkStart w:id="443" w:name="_Toc9680"/>
      <w:bookmarkEnd w:id="443"/>
      <w:bookmarkStart w:id="444" w:name="_Toc15302"/>
      <w:bookmarkEnd w:id="444"/>
      <w:bookmarkStart w:id="445" w:name="_Toc23973"/>
      <w:bookmarkEnd w:id="445"/>
      <w:r>
        <w:rPr>
          <w:rFonts w:hint="eastAsia" w:ascii="华文仿宋" w:hAnsi="华文仿宋" w:cs="华文仿宋"/>
          <w:color w:val="auto"/>
          <w:sz w:val="28"/>
          <w:szCs w:val="28"/>
        </w:rPr>
        <w:t>十一、其他</w:t>
      </w:r>
    </w:p>
    <w:p w14:paraId="0846706C">
      <w:pPr>
        <w:spacing w:line="480" w:lineRule="exact"/>
        <w:ind w:firstLine="566" w:firstLineChars="200"/>
        <w:rPr>
          <w:rFonts w:ascii="华文仿宋" w:cs="Times New Roman"/>
          <w:color w:val="auto"/>
        </w:rPr>
      </w:pPr>
      <w:r>
        <w:rPr>
          <w:rFonts w:hint="eastAsia" w:ascii="华文仿宋" w:hAnsi="华文仿宋" w:cs="华文仿宋"/>
          <w:color w:val="auto"/>
        </w:rPr>
        <w:t>（一）评标委员会发现招标文件存在歧义、重大缺陷导致评标工作无法进行，或者招标文件内容违反国家有关强制性规定的，应当停止评标工作，与采购人或者</w:t>
      </w:r>
      <w:r>
        <w:rPr>
          <w:rFonts w:hint="eastAsia" w:ascii="华文仿宋" w:hAnsi="华文仿宋" w:cs="华文仿宋"/>
          <w:color w:val="auto"/>
          <w:lang w:eastAsia="zh-CN"/>
        </w:rPr>
        <w:t>中心</w:t>
      </w:r>
      <w:r>
        <w:rPr>
          <w:rFonts w:hint="eastAsia" w:ascii="华文仿宋" w:hAnsi="华文仿宋" w:cs="华文仿宋"/>
          <w:color w:val="auto"/>
        </w:rPr>
        <w:t>沟通并作书面记录。采购人或者</w:t>
      </w:r>
      <w:r>
        <w:rPr>
          <w:rFonts w:hint="eastAsia" w:ascii="华文仿宋" w:hAnsi="华文仿宋" w:cs="华文仿宋"/>
          <w:color w:val="auto"/>
          <w:lang w:eastAsia="zh-CN"/>
        </w:rPr>
        <w:t>中心</w:t>
      </w:r>
      <w:r>
        <w:rPr>
          <w:rFonts w:hint="eastAsia" w:ascii="华文仿宋" w:hAnsi="华文仿宋" w:cs="华文仿宋"/>
          <w:color w:val="auto"/>
        </w:rPr>
        <w:t>确认后，应当修改招标文件，重新组织采购活动。</w:t>
      </w:r>
    </w:p>
    <w:p w14:paraId="3D0841C3">
      <w:pPr>
        <w:spacing w:line="480" w:lineRule="exact"/>
        <w:ind w:firstLine="566" w:firstLineChars="200"/>
        <w:rPr>
          <w:rFonts w:ascii="华文仿宋" w:cs="Times New Roman"/>
          <w:color w:val="auto"/>
        </w:rPr>
      </w:pPr>
      <w:r>
        <w:rPr>
          <w:rFonts w:hint="eastAsia" w:ascii="华文仿宋" w:hAnsi="华文仿宋" w:cs="华文仿宋"/>
          <w:color w:val="auto"/>
        </w:rPr>
        <w:t>（二）根据《政府采购法》第三十六条规定，在招标采购中，出现下列情形之一的，本项目按废标处理：</w:t>
      </w:r>
    </w:p>
    <w:p w14:paraId="0A160287">
      <w:pPr>
        <w:spacing w:line="480" w:lineRule="exact"/>
        <w:ind w:firstLine="566" w:firstLineChars="200"/>
        <w:rPr>
          <w:rFonts w:ascii="华文仿宋" w:cs="Times New Roman"/>
          <w:color w:val="auto"/>
        </w:rPr>
      </w:pPr>
      <w:r>
        <w:rPr>
          <w:rFonts w:ascii="华文仿宋" w:hAnsi="华文仿宋" w:cs="华文仿宋"/>
          <w:color w:val="auto"/>
        </w:rPr>
        <w:t>1</w:t>
      </w:r>
      <w:r>
        <w:rPr>
          <w:rFonts w:hint="eastAsia" w:ascii="华文仿宋" w:hAnsi="华文仿宋" w:cs="华文仿宋"/>
          <w:color w:val="auto"/>
          <w:lang w:val="en-US" w:eastAsia="zh-CN"/>
        </w:rPr>
        <w:t>.</w:t>
      </w:r>
      <w:r>
        <w:rPr>
          <w:rFonts w:hint="eastAsia" w:ascii="华文仿宋" w:hAnsi="华文仿宋" w:cs="华文仿宋"/>
          <w:color w:val="auto"/>
        </w:rPr>
        <w:t>出现影响采购公正的违法、违规行为的；</w:t>
      </w:r>
    </w:p>
    <w:p w14:paraId="342E29F3">
      <w:pPr>
        <w:spacing w:line="480" w:lineRule="exact"/>
        <w:ind w:firstLine="566" w:firstLineChars="200"/>
        <w:rPr>
          <w:rFonts w:ascii="华文仿宋" w:cs="Times New Roman"/>
          <w:color w:val="auto"/>
        </w:rPr>
      </w:pPr>
      <w:r>
        <w:rPr>
          <w:rFonts w:ascii="华文仿宋" w:hAnsi="华文仿宋" w:cs="华文仿宋"/>
          <w:color w:val="auto"/>
        </w:rPr>
        <w:t>2</w:t>
      </w:r>
      <w:r>
        <w:rPr>
          <w:rFonts w:hint="eastAsia" w:ascii="华文仿宋" w:hAnsi="华文仿宋" w:cs="华文仿宋"/>
          <w:color w:val="auto"/>
          <w:lang w:val="en-US" w:eastAsia="zh-CN"/>
        </w:rPr>
        <w:t>.</w:t>
      </w:r>
      <w:r>
        <w:rPr>
          <w:rFonts w:hint="eastAsia" w:ascii="华文仿宋" w:hAnsi="华文仿宋" w:cs="华文仿宋"/>
          <w:color w:val="auto"/>
        </w:rPr>
        <w:t>投标人的报价均超过了采购预算，采购人不能支付的；</w:t>
      </w:r>
    </w:p>
    <w:p w14:paraId="29781DAB">
      <w:pPr>
        <w:spacing w:line="480" w:lineRule="exact"/>
        <w:ind w:firstLine="566" w:firstLineChars="200"/>
        <w:rPr>
          <w:rFonts w:ascii="华文仿宋" w:cs="Times New Roman"/>
          <w:color w:val="auto"/>
        </w:rPr>
      </w:pPr>
      <w:r>
        <w:rPr>
          <w:rFonts w:ascii="华文仿宋" w:hAnsi="华文仿宋" w:cs="华文仿宋"/>
          <w:color w:val="auto"/>
        </w:rPr>
        <w:t>3</w:t>
      </w:r>
      <w:r>
        <w:rPr>
          <w:rFonts w:hint="eastAsia" w:ascii="华文仿宋" w:hAnsi="华文仿宋" w:cs="华文仿宋"/>
          <w:color w:val="auto"/>
          <w:lang w:val="en-US" w:eastAsia="zh-CN"/>
        </w:rPr>
        <w:t>.</w:t>
      </w:r>
      <w:r>
        <w:rPr>
          <w:rFonts w:hint="eastAsia" w:ascii="华文仿宋" w:hAnsi="华文仿宋" w:cs="华文仿宋"/>
          <w:color w:val="auto"/>
        </w:rPr>
        <w:t>因重大变故，采购任务取消的。</w:t>
      </w:r>
    </w:p>
    <w:p w14:paraId="2818B438">
      <w:pPr>
        <w:spacing w:line="480" w:lineRule="exact"/>
        <w:ind w:firstLine="566" w:firstLineChars="200"/>
        <w:rPr>
          <w:rFonts w:ascii="华文仿宋" w:cs="Times New Roman"/>
          <w:color w:val="auto"/>
        </w:rPr>
      </w:pPr>
      <w:r>
        <w:rPr>
          <w:rFonts w:hint="eastAsia" w:ascii="华文仿宋" w:hAnsi="华文仿宋" w:cs="华文仿宋"/>
          <w:color w:val="auto"/>
        </w:rPr>
        <w:t>废标后，由</w:t>
      </w:r>
      <w:r>
        <w:rPr>
          <w:rFonts w:hint="eastAsia" w:ascii="华文仿宋" w:hAnsi="华文仿宋" w:cs="华文仿宋"/>
          <w:color w:val="auto"/>
          <w:lang w:eastAsia="zh-CN"/>
        </w:rPr>
        <w:t>中心</w:t>
      </w:r>
      <w:r>
        <w:rPr>
          <w:rFonts w:hint="eastAsia" w:ascii="华文仿宋" w:hAnsi="华文仿宋" w:cs="华文仿宋"/>
          <w:color w:val="auto"/>
        </w:rPr>
        <w:t>发布废标公告。除采购任务取消外，本项目将重新组织招标。</w:t>
      </w:r>
    </w:p>
    <w:p w14:paraId="0DB58610">
      <w:pPr>
        <w:spacing w:line="480" w:lineRule="exact"/>
        <w:ind w:firstLine="566" w:firstLineChars="200"/>
        <w:rPr>
          <w:rFonts w:ascii="华文仿宋" w:cs="Times New Roman"/>
          <w:color w:val="auto"/>
        </w:rPr>
      </w:pPr>
      <w:r>
        <w:rPr>
          <w:rFonts w:hint="eastAsia" w:ascii="华文仿宋" w:hAnsi="华文仿宋" w:cs="华文仿宋"/>
          <w:color w:val="auto"/>
        </w:rPr>
        <w:t>（三）在递交投标文件阶段、资格审查阶段、符合性审查阶段以及评标委员会评标阶段，当出现有效投标人不足</w:t>
      </w:r>
      <w:r>
        <w:rPr>
          <w:rFonts w:ascii="仿宋" w:hAnsi="仿宋" w:eastAsia="仿宋" w:cs="仿宋"/>
          <w:color w:val="auto"/>
        </w:rPr>
        <w:t>3</w:t>
      </w:r>
      <w:r>
        <w:rPr>
          <w:rFonts w:hint="eastAsia" w:ascii="华文仿宋" w:hAnsi="华文仿宋" w:cs="华文仿宋"/>
          <w:color w:val="auto"/>
        </w:rPr>
        <w:t>家时，除采购任务取消外，按照以下方式处理：</w:t>
      </w:r>
    </w:p>
    <w:p w14:paraId="279B54F5">
      <w:pPr>
        <w:spacing w:line="480" w:lineRule="exact"/>
        <w:ind w:firstLine="566" w:firstLineChars="200"/>
        <w:rPr>
          <w:rFonts w:ascii="华文仿宋" w:cs="Times New Roman"/>
          <w:color w:val="auto"/>
        </w:rPr>
      </w:pPr>
      <w:r>
        <w:rPr>
          <w:rFonts w:ascii="华文仿宋" w:hAnsi="华文仿宋" w:cs="华文仿宋"/>
          <w:color w:val="auto"/>
        </w:rPr>
        <w:t>1</w:t>
      </w:r>
      <w:r>
        <w:rPr>
          <w:rFonts w:hint="eastAsia" w:ascii="华文仿宋" w:hAnsi="华文仿宋" w:cs="华文仿宋"/>
          <w:color w:val="auto"/>
          <w:lang w:val="en-US" w:eastAsia="zh-CN"/>
        </w:rPr>
        <w:t>.</w:t>
      </w:r>
      <w:r>
        <w:rPr>
          <w:rFonts w:hint="eastAsia" w:ascii="华文仿宋" w:hAnsi="华文仿宋" w:cs="华文仿宋"/>
          <w:color w:val="auto"/>
        </w:rPr>
        <w:t>招标文件存在不合理条款或者招标程序不符合规定的，采购人、采购代理机构改正后依法重新招标；</w:t>
      </w:r>
    </w:p>
    <w:p w14:paraId="54BFA659">
      <w:pPr>
        <w:spacing w:line="480" w:lineRule="exact"/>
        <w:ind w:firstLine="566" w:firstLineChars="200"/>
        <w:rPr>
          <w:rFonts w:ascii="华文仿宋" w:cs="Times New Roman"/>
          <w:color w:val="auto"/>
        </w:rPr>
      </w:pPr>
      <w:r>
        <w:rPr>
          <w:rFonts w:ascii="华文仿宋" w:hAnsi="华文仿宋" w:cs="华文仿宋"/>
          <w:color w:val="auto"/>
        </w:rPr>
        <w:t>2</w:t>
      </w:r>
      <w:r>
        <w:rPr>
          <w:rFonts w:hint="eastAsia" w:ascii="华文仿宋" w:hAnsi="华文仿宋" w:cs="华文仿宋"/>
          <w:color w:val="auto"/>
          <w:lang w:val="en-US" w:eastAsia="zh-CN"/>
        </w:rPr>
        <w:t>.</w:t>
      </w:r>
      <w:r>
        <w:rPr>
          <w:rFonts w:hint="eastAsia" w:ascii="华文仿宋" w:hAnsi="华文仿宋" w:cs="华文仿宋"/>
          <w:color w:val="auto"/>
        </w:rPr>
        <w:t>招标文件没有不合理条款、招标程序符合规定，需要采用其他采购方式采购的，采购人应当依法报财政部门批准。</w:t>
      </w:r>
    </w:p>
    <w:p w14:paraId="49B1DBEC">
      <w:pPr>
        <w:spacing w:line="480" w:lineRule="exact"/>
        <w:ind w:firstLine="566" w:firstLineChars="200"/>
        <w:rPr>
          <w:rFonts w:ascii="华文仿宋" w:cs="Times New Roman"/>
          <w:color w:val="auto"/>
        </w:rPr>
      </w:pPr>
      <w:r>
        <w:rPr>
          <w:rFonts w:hint="eastAsia" w:ascii="华文仿宋" w:hAnsi="华文仿宋" w:cs="华文仿宋"/>
          <w:color w:val="auto"/>
        </w:rPr>
        <w:t>（四）采购代理机构应当采取必要措施，保证评标在严格保密的情况下进行。除采购人代表、评标现场组织人员外，采购人的其他工作人员以及与评标工作无关的人员不得进入评标现场。</w:t>
      </w:r>
    </w:p>
    <w:p w14:paraId="14FAFD8F">
      <w:pPr>
        <w:spacing w:line="480" w:lineRule="exact"/>
        <w:ind w:firstLine="566" w:firstLineChars="200"/>
        <w:rPr>
          <w:rFonts w:ascii="华文仿宋" w:cs="Times New Roman"/>
          <w:color w:val="auto"/>
        </w:rPr>
      </w:pPr>
      <w:r>
        <w:rPr>
          <w:rFonts w:hint="eastAsia" w:ascii="华文仿宋" w:hAnsi="华文仿宋" w:cs="华文仿宋"/>
          <w:color w:val="auto"/>
        </w:rPr>
        <w:t>有关人员对评标情况以及在评标过程中获悉的国家秘密、商业秘密负有保密责任。</w:t>
      </w:r>
    </w:p>
    <w:p w14:paraId="5E280E63">
      <w:pPr>
        <w:numPr>
          <w:ilvl w:val="0"/>
          <w:numId w:val="4"/>
        </w:numPr>
        <w:spacing w:line="480" w:lineRule="exact"/>
        <w:ind w:firstLine="566" w:firstLineChars="200"/>
        <w:rPr>
          <w:color w:val="auto"/>
        </w:rPr>
      </w:pPr>
      <w:r>
        <w:rPr>
          <w:rFonts w:hint="eastAsia" w:ascii="华文仿宋" w:hAnsi="华文仿宋" w:cs="华文仿宋"/>
          <w:color w:val="auto"/>
        </w:rPr>
        <w:t>招标文件未明确的其他事项，按《政府采购法》及其相关法律法规执行。</w:t>
      </w:r>
    </w:p>
    <w:p w14:paraId="648EF525">
      <w:pPr>
        <w:spacing w:line="500" w:lineRule="exact"/>
        <w:ind w:firstLine="566" w:firstLineChars="200"/>
        <w:rPr>
          <w:rFonts w:cs="Times New Roman"/>
          <w:color w:val="auto"/>
        </w:rPr>
      </w:pPr>
      <w:r>
        <w:rPr>
          <w:rFonts w:hint="eastAsia" w:ascii="华文仿宋" w:hAnsi="华文仿宋" w:cs="华文仿宋"/>
          <w:color w:val="auto"/>
          <w:kern w:val="0"/>
        </w:rPr>
        <w:t>（六）</w:t>
      </w:r>
      <w:r>
        <w:rPr>
          <w:rFonts w:hint="eastAsia" w:ascii="华文仿宋" w:hAnsi="华文仿宋" w:cs="华文仿宋"/>
          <w:color w:val="auto"/>
          <w:kern w:val="0"/>
          <w:lang w:eastAsia="zh-CN"/>
        </w:rPr>
        <w:t>中心</w:t>
      </w:r>
      <w:r>
        <w:rPr>
          <w:rFonts w:hint="eastAsia" w:ascii="华文仿宋" w:hAnsi="华文仿宋" w:cs="华文仿宋"/>
          <w:color w:val="auto"/>
          <w:kern w:val="0"/>
        </w:rPr>
        <w:t>应当建立真实完整的招标采购档案，妥善保存每项采购活动的采购文件。</w:t>
      </w:r>
    </w:p>
    <w:p w14:paraId="189BB7F3">
      <w:pPr>
        <w:spacing w:line="240" w:lineRule="auto"/>
        <w:jc w:val="center"/>
        <w:outlineLvl w:val="0"/>
        <w:rPr>
          <w:rFonts w:cs="Times New Roman"/>
          <w:color w:val="auto"/>
        </w:rPr>
      </w:pPr>
      <w:bookmarkStart w:id="446" w:name="_Toc28153"/>
      <w:bookmarkEnd w:id="446"/>
      <w:bookmarkStart w:id="447" w:name="_Toc22298"/>
      <w:bookmarkEnd w:id="447"/>
      <w:bookmarkStart w:id="448" w:name="_Toc16783"/>
      <w:bookmarkEnd w:id="448"/>
      <w:bookmarkStart w:id="449" w:name="_Toc21404"/>
      <w:bookmarkEnd w:id="449"/>
      <w:bookmarkStart w:id="450" w:name="_Toc29944"/>
      <w:bookmarkEnd w:id="450"/>
      <w:bookmarkStart w:id="451" w:name="_Toc24145"/>
      <w:bookmarkEnd w:id="451"/>
      <w:bookmarkStart w:id="452" w:name="_Toc6509"/>
      <w:bookmarkEnd w:id="452"/>
      <w:bookmarkStart w:id="453" w:name="_Toc14795"/>
      <w:bookmarkEnd w:id="453"/>
      <w:bookmarkStart w:id="454" w:name="_Toc8583"/>
      <w:bookmarkEnd w:id="454"/>
      <w:bookmarkStart w:id="455" w:name="_Toc21726"/>
      <w:bookmarkEnd w:id="455"/>
      <w:r>
        <w:rPr>
          <w:rFonts w:hint="eastAsia" w:ascii="黑体" w:hAnsi="黑体" w:eastAsia="黑体" w:cs="黑体"/>
          <w:color w:val="auto"/>
          <w:sz w:val="32"/>
          <w:szCs w:val="32"/>
        </w:rPr>
        <w:br w:type="page"/>
      </w:r>
      <w:r>
        <w:rPr>
          <w:rFonts w:hint="eastAsia" w:ascii="黑体" w:hAnsi="黑体" w:eastAsia="黑体" w:cs="黑体"/>
          <w:color w:val="auto"/>
          <w:sz w:val="32"/>
          <w:szCs w:val="32"/>
        </w:rPr>
        <w:t>第三章  评审办法及标准</w:t>
      </w:r>
    </w:p>
    <w:p w14:paraId="03332A62">
      <w:pPr>
        <w:pStyle w:val="3"/>
        <w:spacing w:line="500" w:lineRule="exact"/>
        <w:ind w:firstLine="566" w:firstLineChars="200"/>
        <w:rPr>
          <w:rFonts w:ascii="华文仿宋" w:cs="Times New Roman"/>
          <w:color w:val="auto"/>
          <w:sz w:val="28"/>
          <w:szCs w:val="28"/>
        </w:rPr>
      </w:pPr>
      <w:bookmarkStart w:id="456" w:name="_Toc15268"/>
      <w:bookmarkEnd w:id="456"/>
      <w:bookmarkStart w:id="457" w:name="_Toc11125"/>
      <w:bookmarkEnd w:id="457"/>
      <w:bookmarkStart w:id="458" w:name="_Toc31867"/>
      <w:bookmarkEnd w:id="458"/>
      <w:bookmarkStart w:id="459" w:name="_Toc16719"/>
      <w:bookmarkEnd w:id="459"/>
      <w:bookmarkStart w:id="460" w:name="_Toc10081"/>
      <w:bookmarkEnd w:id="460"/>
      <w:bookmarkStart w:id="461" w:name="_Toc12713"/>
      <w:bookmarkEnd w:id="461"/>
      <w:bookmarkStart w:id="462" w:name="_Toc17130"/>
      <w:bookmarkEnd w:id="462"/>
      <w:bookmarkStart w:id="463" w:name="_Toc18001"/>
      <w:bookmarkEnd w:id="463"/>
      <w:bookmarkStart w:id="464" w:name="_Toc9762"/>
      <w:bookmarkEnd w:id="464"/>
      <w:bookmarkStart w:id="465" w:name="_Toc25074"/>
      <w:bookmarkEnd w:id="465"/>
      <w:bookmarkStart w:id="466" w:name="_Toc30932"/>
      <w:bookmarkEnd w:id="466"/>
      <w:bookmarkStart w:id="467" w:name="_Toc28980"/>
      <w:bookmarkEnd w:id="467"/>
      <w:bookmarkStart w:id="468" w:name="_Toc10885"/>
      <w:bookmarkEnd w:id="468"/>
      <w:bookmarkStart w:id="469" w:name="_Toc31308"/>
      <w:bookmarkEnd w:id="469"/>
      <w:bookmarkStart w:id="470" w:name="_Toc729"/>
      <w:bookmarkEnd w:id="470"/>
      <w:r>
        <w:rPr>
          <w:rFonts w:hint="eastAsia" w:ascii="华文仿宋" w:hAnsi="华文仿宋" w:cs="华文仿宋"/>
          <w:color w:val="auto"/>
          <w:sz w:val="28"/>
          <w:szCs w:val="28"/>
        </w:rPr>
        <w:t>一、资格审查</w:t>
      </w:r>
    </w:p>
    <w:p w14:paraId="5333A024">
      <w:pPr>
        <w:spacing w:line="500" w:lineRule="exact"/>
        <w:jc w:val="center"/>
        <w:rPr>
          <w:rFonts w:ascii="华文仿宋" w:cs="Times New Roman"/>
          <w:b/>
          <w:bCs/>
          <w:color w:val="auto"/>
        </w:rPr>
      </w:pPr>
      <w:r>
        <w:rPr>
          <w:rFonts w:hint="eastAsia" w:ascii="华文仿宋" w:hAnsi="华文仿宋" w:cs="华文仿宋"/>
          <w:b/>
          <w:bCs/>
          <w:color w:val="auto"/>
        </w:rPr>
        <w:t>资格审查表</w:t>
      </w:r>
    </w:p>
    <w:tbl>
      <w:tblPr>
        <w:tblStyle w:val="29"/>
        <w:tblW w:w="89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2"/>
        <w:gridCol w:w="1866"/>
        <w:gridCol w:w="4583"/>
        <w:gridCol w:w="748"/>
        <w:gridCol w:w="977"/>
      </w:tblGrid>
      <w:tr w14:paraId="49AF0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noWrap/>
            <w:vAlign w:val="center"/>
          </w:tcPr>
          <w:p w14:paraId="39A0C489">
            <w:pPr>
              <w:jc w:val="center"/>
              <w:rPr>
                <w:rFonts w:ascii="仿宋" w:hAnsi="仿宋" w:eastAsia="仿宋" w:cs="Times New Roman"/>
                <w:b/>
                <w:bCs/>
                <w:color w:val="auto"/>
                <w:sz w:val="24"/>
                <w:szCs w:val="24"/>
              </w:rPr>
            </w:pPr>
            <w:r>
              <w:rPr>
                <w:rFonts w:hint="eastAsia" w:ascii="仿宋" w:hAnsi="仿宋" w:eastAsia="仿宋" w:cs="仿宋"/>
                <w:b/>
                <w:bCs/>
                <w:color w:val="auto"/>
                <w:sz w:val="24"/>
                <w:szCs w:val="24"/>
              </w:rPr>
              <w:t>序号</w:t>
            </w:r>
          </w:p>
        </w:tc>
        <w:tc>
          <w:tcPr>
            <w:tcW w:w="1866" w:type="dxa"/>
            <w:noWrap/>
            <w:vAlign w:val="center"/>
          </w:tcPr>
          <w:p w14:paraId="6CFE17C9">
            <w:pPr>
              <w:jc w:val="center"/>
              <w:rPr>
                <w:rFonts w:ascii="仿宋" w:hAnsi="仿宋" w:eastAsia="仿宋" w:cs="Times New Roman"/>
                <w:b/>
                <w:bCs/>
                <w:color w:val="auto"/>
                <w:kern w:val="28"/>
                <w:sz w:val="24"/>
                <w:szCs w:val="24"/>
              </w:rPr>
            </w:pPr>
            <w:r>
              <w:rPr>
                <w:rFonts w:hint="eastAsia" w:ascii="仿宋" w:hAnsi="仿宋" w:eastAsia="仿宋" w:cs="仿宋"/>
                <w:b/>
                <w:bCs/>
                <w:color w:val="auto"/>
                <w:kern w:val="28"/>
                <w:sz w:val="24"/>
                <w:szCs w:val="24"/>
              </w:rPr>
              <w:t>资格审查项</w:t>
            </w:r>
          </w:p>
        </w:tc>
        <w:tc>
          <w:tcPr>
            <w:tcW w:w="4583" w:type="dxa"/>
            <w:noWrap/>
            <w:vAlign w:val="center"/>
          </w:tcPr>
          <w:p w14:paraId="6FF3A6C6">
            <w:pPr>
              <w:jc w:val="center"/>
              <w:rPr>
                <w:rFonts w:ascii="仿宋" w:hAnsi="仿宋" w:eastAsia="仿宋" w:cs="Times New Roman"/>
                <w:b/>
                <w:bCs/>
                <w:color w:val="auto"/>
                <w:kern w:val="28"/>
                <w:sz w:val="24"/>
                <w:szCs w:val="24"/>
              </w:rPr>
            </w:pPr>
            <w:r>
              <w:rPr>
                <w:rFonts w:hint="eastAsia" w:ascii="仿宋" w:hAnsi="仿宋" w:eastAsia="仿宋" w:cs="仿宋"/>
                <w:b/>
                <w:bCs/>
                <w:color w:val="auto"/>
                <w:kern w:val="28"/>
                <w:sz w:val="24"/>
                <w:szCs w:val="24"/>
              </w:rPr>
              <w:t>通过条件</w:t>
            </w:r>
          </w:p>
        </w:tc>
        <w:tc>
          <w:tcPr>
            <w:tcW w:w="748" w:type="dxa"/>
            <w:noWrap/>
            <w:vAlign w:val="center"/>
          </w:tcPr>
          <w:p w14:paraId="319220E1">
            <w:pPr>
              <w:jc w:val="center"/>
              <w:rPr>
                <w:rFonts w:ascii="仿宋" w:hAnsi="仿宋" w:eastAsia="仿宋" w:cs="Times New Roman"/>
                <w:b/>
                <w:bCs/>
                <w:color w:val="auto"/>
                <w:sz w:val="24"/>
                <w:szCs w:val="24"/>
              </w:rPr>
            </w:pPr>
            <w:r>
              <w:rPr>
                <w:rFonts w:hint="eastAsia" w:ascii="仿宋" w:hAnsi="仿宋" w:eastAsia="仿宋" w:cs="仿宋"/>
                <w:b/>
                <w:bCs/>
                <w:color w:val="auto"/>
                <w:sz w:val="24"/>
                <w:szCs w:val="24"/>
              </w:rPr>
              <w:t>结论</w:t>
            </w:r>
          </w:p>
        </w:tc>
        <w:tc>
          <w:tcPr>
            <w:tcW w:w="977" w:type="dxa"/>
            <w:noWrap/>
            <w:vAlign w:val="center"/>
          </w:tcPr>
          <w:p w14:paraId="2350FD30">
            <w:pPr>
              <w:jc w:val="center"/>
              <w:rPr>
                <w:rFonts w:ascii="仿宋" w:hAnsi="仿宋" w:eastAsia="仿宋" w:cs="Times New Roman"/>
                <w:b/>
                <w:bCs/>
                <w:color w:val="auto"/>
                <w:sz w:val="24"/>
                <w:szCs w:val="24"/>
              </w:rPr>
            </w:pPr>
            <w:r>
              <w:rPr>
                <w:rFonts w:hint="eastAsia" w:ascii="仿宋" w:hAnsi="仿宋" w:eastAsia="仿宋" w:cs="仿宋"/>
                <w:b/>
                <w:bCs/>
                <w:color w:val="auto"/>
                <w:sz w:val="24"/>
                <w:szCs w:val="24"/>
              </w:rPr>
              <w:t>不通过原因</w:t>
            </w:r>
          </w:p>
        </w:tc>
      </w:tr>
      <w:tr w14:paraId="5067B1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noWrap/>
            <w:vAlign w:val="center"/>
          </w:tcPr>
          <w:p w14:paraId="53AABEA4">
            <w:pPr>
              <w:jc w:val="center"/>
              <w:rPr>
                <w:rFonts w:ascii="仿宋" w:hAnsi="仿宋" w:eastAsia="仿宋" w:cs="仿宋"/>
                <w:color w:val="auto"/>
                <w:sz w:val="24"/>
                <w:szCs w:val="24"/>
              </w:rPr>
            </w:pPr>
            <w:r>
              <w:rPr>
                <w:rFonts w:ascii="仿宋" w:hAnsi="仿宋" w:eastAsia="仿宋" w:cs="仿宋"/>
                <w:color w:val="auto"/>
                <w:sz w:val="24"/>
                <w:szCs w:val="24"/>
              </w:rPr>
              <w:t>1</w:t>
            </w:r>
          </w:p>
        </w:tc>
        <w:tc>
          <w:tcPr>
            <w:tcW w:w="1866" w:type="dxa"/>
            <w:noWrap/>
            <w:vAlign w:val="center"/>
          </w:tcPr>
          <w:p w14:paraId="7E5BF58B">
            <w:pPr>
              <w:jc w:val="center"/>
              <w:rPr>
                <w:rFonts w:ascii="仿宋" w:hAnsi="仿宋" w:eastAsia="仿宋" w:cs="Times New Roman"/>
                <w:color w:val="auto"/>
                <w:kern w:val="28"/>
                <w:sz w:val="24"/>
                <w:szCs w:val="24"/>
              </w:rPr>
            </w:pPr>
            <w:r>
              <w:rPr>
                <w:rFonts w:hint="eastAsia" w:ascii="仿宋" w:hAnsi="仿宋" w:eastAsia="仿宋" w:cs="仿宋"/>
                <w:color w:val="auto"/>
                <w:kern w:val="28"/>
                <w:sz w:val="24"/>
                <w:szCs w:val="24"/>
              </w:rPr>
              <w:t>营业执照等主体资格证明文件</w:t>
            </w:r>
          </w:p>
        </w:tc>
        <w:tc>
          <w:tcPr>
            <w:tcW w:w="4583" w:type="dxa"/>
            <w:noWrap/>
            <w:vAlign w:val="center"/>
          </w:tcPr>
          <w:p w14:paraId="0500C4FA">
            <w:pPr>
              <w:rPr>
                <w:rFonts w:ascii="仿宋" w:hAnsi="仿宋" w:eastAsia="仿宋" w:cs="Times New Roman"/>
                <w:color w:val="auto"/>
                <w:kern w:val="28"/>
                <w:sz w:val="24"/>
                <w:szCs w:val="24"/>
              </w:rPr>
            </w:pPr>
            <w:r>
              <w:rPr>
                <w:rFonts w:hint="eastAsia" w:ascii="仿宋" w:hAnsi="仿宋" w:eastAsia="仿宋" w:cs="仿宋"/>
                <w:color w:val="auto"/>
                <w:kern w:val="28"/>
                <w:sz w:val="24"/>
                <w:szCs w:val="24"/>
              </w:rPr>
              <w:t>提供有效存续的企业营业执照（副本）</w:t>
            </w:r>
            <w:r>
              <w:rPr>
                <w:rFonts w:ascii="仿宋" w:hAnsi="仿宋" w:eastAsia="仿宋" w:cs="仿宋"/>
                <w:color w:val="auto"/>
                <w:kern w:val="28"/>
                <w:sz w:val="24"/>
                <w:szCs w:val="24"/>
              </w:rPr>
              <w:t>/</w:t>
            </w:r>
            <w:r>
              <w:rPr>
                <w:rFonts w:hint="eastAsia" w:ascii="仿宋" w:hAnsi="仿宋" w:eastAsia="仿宋" w:cs="仿宋"/>
                <w:color w:val="auto"/>
                <w:kern w:val="28"/>
                <w:sz w:val="24"/>
                <w:szCs w:val="24"/>
              </w:rPr>
              <w:t>事业单位法人证书</w:t>
            </w:r>
            <w:r>
              <w:rPr>
                <w:rFonts w:ascii="仿宋" w:hAnsi="仿宋" w:eastAsia="仿宋" w:cs="仿宋"/>
                <w:color w:val="auto"/>
                <w:kern w:val="28"/>
                <w:sz w:val="24"/>
                <w:szCs w:val="24"/>
              </w:rPr>
              <w:t>/</w:t>
            </w:r>
            <w:r>
              <w:rPr>
                <w:rFonts w:hint="eastAsia" w:ascii="仿宋" w:hAnsi="仿宋" w:eastAsia="仿宋" w:cs="仿宋"/>
                <w:color w:val="auto"/>
                <w:kern w:val="28"/>
                <w:sz w:val="24"/>
                <w:szCs w:val="24"/>
              </w:rPr>
              <w:t>专业服务机构执业许可证</w:t>
            </w:r>
            <w:r>
              <w:rPr>
                <w:rFonts w:ascii="仿宋" w:hAnsi="仿宋" w:eastAsia="仿宋" w:cs="仿宋"/>
                <w:color w:val="auto"/>
                <w:kern w:val="28"/>
                <w:sz w:val="24"/>
                <w:szCs w:val="24"/>
              </w:rPr>
              <w:t>/</w:t>
            </w:r>
            <w:r>
              <w:rPr>
                <w:rFonts w:hint="eastAsia" w:ascii="仿宋" w:hAnsi="仿宋" w:eastAsia="仿宋" w:cs="仿宋"/>
                <w:color w:val="auto"/>
                <w:kern w:val="28"/>
                <w:sz w:val="24"/>
                <w:szCs w:val="24"/>
              </w:rPr>
              <w:t>民办非企业单位登记证书。</w:t>
            </w:r>
          </w:p>
        </w:tc>
        <w:tc>
          <w:tcPr>
            <w:tcW w:w="748" w:type="dxa"/>
            <w:noWrap/>
            <w:vAlign w:val="center"/>
          </w:tcPr>
          <w:p w14:paraId="428E25EB">
            <w:pPr>
              <w:rPr>
                <w:rFonts w:ascii="仿宋" w:hAnsi="仿宋" w:eastAsia="仿宋" w:cs="Times New Roman"/>
                <w:b/>
                <w:bCs/>
                <w:color w:val="auto"/>
                <w:sz w:val="24"/>
                <w:szCs w:val="24"/>
              </w:rPr>
            </w:pPr>
          </w:p>
        </w:tc>
        <w:tc>
          <w:tcPr>
            <w:tcW w:w="977" w:type="dxa"/>
            <w:noWrap/>
            <w:vAlign w:val="center"/>
          </w:tcPr>
          <w:p w14:paraId="50AE6FF1">
            <w:pPr>
              <w:rPr>
                <w:rFonts w:ascii="仿宋" w:hAnsi="仿宋" w:eastAsia="仿宋" w:cs="Times New Roman"/>
                <w:b/>
                <w:bCs/>
                <w:color w:val="auto"/>
                <w:sz w:val="24"/>
                <w:szCs w:val="24"/>
              </w:rPr>
            </w:pPr>
          </w:p>
        </w:tc>
      </w:tr>
      <w:tr w14:paraId="005B61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noWrap/>
            <w:vAlign w:val="center"/>
          </w:tcPr>
          <w:p w14:paraId="683B5D49">
            <w:pPr>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2</w:t>
            </w:r>
          </w:p>
        </w:tc>
        <w:tc>
          <w:tcPr>
            <w:tcW w:w="1866" w:type="dxa"/>
            <w:noWrap/>
            <w:vAlign w:val="center"/>
          </w:tcPr>
          <w:p w14:paraId="0B14CB5E">
            <w:pPr>
              <w:jc w:val="center"/>
              <w:rPr>
                <w:rFonts w:ascii="仿宋" w:hAnsi="仿宋" w:eastAsia="仿宋" w:cs="Times New Roman"/>
                <w:color w:val="auto"/>
                <w:kern w:val="28"/>
                <w:sz w:val="24"/>
                <w:szCs w:val="24"/>
              </w:rPr>
            </w:pPr>
            <w:r>
              <w:rPr>
                <w:rFonts w:hint="eastAsia" w:ascii="仿宋" w:hAnsi="仿宋" w:eastAsia="仿宋" w:cs="仿宋"/>
                <w:color w:val="auto"/>
                <w:kern w:val="28"/>
                <w:sz w:val="24"/>
                <w:szCs w:val="24"/>
              </w:rPr>
              <w:t>信用记录</w:t>
            </w:r>
          </w:p>
        </w:tc>
        <w:tc>
          <w:tcPr>
            <w:tcW w:w="4583" w:type="dxa"/>
            <w:noWrap/>
            <w:vAlign w:val="center"/>
          </w:tcPr>
          <w:p w14:paraId="6E8D00C7">
            <w:pPr>
              <w:rPr>
                <w:rFonts w:ascii="仿宋" w:hAnsi="仿宋" w:eastAsia="仿宋" w:cs="Times New Roman"/>
                <w:color w:val="auto"/>
                <w:kern w:val="28"/>
                <w:sz w:val="24"/>
                <w:szCs w:val="24"/>
              </w:rPr>
            </w:pPr>
            <w:r>
              <w:rPr>
                <w:rFonts w:hint="eastAsia" w:ascii="仿宋" w:hAnsi="仿宋" w:eastAsia="仿宋" w:cs="仿宋"/>
                <w:color w:val="auto"/>
                <w:kern w:val="28"/>
                <w:sz w:val="24"/>
                <w:szCs w:val="24"/>
              </w:rPr>
              <w:t>提供《供应商信用记录书面声明函》（按格式填写，提供原件）。经查，投标人未被列入“信用中国”网站记录的“失信被执行人”或“重大税收违法</w:t>
            </w:r>
            <w:r>
              <w:rPr>
                <w:rFonts w:hint="eastAsia" w:ascii="仿宋" w:hAnsi="仿宋" w:eastAsia="仿宋" w:cs="仿宋"/>
                <w:color w:val="auto"/>
                <w:kern w:val="28"/>
                <w:sz w:val="24"/>
                <w:szCs w:val="24"/>
                <w:lang w:val="en-US" w:eastAsia="zh-CN"/>
              </w:rPr>
              <w:t>失信主体</w:t>
            </w:r>
            <w:r>
              <w:rPr>
                <w:rFonts w:hint="eastAsia" w:ascii="仿宋" w:hAnsi="仿宋" w:eastAsia="仿宋" w:cs="仿宋"/>
                <w:color w:val="auto"/>
                <w:kern w:val="28"/>
                <w:sz w:val="24"/>
                <w:szCs w:val="24"/>
              </w:rPr>
              <w:t>”名单；不处于“中国政府采购网”记录的“政府采购严重违法失信行为记录名单”中的禁止参加政府采购活动期间。</w:t>
            </w:r>
          </w:p>
        </w:tc>
        <w:tc>
          <w:tcPr>
            <w:tcW w:w="748" w:type="dxa"/>
            <w:noWrap/>
            <w:vAlign w:val="center"/>
          </w:tcPr>
          <w:p w14:paraId="38C0DD44">
            <w:pPr>
              <w:rPr>
                <w:rFonts w:ascii="仿宋" w:hAnsi="仿宋" w:eastAsia="仿宋" w:cs="Times New Roman"/>
                <w:b/>
                <w:bCs/>
                <w:color w:val="auto"/>
                <w:sz w:val="24"/>
                <w:szCs w:val="24"/>
              </w:rPr>
            </w:pPr>
          </w:p>
        </w:tc>
        <w:tc>
          <w:tcPr>
            <w:tcW w:w="977" w:type="dxa"/>
            <w:noWrap/>
            <w:vAlign w:val="center"/>
          </w:tcPr>
          <w:p w14:paraId="361748C4">
            <w:pPr>
              <w:rPr>
                <w:rFonts w:ascii="仿宋" w:hAnsi="仿宋" w:eastAsia="仿宋" w:cs="Times New Roman"/>
                <w:b/>
                <w:bCs/>
                <w:color w:val="auto"/>
                <w:sz w:val="24"/>
                <w:szCs w:val="24"/>
              </w:rPr>
            </w:pPr>
          </w:p>
        </w:tc>
      </w:tr>
      <w:tr w14:paraId="4D6E0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noWrap/>
            <w:vAlign w:val="center"/>
          </w:tcPr>
          <w:p w14:paraId="292BDE90">
            <w:pPr>
              <w:jc w:val="center"/>
              <w:rPr>
                <w:rFonts w:hint="eastAsia" w:ascii="仿宋" w:hAnsi="仿宋" w:eastAsia="仿宋" w:cs="仿宋"/>
                <w:bCs/>
                <w:color w:val="auto"/>
                <w:sz w:val="24"/>
                <w:szCs w:val="24"/>
                <w:lang w:eastAsia="zh-CN"/>
              </w:rPr>
            </w:pPr>
            <w:r>
              <w:rPr>
                <w:rFonts w:hint="eastAsia" w:ascii="仿宋" w:hAnsi="仿宋" w:eastAsia="仿宋" w:cs="仿宋"/>
                <w:color w:val="auto"/>
                <w:sz w:val="24"/>
                <w:szCs w:val="24"/>
                <w:lang w:val="en-US" w:eastAsia="zh-CN"/>
              </w:rPr>
              <w:t>3</w:t>
            </w:r>
          </w:p>
        </w:tc>
        <w:tc>
          <w:tcPr>
            <w:tcW w:w="1866" w:type="dxa"/>
            <w:noWrap/>
            <w:vAlign w:val="center"/>
          </w:tcPr>
          <w:p w14:paraId="26DA54E8">
            <w:pPr>
              <w:jc w:val="center"/>
              <w:rPr>
                <w:rFonts w:ascii="仿宋" w:hAnsi="仿宋" w:eastAsia="仿宋" w:cs="仿宋"/>
                <w:color w:val="auto"/>
                <w:kern w:val="28"/>
                <w:sz w:val="24"/>
                <w:szCs w:val="24"/>
              </w:rPr>
            </w:pPr>
            <w:r>
              <w:rPr>
                <w:rFonts w:hint="eastAsia" w:ascii="仿宋" w:hAnsi="仿宋" w:eastAsia="仿宋" w:cs="仿宋"/>
                <w:color w:val="auto"/>
                <w:kern w:val="28"/>
                <w:sz w:val="24"/>
                <w:szCs w:val="24"/>
              </w:rPr>
              <w:t>控股管理关系</w:t>
            </w:r>
          </w:p>
        </w:tc>
        <w:tc>
          <w:tcPr>
            <w:tcW w:w="4583" w:type="dxa"/>
            <w:noWrap/>
            <w:vAlign w:val="center"/>
          </w:tcPr>
          <w:p w14:paraId="1D1D2038">
            <w:pPr>
              <w:rPr>
                <w:rFonts w:ascii="仿宋" w:hAnsi="仿宋" w:eastAsia="仿宋" w:cs="仿宋"/>
                <w:color w:val="auto"/>
                <w:kern w:val="28"/>
                <w:sz w:val="24"/>
                <w:szCs w:val="24"/>
              </w:rPr>
            </w:pPr>
            <w:r>
              <w:rPr>
                <w:rFonts w:hint="eastAsia" w:ascii="仿宋" w:hAnsi="仿宋" w:eastAsia="仿宋" w:cs="仿宋"/>
                <w:color w:val="auto"/>
                <w:kern w:val="28"/>
                <w:sz w:val="24"/>
                <w:szCs w:val="24"/>
              </w:rPr>
              <w:t>提供直接控股和管理关系清单。若与其他</w:t>
            </w:r>
          </w:p>
          <w:p w14:paraId="255367C9">
            <w:pPr>
              <w:rPr>
                <w:rFonts w:ascii="仿宋" w:hAnsi="仿宋" w:eastAsia="仿宋" w:cs="仿宋"/>
                <w:color w:val="auto"/>
                <w:kern w:val="28"/>
                <w:sz w:val="24"/>
                <w:szCs w:val="24"/>
              </w:rPr>
            </w:pPr>
            <w:r>
              <w:rPr>
                <w:rFonts w:hint="eastAsia" w:ascii="仿宋" w:hAnsi="仿宋" w:eastAsia="仿宋" w:cs="仿宋"/>
                <w:color w:val="auto"/>
                <w:kern w:val="28"/>
                <w:sz w:val="24"/>
                <w:szCs w:val="24"/>
              </w:rPr>
              <w:t>投标人存在单位负责人为同一人或者存在直接控股、管理关系的，则投标无效。</w:t>
            </w:r>
          </w:p>
        </w:tc>
        <w:tc>
          <w:tcPr>
            <w:tcW w:w="748" w:type="dxa"/>
            <w:noWrap/>
            <w:vAlign w:val="center"/>
          </w:tcPr>
          <w:p w14:paraId="0217A8D2">
            <w:pPr>
              <w:rPr>
                <w:rFonts w:ascii="仿宋" w:hAnsi="仿宋" w:eastAsia="仿宋" w:cs="Times New Roman"/>
                <w:b/>
                <w:bCs/>
                <w:color w:val="auto"/>
                <w:sz w:val="24"/>
                <w:szCs w:val="24"/>
              </w:rPr>
            </w:pPr>
          </w:p>
        </w:tc>
        <w:tc>
          <w:tcPr>
            <w:tcW w:w="977" w:type="dxa"/>
            <w:noWrap/>
            <w:vAlign w:val="center"/>
          </w:tcPr>
          <w:p w14:paraId="622602A6">
            <w:pPr>
              <w:rPr>
                <w:rFonts w:ascii="仿宋" w:hAnsi="仿宋" w:eastAsia="仿宋" w:cs="Times New Roman"/>
                <w:b/>
                <w:bCs/>
                <w:color w:val="auto"/>
                <w:sz w:val="24"/>
                <w:szCs w:val="24"/>
              </w:rPr>
            </w:pPr>
          </w:p>
        </w:tc>
      </w:tr>
      <w:tr w14:paraId="033026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noWrap/>
            <w:vAlign w:val="center"/>
          </w:tcPr>
          <w:p w14:paraId="3F78799C">
            <w:pPr>
              <w:jc w:val="center"/>
              <w:rPr>
                <w:rFonts w:hint="eastAsia" w:ascii="仿宋" w:hAnsi="仿宋" w:eastAsia="仿宋" w:cs="仿宋"/>
                <w:bCs/>
                <w:color w:val="auto"/>
                <w:sz w:val="24"/>
                <w:szCs w:val="24"/>
                <w:lang w:eastAsia="zh-CN"/>
              </w:rPr>
            </w:pPr>
            <w:r>
              <w:rPr>
                <w:rFonts w:hint="eastAsia" w:ascii="仿宋" w:hAnsi="仿宋" w:eastAsia="仿宋" w:cs="仿宋"/>
                <w:bCs/>
                <w:color w:val="auto"/>
                <w:sz w:val="24"/>
                <w:szCs w:val="24"/>
                <w:lang w:val="en-US" w:eastAsia="zh-CN"/>
              </w:rPr>
              <w:t>4</w:t>
            </w:r>
          </w:p>
        </w:tc>
        <w:tc>
          <w:tcPr>
            <w:tcW w:w="1866" w:type="dxa"/>
            <w:noWrap/>
            <w:vAlign w:val="center"/>
          </w:tcPr>
          <w:p w14:paraId="5073CE8A">
            <w:pPr>
              <w:jc w:val="center"/>
              <w:rPr>
                <w:rFonts w:ascii="仿宋" w:hAnsi="仿宋" w:eastAsia="仿宋" w:cs="仿宋"/>
                <w:color w:val="auto"/>
                <w:kern w:val="28"/>
                <w:sz w:val="24"/>
                <w:szCs w:val="24"/>
              </w:rPr>
            </w:pPr>
            <w:r>
              <w:rPr>
                <w:rFonts w:hint="eastAsia" w:ascii="仿宋" w:hAnsi="仿宋" w:eastAsia="仿宋" w:cs="仿宋"/>
                <w:color w:val="auto"/>
                <w:kern w:val="28"/>
                <w:sz w:val="24"/>
                <w:szCs w:val="24"/>
              </w:rPr>
              <w:t>书面声明</w:t>
            </w:r>
          </w:p>
        </w:tc>
        <w:tc>
          <w:tcPr>
            <w:tcW w:w="4583" w:type="dxa"/>
            <w:noWrap/>
            <w:vAlign w:val="center"/>
          </w:tcPr>
          <w:p w14:paraId="4EB07D45">
            <w:pPr>
              <w:rPr>
                <w:rFonts w:ascii="仿宋" w:hAnsi="仿宋" w:eastAsia="仿宋" w:cs="仿宋"/>
                <w:color w:val="auto"/>
                <w:kern w:val="28"/>
                <w:sz w:val="24"/>
                <w:szCs w:val="24"/>
              </w:rPr>
            </w:pPr>
            <w:r>
              <w:rPr>
                <w:rFonts w:hint="eastAsia" w:ascii="仿宋" w:hAnsi="仿宋" w:eastAsia="仿宋" w:cs="仿宋"/>
                <w:color w:val="auto"/>
                <w:kern w:val="28"/>
                <w:sz w:val="24"/>
                <w:szCs w:val="24"/>
              </w:rPr>
              <w:t>提供书面声明，包括声明具有履行合同所必需的设备和专业技术能力；未为本项目提供整体设计、规范编制或者项目管理、监理、检测等服务。</w:t>
            </w:r>
          </w:p>
        </w:tc>
        <w:tc>
          <w:tcPr>
            <w:tcW w:w="748" w:type="dxa"/>
            <w:noWrap/>
            <w:vAlign w:val="center"/>
          </w:tcPr>
          <w:p w14:paraId="3136B7D8">
            <w:pPr>
              <w:rPr>
                <w:rFonts w:ascii="仿宋" w:hAnsi="仿宋" w:eastAsia="仿宋" w:cs="Times New Roman"/>
                <w:b/>
                <w:bCs/>
                <w:color w:val="auto"/>
                <w:sz w:val="24"/>
                <w:szCs w:val="24"/>
              </w:rPr>
            </w:pPr>
          </w:p>
        </w:tc>
        <w:tc>
          <w:tcPr>
            <w:tcW w:w="977" w:type="dxa"/>
            <w:noWrap/>
            <w:vAlign w:val="center"/>
          </w:tcPr>
          <w:p w14:paraId="3E4ECF58">
            <w:pPr>
              <w:rPr>
                <w:rFonts w:ascii="仿宋" w:hAnsi="仿宋" w:eastAsia="仿宋" w:cs="Times New Roman"/>
                <w:b/>
                <w:bCs/>
                <w:color w:val="auto"/>
                <w:sz w:val="24"/>
                <w:szCs w:val="24"/>
              </w:rPr>
            </w:pPr>
          </w:p>
        </w:tc>
      </w:tr>
      <w:tr w14:paraId="7AD56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noWrap/>
            <w:vAlign w:val="center"/>
          </w:tcPr>
          <w:p w14:paraId="4DD1DFEB">
            <w:pPr>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5</w:t>
            </w:r>
          </w:p>
        </w:tc>
        <w:tc>
          <w:tcPr>
            <w:tcW w:w="1866" w:type="dxa"/>
            <w:noWrap/>
            <w:vAlign w:val="center"/>
          </w:tcPr>
          <w:p w14:paraId="5927C049">
            <w:pPr>
              <w:jc w:val="center"/>
              <w:rPr>
                <w:rFonts w:ascii="仿宋" w:hAnsi="仿宋" w:eastAsia="仿宋" w:cs="Times New Roman"/>
                <w:color w:val="auto"/>
                <w:kern w:val="28"/>
                <w:sz w:val="24"/>
                <w:szCs w:val="24"/>
              </w:rPr>
            </w:pPr>
            <w:r>
              <w:rPr>
                <w:rFonts w:hint="eastAsia" w:ascii="华文仿宋" w:hAnsi="华文仿宋" w:eastAsia="华文仿宋" w:cs="华文仿宋"/>
                <w:color w:val="000000"/>
                <w:kern w:val="28"/>
                <w:sz w:val="24"/>
                <w:szCs w:val="24"/>
              </w:rPr>
              <w:t>法定代表人授权委托书及法定代表人证明书</w:t>
            </w:r>
          </w:p>
        </w:tc>
        <w:tc>
          <w:tcPr>
            <w:tcW w:w="4583" w:type="dxa"/>
            <w:noWrap/>
            <w:vAlign w:val="center"/>
          </w:tcPr>
          <w:p w14:paraId="7C867BCF">
            <w:pPr>
              <w:rPr>
                <w:rFonts w:hint="eastAsia" w:ascii="仿宋" w:hAnsi="仿宋" w:eastAsia="仿宋" w:cs="Times New Roman"/>
                <w:color w:val="auto"/>
                <w:kern w:val="28"/>
                <w:sz w:val="24"/>
                <w:szCs w:val="24"/>
              </w:rPr>
            </w:pPr>
            <w:r>
              <w:rPr>
                <w:rFonts w:hint="eastAsia" w:ascii="仿宋" w:hAnsi="仿宋" w:eastAsia="仿宋" w:cs="Times New Roman"/>
                <w:color w:val="auto"/>
                <w:kern w:val="28"/>
                <w:sz w:val="24"/>
                <w:szCs w:val="24"/>
              </w:rPr>
              <w:t>法定代表人参加投标的，须提供本人身份证</w:t>
            </w:r>
            <w:r>
              <w:rPr>
                <w:rFonts w:hint="eastAsia" w:ascii="仿宋" w:hAnsi="仿宋" w:eastAsia="仿宋" w:cs="Times New Roman"/>
                <w:color w:val="auto"/>
                <w:kern w:val="28"/>
                <w:sz w:val="24"/>
                <w:szCs w:val="24"/>
                <w:lang w:val="en-US" w:eastAsia="zh-CN"/>
              </w:rPr>
              <w:t>扫描</w:t>
            </w:r>
            <w:r>
              <w:rPr>
                <w:rFonts w:hint="eastAsia" w:ascii="仿宋" w:hAnsi="仿宋" w:eastAsia="仿宋" w:cs="Times New Roman"/>
                <w:color w:val="auto"/>
                <w:kern w:val="28"/>
                <w:sz w:val="24"/>
                <w:szCs w:val="24"/>
              </w:rPr>
              <w:t>件（附在资格证明文件中）；法定代表人授权他人参加投标的，须提供法定代表人授权委托书</w:t>
            </w:r>
            <w:r>
              <w:rPr>
                <w:rFonts w:hint="eastAsia" w:ascii="仿宋" w:hAnsi="仿宋" w:eastAsia="仿宋" w:cs="Times New Roman"/>
                <w:color w:val="auto"/>
                <w:kern w:val="28"/>
                <w:sz w:val="24"/>
                <w:szCs w:val="24"/>
                <w:lang w:eastAsia="zh-CN"/>
              </w:rPr>
              <w:t>（</w:t>
            </w:r>
            <w:r>
              <w:rPr>
                <w:rFonts w:hint="eastAsia" w:ascii="仿宋" w:hAnsi="仿宋" w:eastAsia="仿宋" w:cs="Times New Roman"/>
                <w:color w:val="auto"/>
                <w:kern w:val="28"/>
                <w:sz w:val="24"/>
                <w:szCs w:val="24"/>
              </w:rPr>
              <w:t>按格式填写，提供</w:t>
            </w:r>
            <w:r>
              <w:rPr>
                <w:rFonts w:hint="eastAsia" w:ascii="仿宋" w:hAnsi="仿宋" w:eastAsia="仿宋" w:cs="Times New Roman"/>
                <w:color w:val="auto"/>
                <w:kern w:val="28"/>
                <w:sz w:val="24"/>
                <w:szCs w:val="24"/>
                <w:lang w:eastAsia="zh-CN"/>
              </w:rPr>
              <w:t>原件的扫描件</w:t>
            </w:r>
            <w:r>
              <w:rPr>
                <w:rFonts w:hint="eastAsia" w:ascii="仿宋" w:hAnsi="仿宋" w:eastAsia="仿宋" w:cs="Times New Roman"/>
                <w:color w:val="auto"/>
                <w:kern w:val="28"/>
                <w:sz w:val="24"/>
                <w:szCs w:val="24"/>
              </w:rPr>
              <w:t>）。招标文件中凡是需要法定代表人盖章之处，非法人单位的负责人均参照执行。</w:t>
            </w:r>
          </w:p>
          <w:p w14:paraId="2E531CF1">
            <w:pPr>
              <w:rPr>
                <w:rFonts w:ascii="仿宋" w:hAnsi="仿宋" w:eastAsia="仿宋" w:cs="Times New Roman"/>
                <w:color w:val="auto"/>
                <w:kern w:val="28"/>
                <w:sz w:val="24"/>
                <w:szCs w:val="24"/>
              </w:rPr>
            </w:pPr>
            <w:r>
              <w:rPr>
                <w:rFonts w:hint="eastAsia" w:ascii="仿宋" w:hAnsi="仿宋" w:eastAsia="仿宋" w:cs="Times New Roman"/>
                <w:color w:val="auto"/>
                <w:kern w:val="28"/>
                <w:sz w:val="24"/>
                <w:szCs w:val="24"/>
                <w:lang w:eastAsia="zh-CN"/>
              </w:rPr>
              <w:t>法人的</w:t>
            </w:r>
            <w:r>
              <w:rPr>
                <w:rFonts w:hint="eastAsia" w:ascii="仿宋" w:hAnsi="仿宋" w:eastAsia="仿宋" w:cs="Times New Roman"/>
                <w:color w:val="auto"/>
                <w:kern w:val="28"/>
                <w:sz w:val="24"/>
                <w:szCs w:val="24"/>
              </w:rPr>
              <w:t>分支机构参与投标时，</w:t>
            </w:r>
            <w:r>
              <w:rPr>
                <w:rFonts w:hint="eastAsia" w:ascii="仿宋" w:hAnsi="仿宋" w:eastAsia="仿宋" w:cs="Times New Roman"/>
                <w:color w:val="auto"/>
                <w:kern w:val="28"/>
                <w:sz w:val="24"/>
                <w:szCs w:val="24"/>
                <w:lang w:eastAsia="zh-CN"/>
              </w:rPr>
              <w:t>除提供《</w:t>
            </w:r>
            <w:r>
              <w:rPr>
                <w:rFonts w:hint="eastAsia" w:ascii="仿宋" w:hAnsi="仿宋" w:eastAsia="仿宋" w:cs="Times New Roman"/>
                <w:color w:val="auto"/>
                <w:kern w:val="28"/>
                <w:sz w:val="24"/>
                <w:szCs w:val="24"/>
              </w:rPr>
              <w:t>法定代表人授权委托书</w:t>
            </w:r>
            <w:r>
              <w:rPr>
                <w:rFonts w:hint="eastAsia" w:ascii="仿宋" w:hAnsi="仿宋" w:eastAsia="仿宋" w:cs="Times New Roman"/>
                <w:color w:val="auto"/>
                <w:kern w:val="28"/>
                <w:sz w:val="24"/>
                <w:szCs w:val="24"/>
                <w:lang w:eastAsia="zh-CN"/>
              </w:rPr>
              <w:t>》外，还须同时提供总公司给分支机构</w:t>
            </w:r>
            <w:r>
              <w:rPr>
                <w:rFonts w:hint="eastAsia" w:ascii="仿宋" w:hAnsi="仿宋" w:eastAsia="仿宋" w:cs="Times New Roman"/>
                <w:color w:val="auto"/>
                <w:kern w:val="28"/>
                <w:sz w:val="24"/>
                <w:szCs w:val="24"/>
              </w:rPr>
              <w:t>出具的授权书。</w:t>
            </w:r>
          </w:p>
        </w:tc>
        <w:tc>
          <w:tcPr>
            <w:tcW w:w="748" w:type="dxa"/>
            <w:noWrap/>
            <w:vAlign w:val="center"/>
          </w:tcPr>
          <w:p w14:paraId="3147EE05">
            <w:pPr>
              <w:rPr>
                <w:rFonts w:ascii="仿宋" w:hAnsi="仿宋" w:eastAsia="仿宋" w:cs="Times New Roman"/>
                <w:b/>
                <w:bCs/>
                <w:color w:val="auto"/>
                <w:sz w:val="24"/>
                <w:szCs w:val="24"/>
              </w:rPr>
            </w:pPr>
          </w:p>
        </w:tc>
        <w:tc>
          <w:tcPr>
            <w:tcW w:w="977" w:type="dxa"/>
            <w:noWrap/>
            <w:vAlign w:val="center"/>
          </w:tcPr>
          <w:p w14:paraId="075DDBC9">
            <w:pPr>
              <w:rPr>
                <w:rFonts w:ascii="仿宋" w:hAnsi="仿宋" w:eastAsia="仿宋" w:cs="Times New Roman"/>
                <w:b/>
                <w:bCs/>
                <w:color w:val="auto"/>
                <w:sz w:val="24"/>
                <w:szCs w:val="24"/>
              </w:rPr>
            </w:pPr>
          </w:p>
        </w:tc>
      </w:tr>
      <w:tr w14:paraId="1036F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noWrap/>
            <w:vAlign w:val="center"/>
          </w:tcPr>
          <w:p w14:paraId="03164FFD">
            <w:pPr>
              <w:jc w:val="center"/>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6</w:t>
            </w:r>
          </w:p>
        </w:tc>
        <w:tc>
          <w:tcPr>
            <w:tcW w:w="1866" w:type="dxa"/>
            <w:noWrap/>
            <w:vAlign w:val="center"/>
          </w:tcPr>
          <w:p w14:paraId="661B969F">
            <w:pPr>
              <w:jc w:val="center"/>
              <w:rPr>
                <w:rFonts w:hint="eastAsia" w:ascii="仿宋" w:hAnsi="仿宋" w:eastAsia="仿宋" w:cs="仿宋"/>
                <w:color w:val="auto"/>
                <w:kern w:val="28"/>
                <w:sz w:val="24"/>
                <w:szCs w:val="24"/>
                <w:lang w:val="en-US" w:eastAsia="zh-CN"/>
              </w:rPr>
            </w:pPr>
            <w:r>
              <w:rPr>
                <w:rFonts w:hint="eastAsia" w:ascii="仿宋" w:hAnsi="仿宋" w:eastAsia="仿宋" w:cs="仿宋"/>
                <w:color w:val="auto"/>
                <w:kern w:val="28"/>
                <w:sz w:val="24"/>
                <w:szCs w:val="24"/>
                <w:lang w:val="en-US" w:eastAsia="zh-CN"/>
              </w:rPr>
              <w:t>承诺函</w:t>
            </w:r>
          </w:p>
        </w:tc>
        <w:tc>
          <w:tcPr>
            <w:tcW w:w="4583" w:type="dxa"/>
            <w:noWrap/>
            <w:vAlign w:val="center"/>
          </w:tcPr>
          <w:p w14:paraId="19FB0BF2">
            <w:pPr>
              <w:rPr>
                <w:rFonts w:hint="eastAsia" w:ascii="仿宋" w:hAnsi="仿宋" w:eastAsia="仿宋" w:cs="Times New Roman"/>
                <w:color w:val="auto"/>
                <w:kern w:val="28"/>
                <w:sz w:val="24"/>
                <w:szCs w:val="24"/>
                <w:lang w:eastAsia="zh-CN"/>
              </w:rPr>
            </w:pPr>
            <w:r>
              <w:rPr>
                <w:rFonts w:hint="eastAsia" w:ascii="仿宋" w:hAnsi="仿宋" w:eastAsia="仿宋" w:cs="Times New Roman"/>
                <w:color w:val="auto"/>
                <w:kern w:val="28"/>
                <w:sz w:val="24"/>
                <w:szCs w:val="24"/>
                <w:lang w:eastAsia="zh-CN"/>
              </w:rPr>
              <w:t>投标人需提供财务状况、缴纳税收和社会保障资金三项符合要求的承诺函（无需另行提供证明文件）。</w:t>
            </w:r>
          </w:p>
        </w:tc>
        <w:tc>
          <w:tcPr>
            <w:tcW w:w="748" w:type="dxa"/>
            <w:noWrap/>
            <w:vAlign w:val="center"/>
          </w:tcPr>
          <w:p w14:paraId="3BA2A105">
            <w:pPr>
              <w:rPr>
                <w:rFonts w:ascii="仿宋" w:hAnsi="仿宋" w:eastAsia="仿宋" w:cs="Times New Roman"/>
                <w:b/>
                <w:bCs/>
                <w:color w:val="auto"/>
                <w:sz w:val="24"/>
                <w:szCs w:val="24"/>
              </w:rPr>
            </w:pPr>
          </w:p>
        </w:tc>
        <w:tc>
          <w:tcPr>
            <w:tcW w:w="977" w:type="dxa"/>
            <w:noWrap/>
            <w:vAlign w:val="center"/>
          </w:tcPr>
          <w:p w14:paraId="19BA8676">
            <w:pPr>
              <w:rPr>
                <w:rFonts w:ascii="仿宋" w:hAnsi="仿宋" w:eastAsia="仿宋" w:cs="Times New Roman"/>
                <w:b/>
                <w:bCs/>
                <w:color w:val="auto"/>
                <w:sz w:val="24"/>
                <w:szCs w:val="24"/>
              </w:rPr>
            </w:pPr>
          </w:p>
        </w:tc>
      </w:tr>
      <w:tr w14:paraId="4413E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0" w:hRule="atLeast"/>
          <w:jc w:val="center"/>
        </w:trPr>
        <w:tc>
          <w:tcPr>
            <w:tcW w:w="732" w:type="dxa"/>
            <w:noWrap/>
            <w:vAlign w:val="center"/>
          </w:tcPr>
          <w:p w14:paraId="1AA88808">
            <w:pPr>
              <w:jc w:val="center"/>
              <w:rPr>
                <w:rFonts w:hint="default" w:ascii="仿宋" w:hAnsi="仿宋" w:eastAsia="仿宋" w:cs="仿宋"/>
                <w:color w:val="auto"/>
                <w:kern w:val="2"/>
                <w:sz w:val="24"/>
                <w:szCs w:val="24"/>
                <w:lang w:val="en-US" w:eastAsia="zh-CN" w:bidi="ar-SA"/>
              </w:rPr>
            </w:pPr>
            <w:r>
              <w:rPr>
                <w:rFonts w:hint="eastAsia" w:ascii="仿宋" w:hAnsi="仿宋" w:eastAsia="仿宋" w:cs="仿宋"/>
                <w:color w:val="auto"/>
                <w:sz w:val="24"/>
                <w:szCs w:val="24"/>
                <w:lang w:val="en-US" w:eastAsia="zh-CN"/>
              </w:rPr>
              <w:t>7</w:t>
            </w:r>
          </w:p>
        </w:tc>
        <w:tc>
          <w:tcPr>
            <w:tcW w:w="1866" w:type="dxa"/>
            <w:noWrap/>
            <w:vAlign w:val="center"/>
          </w:tcPr>
          <w:p w14:paraId="72DF2C4E">
            <w:pPr>
              <w:jc w:val="center"/>
              <w:rPr>
                <w:rFonts w:hint="eastAsia" w:ascii="仿宋" w:hAnsi="仿宋" w:eastAsia="仿宋" w:cs="Times New Roman"/>
                <w:color w:val="auto"/>
                <w:kern w:val="28"/>
                <w:sz w:val="24"/>
                <w:szCs w:val="24"/>
                <w:lang w:val="en-US" w:eastAsia="zh-CN" w:bidi="ar-SA"/>
              </w:rPr>
            </w:pPr>
            <w:r>
              <w:rPr>
                <w:rFonts w:hint="eastAsia" w:ascii="仿宋" w:hAnsi="仿宋" w:eastAsia="仿宋" w:cs="仿宋"/>
                <w:color w:val="auto"/>
                <w:kern w:val="28"/>
                <w:sz w:val="24"/>
                <w:szCs w:val="24"/>
              </w:rPr>
              <w:t>本项目不接受联合体投标，不允许分包</w:t>
            </w:r>
          </w:p>
        </w:tc>
        <w:tc>
          <w:tcPr>
            <w:tcW w:w="4583" w:type="dxa"/>
            <w:noWrap/>
            <w:vAlign w:val="center"/>
          </w:tcPr>
          <w:p w14:paraId="3AD04CA7">
            <w:pPr>
              <w:rPr>
                <w:rFonts w:hint="eastAsia" w:ascii="仿宋" w:hAnsi="仿宋" w:eastAsia="仿宋" w:cs="Times New Roman"/>
                <w:color w:val="auto"/>
                <w:kern w:val="28"/>
                <w:sz w:val="24"/>
                <w:szCs w:val="24"/>
                <w:lang w:val="en-US" w:eastAsia="zh-CN" w:bidi="ar-SA"/>
              </w:rPr>
            </w:pPr>
            <w:r>
              <w:rPr>
                <w:rFonts w:hint="eastAsia" w:ascii="仿宋" w:hAnsi="仿宋" w:eastAsia="仿宋" w:cs="仿宋"/>
                <w:color w:val="auto"/>
                <w:kern w:val="28"/>
                <w:sz w:val="24"/>
                <w:szCs w:val="24"/>
              </w:rPr>
              <w:t>投标人应提供《非联合体不分包投标声明》，视为独立投标，不分包。</w:t>
            </w:r>
          </w:p>
        </w:tc>
        <w:tc>
          <w:tcPr>
            <w:tcW w:w="748" w:type="dxa"/>
            <w:noWrap/>
            <w:vAlign w:val="center"/>
          </w:tcPr>
          <w:p w14:paraId="0989382C">
            <w:pPr>
              <w:rPr>
                <w:rFonts w:ascii="仿宋" w:hAnsi="仿宋" w:eastAsia="仿宋" w:cs="Times New Roman"/>
                <w:b/>
                <w:bCs/>
                <w:color w:val="auto"/>
                <w:sz w:val="24"/>
                <w:szCs w:val="24"/>
              </w:rPr>
            </w:pPr>
          </w:p>
        </w:tc>
        <w:tc>
          <w:tcPr>
            <w:tcW w:w="977" w:type="dxa"/>
            <w:noWrap/>
            <w:vAlign w:val="center"/>
          </w:tcPr>
          <w:p w14:paraId="0EDD07FC">
            <w:pPr>
              <w:rPr>
                <w:rFonts w:ascii="仿宋" w:hAnsi="仿宋" w:eastAsia="仿宋" w:cs="Times New Roman"/>
                <w:b/>
                <w:bCs/>
                <w:color w:val="auto"/>
                <w:sz w:val="24"/>
                <w:szCs w:val="24"/>
              </w:rPr>
            </w:pPr>
          </w:p>
        </w:tc>
      </w:tr>
      <w:tr w14:paraId="719BF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5" w:hRule="atLeast"/>
          <w:jc w:val="center"/>
        </w:trPr>
        <w:tc>
          <w:tcPr>
            <w:tcW w:w="8906" w:type="dxa"/>
            <w:gridSpan w:val="5"/>
            <w:noWrap/>
            <w:vAlign w:val="center"/>
          </w:tcPr>
          <w:p w14:paraId="471330FE">
            <w:pPr>
              <w:rPr>
                <w:rFonts w:ascii="仿宋" w:hAnsi="仿宋" w:eastAsia="仿宋" w:cs="Times New Roman"/>
                <w:b/>
                <w:bCs/>
                <w:color w:val="auto"/>
                <w:kern w:val="0"/>
                <w:sz w:val="24"/>
                <w:szCs w:val="24"/>
              </w:rPr>
            </w:pPr>
            <w:r>
              <w:rPr>
                <w:rFonts w:hint="eastAsia" w:ascii="仿宋" w:hAnsi="仿宋" w:eastAsia="仿宋" w:cs="仿宋"/>
                <w:b/>
                <w:bCs/>
                <w:color w:val="auto"/>
                <w:kern w:val="0"/>
                <w:sz w:val="24"/>
                <w:szCs w:val="24"/>
              </w:rPr>
              <w:t>资格审查小组成员：（签字或盖章）</w:t>
            </w:r>
          </w:p>
          <w:p w14:paraId="7F110019">
            <w:pPr>
              <w:rPr>
                <w:rFonts w:ascii="仿宋" w:hAnsi="仿宋" w:eastAsia="仿宋" w:cs="Times New Roman"/>
                <w:b/>
                <w:bCs/>
                <w:color w:val="auto"/>
                <w:sz w:val="24"/>
                <w:szCs w:val="24"/>
              </w:rPr>
            </w:pPr>
          </w:p>
        </w:tc>
      </w:tr>
    </w:tbl>
    <w:p w14:paraId="3FED6745">
      <w:pPr>
        <w:pStyle w:val="3"/>
        <w:spacing w:line="500" w:lineRule="exact"/>
        <w:rPr>
          <w:rFonts w:ascii="华文仿宋" w:cs="Times New Roman"/>
          <w:color w:val="auto"/>
          <w:sz w:val="28"/>
          <w:szCs w:val="28"/>
        </w:rPr>
      </w:pPr>
      <w:bookmarkStart w:id="471" w:name="_Toc22102"/>
      <w:bookmarkEnd w:id="471"/>
      <w:bookmarkStart w:id="472" w:name="_Toc3753"/>
      <w:bookmarkEnd w:id="472"/>
      <w:bookmarkStart w:id="473" w:name="_Toc2712"/>
      <w:bookmarkEnd w:id="473"/>
      <w:bookmarkStart w:id="474" w:name="_Toc32718"/>
      <w:bookmarkEnd w:id="474"/>
      <w:bookmarkStart w:id="475" w:name="_Toc8359"/>
      <w:bookmarkEnd w:id="475"/>
      <w:bookmarkStart w:id="476" w:name="_Toc18735"/>
      <w:bookmarkEnd w:id="476"/>
      <w:bookmarkStart w:id="477" w:name="_Toc14358"/>
      <w:bookmarkEnd w:id="477"/>
      <w:bookmarkStart w:id="478" w:name="_Toc16965"/>
      <w:bookmarkEnd w:id="478"/>
      <w:bookmarkStart w:id="479" w:name="_Toc3842"/>
      <w:bookmarkEnd w:id="479"/>
      <w:bookmarkStart w:id="480" w:name="_Toc25093"/>
      <w:bookmarkEnd w:id="480"/>
      <w:bookmarkStart w:id="481" w:name="_Toc1691"/>
      <w:bookmarkEnd w:id="481"/>
      <w:bookmarkStart w:id="482" w:name="_Toc28947"/>
      <w:bookmarkEnd w:id="482"/>
      <w:bookmarkStart w:id="483" w:name="_Toc27374"/>
      <w:bookmarkEnd w:id="483"/>
      <w:bookmarkStart w:id="484" w:name="_Toc2809"/>
      <w:bookmarkEnd w:id="484"/>
      <w:bookmarkStart w:id="485" w:name="_Toc22969"/>
      <w:bookmarkEnd w:id="485"/>
      <w:bookmarkStart w:id="486" w:name="_Toc3725"/>
      <w:bookmarkEnd w:id="486"/>
      <w:bookmarkStart w:id="487" w:name="_Toc26027"/>
      <w:bookmarkEnd w:id="487"/>
      <w:bookmarkStart w:id="488" w:name="_Toc29773"/>
      <w:bookmarkEnd w:id="488"/>
      <w:bookmarkStart w:id="489" w:name="_Toc5945"/>
      <w:bookmarkEnd w:id="489"/>
      <w:bookmarkStart w:id="490" w:name="_Toc28896"/>
      <w:bookmarkEnd w:id="490"/>
      <w:bookmarkStart w:id="491" w:name="_Toc25181"/>
      <w:bookmarkEnd w:id="491"/>
      <w:bookmarkStart w:id="492" w:name="_Toc1559"/>
      <w:bookmarkEnd w:id="492"/>
      <w:r>
        <w:rPr>
          <w:rFonts w:hint="eastAsia" w:ascii="华文仿宋" w:hAnsi="华文仿宋" w:cs="华文仿宋"/>
          <w:color w:val="auto"/>
          <w:sz w:val="28"/>
          <w:szCs w:val="28"/>
        </w:rPr>
        <w:t>二、符合性审查</w:t>
      </w:r>
    </w:p>
    <w:p w14:paraId="15C0285B">
      <w:pPr>
        <w:spacing w:line="500" w:lineRule="exact"/>
        <w:ind w:firstLine="566" w:firstLineChars="200"/>
        <w:jc w:val="center"/>
        <w:rPr>
          <w:rFonts w:cs="Times New Roman"/>
          <w:b/>
          <w:bCs/>
          <w:color w:val="auto"/>
        </w:rPr>
      </w:pPr>
      <w:r>
        <w:rPr>
          <w:rFonts w:hint="eastAsia" w:cs="华文仿宋"/>
          <w:b/>
          <w:bCs/>
          <w:color w:val="auto"/>
        </w:rPr>
        <w:t>符合性审查表</w:t>
      </w:r>
    </w:p>
    <w:tbl>
      <w:tblPr>
        <w:tblStyle w:val="29"/>
        <w:tblW w:w="90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3"/>
        <w:gridCol w:w="2460"/>
        <w:gridCol w:w="4200"/>
        <w:gridCol w:w="815"/>
        <w:gridCol w:w="990"/>
      </w:tblGrid>
      <w:tr w14:paraId="1EE359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73" w:type="dxa"/>
            <w:noWrap/>
            <w:vAlign w:val="center"/>
          </w:tcPr>
          <w:p w14:paraId="36661636">
            <w:pPr>
              <w:spacing w:line="320" w:lineRule="exact"/>
              <w:jc w:val="center"/>
              <w:rPr>
                <w:rFonts w:ascii="仿宋" w:hAnsi="仿宋" w:eastAsia="仿宋" w:cs="仿宋"/>
                <w:b/>
                <w:bCs/>
                <w:color w:val="auto"/>
                <w:kern w:val="0"/>
                <w:sz w:val="24"/>
                <w:szCs w:val="24"/>
              </w:rPr>
            </w:pPr>
            <w:bookmarkStart w:id="493" w:name="_Toc14948"/>
            <w:bookmarkStart w:id="494" w:name="_Toc11613"/>
            <w:bookmarkStart w:id="495" w:name="_Toc18874"/>
            <w:bookmarkStart w:id="496" w:name="_Toc31150"/>
            <w:bookmarkStart w:id="497" w:name="_Toc21485"/>
            <w:bookmarkStart w:id="498" w:name="_Toc2503"/>
            <w:bookmarkStart w:id="499" w:name="_Toc7523"/>
            <w:bookmarkStart w:id="500" w:name="_Toc12596"/>
            <w:bookmarkStart w:id="501" w:name="_Toc1938"/>
            <w:bookmarkStart w:id="502" w:name="_Toc32092"/>
            <w:bookmarkStart w:id="503" w:name="_Toc13418"/>
            <w:bookmarkStart w:id="504" w:name="_Toc2387"/>
            <w:bookmarkStart w:id="505" w:name="_Toc7872"/>
            <w:bookmarkStart w:id="506" w:name="_Toc22846"/>
            <w:bookmarkStart w:id="507" w:name="_Toc20615"/>
            <w:bookmarkStart w:id="508" w:name="_Toc32472"/>
            <w:bookmarkStart w:id="509" w:name="_Toc4245"/>
            <w:bookmarkStart w:id="510" w:name="_Toc31415"/>
            <w:r>
              <w:rPr>
                <w:rFonts w:hint="eastAsia" w:ascii="仿宋" w:hAnsi="仿宋" w:eastAsia="仿宋" w:cs="仿宋"/>
                <w:b/>
                <w:bCs/>
                <w:color w:val="auto"/>
                <w:kern w:val="0"/>
                <w:sz w:val="24"/>
                <w:szCs w:val="24"/>
              </w:rPr>
              <w:t>序号</w:t>
            </w:r>
          </w:p>
        </w:tc>
        <w:tc>
          <w:tcPr>
            <w:tcW w:w="2460" w:type="dxa"/>
            <w:noWrap/>
            <w:vAlign w:val="center"/>
          </w:tcPr>
          <w:p w14:paraId="28CD0BCE">
            <w:pPr>
              <w:spacing w:line="320" w:lineRule="exact"/>
              <w:jc w:val="center"/>
              <w:rPr>
                <w:rFonts w:ascii="仿宋" w:hAnsi="仿宋" w:eastAsia="仿宋" w:cs="仿宋"/>
                <w:b/>
                <w:bCs/>
                <w:color w:val="auto"/>
                <w:kern w:val="0"/>
                <w:sz w:val="24"/>
                <w:szCs w:val="24"/>
              </w:rPr>
            </w:pPr>
            <w:r>
              <w:rPr>
                <w:rFonts w:hint="eastAsia" w:ascii="仿宋" w:hAnsi="仿宋" w:eastAsia="仿宋" w:cs="仿宋"/>
                <w:b/>
                <w:bCs/>
                <w:color w:val="auto"/>
                <w:kern w:val="0"/>
                <w:sz w:val="24"/>
                <w:szCs w:val="24"/>
              </w:rPr>
              <w:t>符合性审查项</w:t>
            </w:r>
          </w:p>
        </w:tc>
        <w:tc>
          <w:tcPr>
            <w:tcW w:w="4200" w:type="dxa"/>
            <w:noWrap/>
            <w:vAlign w:val="center"/>
          </w:tcPr>
          <w:p w14:paraId="7D3C0477">
            <w:pPr>
              <w:spacing w:line="320" w:lineRule="exact"/>
              <w:jc w:val="center"/>
              <w:rPr>
                <w:rFonts w:ascii="仿宋" w:hAnsi="仿宋" w:eastAsia="仿宋" w:cs="仿宋"/>
                <w:b/>
                <w:bCs/>
                <w:color w:val="auto"/>
                <w:kern w:val="0"/>
                <w:sz w:val="24"/>
                <w:szCs w:val="24"/>
              </w:rPr>
            </w:pPr>
            <w:r>
              <w:rPr>
                <w:rFonts w:hint="eastAsia" w:ascii="仿宋" w:hAnsi="仿宋" w:eastAsia="仿宋" w:cs="仿宋"/>
                <w:b/>
                <w:bCs/>
                <w:color w:val="auto"/>
                <w:kern w:val="0"/>
                <w:sz w:val="24"/>
                <w:szCs w:val="24"/>
              </w:rPr>
              <w:t>通过条件</w:t>
            </w:r>
          </w:p>
        </w:tc>
        <w:tc>
          <w:tcPr>
            <w:tcW w:w="815" w:type="dxa"/>
            <w:noWrap/>
            <w:vAlign w:val="center"/>
          </w:tcPr>
          <w:p w14:paraId="0F30E7CB">
            <w:pPr>
              <w:spacing w:line="320" w:lineRule="exact"/>
              <w:jc w:val="center"/>
              <w:rPr>
                <w:rFonts w:ascii="仿宋" w:hAnsi="仿宋" w:eastAsia="仿宋" w:cs="仿宋"/>
                <w:b/>
                <w:bCs/>
                <w:color w:val="auto"/>
                <w:kern w:val="0"/>
                <w:sz w:val="24"/>
                <w:szCs w:val="24"/>
              </w:rPr>
            </w:pPr>
            <w:r>
              <w:rPr>
                <w:rFonts w:hint="eastAsia" w:ascii="仿宋" w:hAnsi="仿宋" w:eastAsia="仿宋" w:cs="仿宋"/>
                <w:b/>
                <w:bCs/>
                <w:color w:val="auto"/>
                <w:kern w:val="0"/>
                <w:sz w:val="24"/>
                <w:szCs w:val="24"/>
              </w:rPr>
              <w:t>结论</w:t>
            </w:r>
          </w:p>
        </w:tc>
        <w:tc>
          <w:tcPr>
            <w:tcW w:w="990" w:type="dxa"/>
            <w:noWrap/>
            <w:vAlign w:val="center"/>
          </w:tcPr>
          <w:p w14:paraId="18A17ECF">
            <w:pPr>
              <w:spacing w:line="320" w:lineRule="exact"/>
              <w:jc w:val="center"/>
              <w:rPr>
                <w:rFonts w:ascii="仿宋" w:hAnsi="仿宋" w:eastAsia="仿宋" w:cs="仿宋"/>
                <w:b/>
                <w:bCs/>
                <w:color w:val="auto"/>
                <w:kern w:val="0"/>
                <w:sz w:val="24"/>
                <w:szCs w:val="24"/>
              </w:rPr>
            </w:pPr>
            <w:r>
              <w:rPr>
                <w:rFonts w:hint="eastAsia" w:ascii="仿宋" w:hAnsi="仿宋" w:eastAsia="仿宋" w:cs="仿宋"/>
                <w:b/>
                <w:bCs/>
                <w:color w:val="auto"/>
                <w:kern w:val="0"/>
                <w:sz w:val="24"/>
                <w:szCs w:val="24"/>
              </w:rPr>
              <w:t>未通过原因</w:t>
            </w:r>
          </w:p>
        </w:tc>
      </w:tr>
      <w:tr w14:paraId="51352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573" w:type="dxa"/>
            <w:noWrap/>
            <w:vAlign w:val="center"/>
          </w:tcPr>
          <w:p w14:paraId="13477EF2">
            <w:pPr>
              <w:spacing w:line="320" w:lineRule="exact"/>
              <w:jc w:val="center"/>
              <w:rPr>
                <w:rFonts w:ascii="仿宋" w:hAnsi="仿宋" w:eastAsia="仿宋" w:cs="仿宋"/>
                <w:color w:val="auto"/>
                <w:kern w:val="0"/>
                <w:sz w:val="24"/>
                <w:szCs w:val="24"/>
              </w:rPr>
            </w:pPr>
            <w:r>
              <w:rPr>
                <w:rFonts w:hint="eastAsia" w:ascii="仿宋" w:hAnsi="仿宋" w:eastAsia="仿宋" w:cs="仿宋"/>
                <w:color w:val="auto"/>
                <w:kern w:val="0"/>
                <w:sz w:val="24"/>
                <w:szCs w:val="24"/>
              </w:rPr>
              <w:t>1</w:t>
            </w:r>
          </w:p>
        </w:tc>
        <w:tc>
          <w:tcPr>
            <w:tcW w:w="2460" w:type="dxa"/>
            <w:noWrap/>
            <w:vAlign w:val="center"/>
          </w:tcPr>
          <w:p w14:paraId="027E94D8">
            <w:pPr>
              <w:spacing w:line="320" w:lineRule="exact"/>
              <w:jc w:val="left"/>
              <w:rPr>
                <w:rFonts w:ascii="仿宋" w:hAnsi="仿宋" w:eastAsia="仿宋" w:cs="仿宋"/>
                <w:color w:val="auto"/>
                <w:kern w:val="0"/>
                <w:sz w:val="24"/>
                <w:szCs w:val="24"/>
              </w:rPr>
            </w:pPr>
            <w:r>
              <w:rPr>
                <w:rFonts w:hint="eastAsia" w:ascii="仿宋" w:hAnsi="仿宋" w:eastAsia="仿宋" w:cs="仿宋"/>
                <w:color w:val="auto"/>
                <w:kern w:val="0"/>
                <w:sz w:val="24"/>
                <w:szCs w:val="24"/>
              </w:rPr>
              <w:t>投标文件语言及有效期</w:t>
            </w:r>
          </w:p>
        </w:tc>
        <w:tc>
          <w:tcPr>
            <w:tcW w:w="4200" w:type="dxa"/>
            <w:noWrap/>
            <w:vAlign w:val="center"/>
          </w:tcPr>
          <w:p w14:paraId="1686A3B0">
            <w:pPr>
              <w:spacing w:line="320" w:lineRule="exact"/>
              <w:jc w:val="left"/>
              <w:rPr>
                <w:rFonts w:ascii="仿宋" w:hAnsi="仿宋" w:eastAsia="仿宋" w:cs="仿宋"/>
                <w:color w:val="auto"/>
                <w:sz w:val="24"/>
                <w:szCs w:val="24"/>
              </w:rPr>
            </w:pPr>
            <w:r>
              <w:rPr>
                <w:rFonts w:hint="eastAsia" w:ascii="仿宋" w:hAnsi="仿宋" w:eastAsia="仿宋" w:cs="仿宋"/>
                <w:color w:val="auto"/>
                <w:sz w:val="24"/>
                <w:szCs w:val="24"/>
              </w:rPr>
              <w:t>投标文件语言及有效期符合招标文件要求。</w:t>
            </w:r>
          </w:p>
        </w:tc>
        <w:tc>
          <w:tcPr>
            <w:tcW w:w="815" w:type="dxa"/>
            <w:noWrap/>
            <w:vAlign w:val="center"/>
          </w:tcPr>
          <w:p w14:paraId="0C169E6B">
            <w:pPr>
              <w:spacing w:line="320" w:lineRule="exact"/>
              <w:jc w:val="center"/>
              <w:rPr>
                <w:rFonts w:ascii="仿宋" w:hAnsi="仿宋" w:eastAsia="仿宋" w:cs="仿宋"/>
                <w:b/>
                <w:bCs/>
                <w:color w:val="auto"/>
                <w:kern w:val="0"/>
                <w:sz w:val="24"/>
                <w:szCs w:val="24"/>
              </w:rPr>
            </w:pPr>
          </w:p>
        </w:tc>
        <w:tc>
          <w:tcPr>
            <w:tcW w:w="990" w:type="dxa"/>
            <w:noWrap/>
            <w:vAlign w:val="center"/>
          </w:tcPr>
          <w:p w14:paraId="36C6C850">
            <w:pPr>
              <w:spacing w:line="320" w:lineRule="exact"/>
              <w:jc w:val="center"/>
              <w:rPr>
                <w:rFonts w:ascii="仿宋" w:hAnsi="仿宋" w:eastAsia="仿宋" w:cs="仿宋"/>
                <w:b/>
                <w:bCs/>
                <w:color w:val="auto"/>
                <w:kern w:val="0"/>
                <w:sz w:val="24"/>
                <w:szCs w:val="24"/>
              </w:rPr>
            </w:pPr>
          </w:p>
        </w:tc>
      </w:tr>
      <w:tr w14:paraId="2B776E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573" w:type="dxa"/>
            <w:noWrap/>
            <w:vAlign w:val="center"/>
          </w:tcPr>
          <w:p w14:paraId="16660D86">
            <w:pPr>
              <w:spacing w:line="320" w:lineRule="exact"/>
              <w:jc w:val="center"/>
              <w:rPr>
                <w:rFonts w:ascii="仿宋" w:hAnsi="仿宋" w:eastAsia="仿宋" w:cs="仿宋"/>
                <w:color w:val="auto"/>
                <w:kern w:val="0"/>
                <w:sz w:val="24"/>
                <w:szCs w:val="24"/>
              </w:rPr>
            </w:pPr>
            <w:r>
              <w:rPr>
                <w:rFonts w:hint="eastAsia" w:ascii="仿宋" w:hAnsi="仿宋" w:eastAsia="仿宋" w:cs="仿宋"/>
                <w:color w:val="auto"/>
                <w:kern w:val="0"/>
                <w:sz w:val="24"/>
                <w:szCs w:val="24"/>
              </w:rPr>
              <w:t>2</w:t>
            </w:r>
          </w:p>
        </w:tc>
        <w:tc>
          <w:tcPr>
            <w:tcW w:w="2460" w:type="dxa"/>
            <w:noWrap/>
            <w:vAlign w:val="center"/>
          </w:tcPr>
          <w:p w14:paraId="07D2E157">
            <w:pPr>
              <w:spacing w:line="320" w:lineRule="exact"/>
              <w:jc w:val="left"/>
              <w:rPr>
                <w:rFonts w:ascii="仿宋" w:hAnsi="仿宋" w:eastAsia="仿宋" w:cs="仿宋"/>
                <w:color w:val="auto"/>
                <w:kern w:val="0"/>
                <w:sz w:val="24"/>
                <w:szCs w:val="24"/>
              </w:rPr>
            </w:pPr>
            <w:r>
              <w:rPr>
                <w:rFonts w:hint="eastAsia" w:ascii="仿宋" w:hAnsi="仿宋" w:eastAsia="仿宋" w:cs="仿宋"/>
                <w:color w:val="auto"/>
                <w:kern w:val="0"/>
                <w:sz w:val="24"/>
                <w:szCs w:val="24"/>
              </w:rPr>
              <w:t>投标文件封面、投标函、法定代表人授权委托书三处的项目名称、项目编号、标段（如有）</w:t>
            </w:r>
          </w:p>
        </w:tc>
        <w:tc>
          <w:tcPr>
            <w:tcW w:w="4200" w:type="dxa"/>
            <w:noWrap/>
            <w:vAlign w:val="center"/>
          </w:tcPr>
          <w:p w14:paraId="365452ED">
            <w:pPr>
              <w:spacing w:line="320" w:lineRule="exact"/>
              <w:jc w:val="left"/>
              <w:rPr>
                <w:rFonts w:ascii="仿宋" w:hAnsi="仿宋" w:eastAsia="仿宋" w:cs="仿宋"/>
                <w:color w:val="auto"/>
                <w:kern w:val="0"/>
                <w:sz w:val="24"/>
                <w:szCs w:val="24"/>
              </w:rPr>
            </w:pPr>
            <w:r>
              <w:rPr>
                <w:rFonts w:hint="eastAsia" w:ascii="仿宋" w:hAnsi="仿宋" w:eastAsia="仿宋" w:cs="仿宋"/>
                <w:color w:val="auto"/>
                <w:kern w:val="0"/>
                <w:sz w:val="24"/>
                <w:szCs w:val="24"/>
              </w:rPr>
              <w:t>三处均无遗漏，且与所投项目名称、项目编号、标段（如有）一致。</w:t>
            </w:r>
          </w:p>
        </w:tc>
        <w:tc>
          <w:tcPr>
            <w:tcW w:w="815" w:type="dxa"/>
            <w:noWrap/>
            <w:vAlign w:val="center"/>
          </w:tcPr>
          <w:p w14:paraId="6ED9B539">
            <w:pPr>
              <w:spacing w:line="320" w:lineRule="exact"/>
              <w:jc w:val="center"/>
              <w:rPr>
                <w:rFonts w:ascii="仿宋" w:hAnsi="仿宋" w:eastAsia="仿宋" w:cs="仿宋"/>
                <w:b/>
                <w:bCs/>
                <w:color w:val="auto"/>
                <w:kern w:val="0"/>
                <w:sz w:val="24"/>
                <w:szCs w:val="24"/>
              </w:rPr>
            </w:pPr>
          </w:p>
        </w:tc>
        <w:tc>
          <w:tcPr>
            <w:tcW w:w="990" w:type="dxa"/>
            <w:noWrap/>
            <w:vAlign w:val="center"/>
          </w:tcPr>
          <w:p w14:paraId="4369EDFF">
            <w:pPr>
              <w:spacing w:line="320" w:lineRule="exact"/>
              <w:jc w:val="center"/>
              <w:rPr>
                <w:rFonts w:ascii="仿宋" w:hAnsi="仿宋" w:eastAsia="仿宋" w:cs="仿宋"/>
                <w:b/>
                <w:bCs/>
                <w:color w:val="auto"/>
                <w:kern w:val="0"/>
                <w:sz w:val="24"/>
                <w:szCs w:val="24"/>
              </w:rPr>
            </w:pPr>
          </w:p>
        </w:tc>
      </w:tr>
      <w:tr w14:paraId="222D6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73" w:type="dxa"/>
            <w:noWrap/>
            <w:vAlign w:val="center"/>
          </w:tcPr>
          <w:p w14:paraId="4DFB3016">
            <w:pPr>
              <w:spacing w:line="320" w:lineRule="exact"/>
              <w:jc w:val="center"/>
              <w:rPr>
                <w:rFonts w:ascii="仿宋" w:hAnsi="仿宋" w:eastAsia="仿宋" w:cs="仿宋"/>
                <w:color w:val="auto"/>
                <w:kern w:val="0"/>
                <w:sz w:val="24"/>
                <w:szCs w:val="24"/>
              </w:rPr>
            </w:pPr>
            <w:r>
              <w:rPr>
                <w:rFonts w:hint="eastAsia" w:ascii="仿宋" w:hAnsi="仿宋" w:eastAsia="仿宋" w:cs="仿宋"/>
                <w:color w:val="auto"/>
                <w:kern w:val="0"/>
                <w:sz w:val="24"/>
                <w:szCs w:val="24"/>
              </w:rPr>
              <w:t>3</w:t>
            </w:r>
          </w:p>
        </w:tc>
        <w:tc>
          <w:tcPr>
            <w:tcW w:w="2460" w:type="dxa"/>
            <w:noWrap/>
            <w:vAlign w:val="center"/>
          </w:tcPr>
          <w:p w14:paraId="63441381">
            <w:pPr>
              <w:spacing w:line="320" w:lineRule="exact"/>
              <w:jc w:val="left"/>
              <w:rPr>
                <w:rFonts w:ascii="仿宋" w:hAnsi="仿宋" w:eastAsia="仿宋" w:cs="仿宋"/>
                <w:color w:val="auto"/>
                <w:kern w:val="0"/>
                <w:sz w:val="24"/>
                <w:szCs w:val="24"/>
              </w:rPr>
            </w:pPr>
            <w:r>
              <w:rPr>
                <w:rFonts w:hint="eastAsia" w:ascii="仿宋" w:hAnsi="仿宋" w:eastAsia="仿宋" w:cs="仿宋"/>
                <w:color w:val="auto"/>
                <w:kern w:val="0"/>
                <w:sz w:val="24"/>
                <w:szCs w:val="24"/>
              </w:rPr>
              <w:t>投标文件签署、盖章</w:t>
            </w:r>
          </w:p>
        </w:tc>
        <w:tc>
          <w:tcPr>
            <w:tcW w:w="4200" w:type="dxa"/>
            <w:noWrap/>
            <w:vAlign w:val="center"/>
          </w:tcPr>
          <w:p w14:paraId="03DE6930">
            <w:pPr>
              <w:spacing w:line="320" w:lineRule="exact"/>
              <w:jc w:val="left"/>
              <w:rPr>
                <w:rFonts w:ascii="仿宋" w:hAnsi="仿宋" w:eastAsia="仿宋" w:cs="仿宋"/>
                <w:color w:val="auto"/>
                <w:kern w:val="0"/>
                <w:sz w:val="24"/>
                <w:szCs w:val="24"/>
              </w:rPr>
            </w:pPr>
            <w:r>
              <w:rPr>
                <w:rFonts w:hint="eastAsia" w:ascii="仿宋" w:hAnsi="仿宋" w:eastAsia="仿宋" w:cs="仿宋"/>
                <w:color w:val="auto"/>
                <w:sz w:val="24"/>
                <w:szCs w:val="24"/>
              </w:rPr>
              <w:t>均按招标文件要求签字、盖章（评分标准中要求提供的证明材料除外）。</w:t>
            </w:r>
          </w:p>
        </w:tc>
        <w:tc>
          <w:tcPr>
            <w:tcW w:w="815" w:type="dxa"/>
            <w:noWrap/>
            <w:vAlign w:val="center"/>
          </w:tcPr>
          <w:p w14:paraId="40D470D2">
            <w:pPr>
              <w:spacing w:line="320" w:lineRule="exact"/>
              <w:jc w:val="center"/>
              <w:rPr>
                <w:rFonts w:ascii="仿宋" w:hAnsi="仿宋" w:eastAsia="仿宋" w:cs="仿宋"/>
                <w:b/>
                <w:bCs/>
                <w:color w:val="auto"/>
                <w:kern w:val="0"/>
                <w:sz w:val="24"/>
                <w:szCs w:val="24"/>
              </w:rPr>
            </w:pPr>
          </w:p>
        </w:tc>
        <w:tc>
          <w:tcPr>
            <w:tcW w:w="990" w:type="dxa"/>
            <w:noWrap/>
            <w:vAlign w:val="center"/>
          </w:tcPr>
          <w:p w14:paraId="07F0C253">
            <w:pPr>
              <w:spacing w:line="320" w:lineRule="exact"/>
              <w:jc w:val="center"/>
              <w:rPr>
                <w:rFonts w:ascii="仿宋" w:hAnsi="仿宋" w:eastAsia="仿宋" w:cs="仿宋"/>
                <w:b/>
                <w:bCs/>
                <w:color w:val="auto"/>
                <w:kern w:val="0"/>
                <w:sz w:val="24"/>
                <w:szCs w:val="24"/>
              </w:rPr>
            </w:pPr>
          </w:p>
        </w:tc>
      </w:tr>
      <w:tr w14:paraId="7E3F5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0" w:hRule="atLeast"/>
          <w:jc w:val="center"/>
        </w:trPr>
        <w:tc>
          <w:tcPr>
            <w:tcW w:w="573" w:type="dxa"/>
            <w:noWrap/>
            <w:vAlign w:val="center"/>
          </w:tcPr>
          <w:p w14:paraId="5B300D61">
            <w:pPr>
              <w:spacing w:line="320" w:lineRule="exact"/>
              <w:jc w:val="center"/>
              <w:rPr>
                <w:rFonts w:ascii="仿宋" w:hAnsi="仿宋" w:eastAsia="仿宋" w:cs="仿宋"/>
                <w:color w:val="auto"/>
                <w:kern w:val="0"/>
                <w:sz w:val="24"/>
                <w:szCs w:val="24"/>
              </w:rPr>
            </w:pPr>
            <w:r>
              <w:rPr>
                <w:rFonts w:hint="eastAsia" w:ascii="仿宋" w:hAnsi="仿宋" w:eastAsia="仿宋" w:cs="仿宋"/>
                <w:color w:val="auto"/>
                <w:kern w:val="0"/>
                <w:sz w:val="24"/>
                <w:szCs w:val="24"/>
              </w:rPr>
              <w:t>4</w:t>
            </w:r>
          </w:p>
        </w:tc>
        <w:tc>
          <w:tcPr>
            <w:tcW w:w="2460" w:type="dxa"/>
            <w:noWrap/>
            <w:vAlign w:val="center"/>
          </w:tcPr>
          <w:p w14:paraId="43BD4319">
            <w:pPr>
              <w:spacing w:line="320" w:lineRule="exact"/>
              <w:jc w:val="center"/>
              <w:rPr>
                <w:rFonts w:ascii="仿宋" w:hAnsi="仿宋" w:eastAsia="仿宋" w:cs="仿宋"/>
                <w:color w:val="auto"/>
                <w:kern w:val="0"/>
                <w:sz w:val="24"/>
                <w:szCs w:val="24"/>
              </w:rPr>
            </w:pPr>
            <w:r>
              <w:rPr>
                <w:rFonts w:hint="eastAsia" w:ascii="仿宋" w:hAnsi="仿宋" w:eastAsia="仿宋" w:cs="仿宋"/>
                <w:color w:val="auto"/>
                <w:kern w:val="0"/>
                <w:sz w:val="24"/>
                <w:szCs w:val="24"/>
              </w:rPr>
              <w:t>开标一览表</w:t>
            </w:r>
          </w:p>
        </w:tc>
        <w:tc>
          <w:tcPr>
            <w:tcW w:w="4200" w:type="dxa"/>
            <w:noWrap/>
            <w:vAlign w:val="center"/>
          </w:tcPr>
          <w:p w14:paraId="56C7D2EB">
            <w:pPr>
              <w:spacing w:line="320" w:lineRule="exact"/>
              <w:rPr>
                <w:rFonts w:ascii="仿宋" w:hAnsi="仿宋" w:eastAsia="仿宋" w:cs="仿宋"/>
                <w:color w:val="auto"/>
                <w:kern w:val="0"/>
                <w:sz w:val="24"/>
                <w:szCs w:val="24"/>
              </w:rPr>
            </w:pPr>
            <w:r>
              <w:rPr>
                <w:rFonts w:hint="eastAsia" w:ascii="仿宋" w:hAnsi="仿宋" w:eastAsia="仿宋" w:cs="仿宋"/>
                <w:color w:val="auto"/>
                <w:kern w:val="0"/>
                <w:sz w:val="24"/>
                <w:szCs w:val="24"/>
              </w:rPr>
              <w:t>（1）投标报价符合唯一性要求：</w:t>
            </w:r>
          </w:p>
          <w:p w14:paraId="7DDFF935">
            <w:pPr>
              <w:spacing w:line="320" w:lineRule="exact"/>
              <w:rPr>
                <w:rFonts w:ascii="仿宋" w:hAnsi="仿宋" w:eastAsia="仿宋" w:cs="仿宋"/>
                <w:color w:val="auto"/>
                <w:kern w:val="0"/>
                <w:sz w:val="24"/>
                <w:szCs w:val="24"/>
              </w:rPr>
            </w:pPr>
            <w:r>
              <w:rPr>
                <w:rFonts w:hint="eastAsia" w:ascii="仿宋" w:hAnsi="仿宋" w:eastAsia="仿宋" w:cs="仿宋"/>
                <w:color w:val="auto"/>
                <w:kern w:val="0"/>
                <w:sz w:val="24"/>
                <w:szCs w:val="24"/>
              </w:rPr>
              <w:t>（2）开标一览表填写符合要求；</w:t>
            </w:r>
          </w:p>
          <w:p w14:paraId="0CC11950">
            <w:pPr>
              <w:spacing w:line="320" w:lineRule="exact"/>
              <w:rPr>
                <w:rFonts w:ascii="仿宋" w:hAnsi="仿宋" w:eastAsia="仿宋" w:cs="仿宋"/>
                <w:color w:val="auto"/>
                <w:kern w:val="0"/>
                <w:sz w:val="24"/>
                <w:szCs w:val="24"/>
              </w:rPr>
            </w:pPr>
            <w:r>
              <w:rPr>
                <w:rFonts w:hint="eastAsia" w:ascii="仿宋" w:hAnsi="仿宋" w:eastAsia="仿宋" w:cs="仿宋"/>
                <w:color w:val="auto"/>
                <w:kern w:val="0"/>
                <w:sz w:val="24"/>
                <w:szCs w:val="24"/>
              </w:rPr>
              <w:t>（3）计量单位、报价货币均符合招标文件要求；</w:t>
            </w:r>
          </w:p>
          <w:p w14:paraId="0B505E49">
            <w:pPr>
              <w:spacing w:line="320" w:lineRule="exact"/>
              <w:jc w:val="left"/>
              <w:rPr>
                <w:rFonts w:ascii="仿宋" w:hAnsi="仿宋" w:eastAsia="仿宋" w:cs="仿宋"/>
                <w:color w:val="auto"/>
              </w:rPr>
            </w:pPr>
            <w:r>
              <w:rPr>
                <w:rFonts w:hint="eastAsia" w:ascii="仿宋" w:hAnsi="仿宋" w:eastAsia="仿宋" w:cs="仿宋"/>
                <w:color w:val="auto"/>
                <w:kern w:val="0"/>
                <w:sz w:val="24"/>
                <w:szCs w:val="24"/>
              </w:rPr>
              <w:t>（4）未超出采购预算或招标文件规定的最高限价。</w:t>
            </w:r>
          </w:p>
        </w:tc>
        <w:tc>
          <w:tcPr>
            <w:tcW w:w="815" w:type="dxa"/>
            <w:noWrap/>
            <w:vAlign w:val="center"/>
          </w:tcPr>
          <w:p w14:paraId="59EA7145">
            <w:pPr>
              <w:spacing w:line="320" w:lineRule="exact"/>
              <w:jc w:val="center"/>
              <w:rPr>
                <w:rFonts w:ascii="仿宋" w:hAnsi="仿宋" w:eastAsia="仿宋" w:cs="仿宋"/>
                <w:b/>
                <w:bCs/>
                <w:color w:val="auto"/>
                <w:kern w:val="0"/>
                <w:sz w:val="24"/>
                <w:szCs w:val="24"/>
              </w:rPr>
            </w:pPr>
          </w:p>
        </w:tc>
        <w:tc>
          <w:tcPr>
            <w:tcW w:w="990" w:type="dxa"/>
            <w:noWrap/>
            <w:vAlign w:val="center"/>
          </w:tcPr>
          <w:p w14:paraId="317FFDD2">
            <w:pPr>
              <w:spacing w:line="320" w:lineRule="exact"/>
              <w:jc w:val="center"/>
              <w:rPr>
                <w:rFonts w:ascii="仿宋" w:hAnsi="仿宋" w:eastAsia="仿宋" w:cs="仿宋"/>
                <w:b/>
                <w:bCs/>
                <w:color w:val="auto"/>
                <w:kern w:val="0"/>
                <w:sz w:val="24"/>
                <w:szCs w:val="24"/>
              </w:rPr>
            </w:pPr>
          </w:p>
        </w:tc>
      </w:tr>
      <w:tr w14:paraId="51B54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0" w:hRule="atLeast"/>
          <w:jc w:val="center"/>
        </w:trPr>
        <w:tc>
          <w:tcPr>
            <w:tcW w:w="573" w:type="dxa"/>
            <w:noWrap/>
            <w:vAlign w:val="center"/>
          </w:tcPr>
          <w:p w14:paraId="3BF794C3">
            <w:pPr>
              <w:spacing w:line="320" w:lineRule="exact"/>
              <w:jc w:val="center"/>
              <w:rPr>
                <w:rFonts w:ascii="仿宋" w:hAnsi="仿宋" w:eastAsia="仿宋" w:cs="仿宋"/>
                <w:color w:val="auto"/>
                <w:kern w:val="0"/>
                <w:sz w:val="24"/>
                <w:szCs w:val="24"/>
              </w:rPr>
            </w:pPr>
            <w:r>
              <w:rPr>
                <w:rFonts w:hint="eastAsia" w:ascii="仿宋" w:hAnsi="仿宋" w:eastAsia="仿宋" w:cs="仿宋"/>
                <w:color w:val="auto"/>
                <w:kern w:val="0"/>
                <w:sz w:val="24"/>
                <w:szCs w:val="24"/>
              </w:rPr>
              <w:t>5</w:t>
            </w:r>
          </w:p>
        </w:tc>
        <w:tc>
          <w:tcPr>
            <w:tcW w:w="2460" w:type="dxa"/>
            <w:noWrap/>
            <w:vAlign w:val="center"/>
          </w:tcPr>
          <w:p w14:paraId="359D0F05">
            <w:pPr>
              <w:spacing w:line="360" w:lineRule="exact"/>
              <w:jc w:val="center"/>
              <w:rPr>
                <w:rFonts w:ascii="仿宋" w:hAnsi="仿宋" w:eastAsia="仿宋" w:cs="仿宋"/>
                <w:color w:val="auto"/>
                <w:sz w:val="24"/>
                <w:szCs w:val="24"/>
              </w:rPr>
            </w:pPr>
            <w:r>
              <w:rPr>
                <w:rFonts w:hint="eastAsia" w:ascii="仿宋" w:hAnsi="仿宋" w:eastAsia="仿宋" w:cs="仿宋"/>
                <w:color w:val="auto"/>
                <w:kern w:val="0"/>
                <w:sz w:val="24"/>
                <w:szCs w:val="24"/>
              </w:rPr>
              <w:t>供应商承诺书</w:t>
            </w:r>
          </w:p>
        </w:tc>
        <w:tc>
          <w:tcPr>
            <w:tcW w:w="4200" w:type="dxa"/>
            <w:noWrap/>
            <w:vAlign w:val="center"/>
          </w:tcPr>
          <w:p w14:paraId="2DE04274">
            <w:pPr>
              <w:spacing w:line="370" w:lineRule="exact"/>
              <w:jc w:val="left"/>
              <w:rPr>
                <w:rFonts w:ascii="仿宋" w:hAnsi="仿宋" w:eastAsia="仿宋" w:cs="仿宋"/>
                <w:color w:val="auto"/>
                <w:sz w:val="24"/>
                <w:szCs w:val="24"/>
              </w:rPr>
            </w:pPr>
            <w:r>
              <w:rPr>
                <w:rFonts w:hint="eastAsia" w:ascii="仿宋" w:hAnsi="仿宋" w:eastAsia="仿宋" w:cs="仿宋"/>
                <w:color w:val="auto"/>
                <w:kern w:val="0"/>
                <w:sz w:val="24"/>
                <w:szCs w:val="24"/>
              </w:rPr>
              <w:t>完全理解并接受《质量安全责任承诺书》、《拒绝政府采购领域商业贿赂承诺书》</w:t>
            </w:r>
            <w:r>
              <w:rPr>
                <w:rFonts w:hint="eastAsia" w:ascii="仿宋" w:hAnsi="仿宋" w:eastAsia="仿宋" w:cs="仿宋"/>
                <w:color w:val="auto"/>
                <w:kern w:val="0"/>
                <w:sz w:val="24"/>
                <w:szCs w:val="24"/>
                <w:lang w:val="en-US" w:eastAsia="zh-CN"/>
              </w:rPr>
              <w:t>等全部承诺书</w:t>
            </w:r>
            <w:r>
              <w:rPr>
                <w:rFonts w:hint="eastAsia" w:ascii="仿宋" w:hAnsi="仿宋" w:eastAsia="仿宋" w:cs="仿宋"/>
                <w:color w:val="auto"/>
                <w:kern w:val="0"/>
                <w:sz w:val="24"/>
                <w:szCs w:val="24"/>
              </w:rPr>
              <w:t>。</w:t>
            </w:r>
          </w:p>
        </w:tc>
        <w:tc>
          <w:tcPr>
            <w:tcW w:w="815" w:type="dxa"/>
            <w:noWrap/>
            <w:vAlign w:val="center"/>
          </w:tcPr>
          <w:p w14:paraId="407E9C6F">
            <w:pPr>
              <w:spacing w:line="320" w:lineRule="exact"/>
              <w:jc w:val="center"/>
              <w:rPr>
                <w:rFonts w:ascii="仿宋" w:hAnsi="仿宋" w:eastAsia="仿宋" w:cs="仿宋"/>
                <w:b/>
                <w:bCs/>
                <w:color w:val="auto"/>
                <w:kern w:val="0"/>
                <w:sz w:val="24"/>
                <w:szCs w:val="24"/>
              </w:rPr>
            </w:pPr>
          </w:p>
        </w:tc>
        <w:tc>
          <w:tcPr>
            <w:tcW w:w="990" w:type="dxa"/>
            <w:noWrap/>
            <w:vAlign w:val="center"/>
          </w:tcPr>
          <w:p w14:paraId="1B2DB5A1">
            <w:pPr>
              <w:spacing w:line="320" w:lineRule="exact"/>
              <w:jc w:val="center"/>
              <w:rPr>
                <w:rFonts w:ascii="仿宋" w:hAnsi="仿宋" w:eastAsia="仿宋" w:cs="仿宋"/>
                <w:b/>
                <w:bCs/>
                <w:color w:val="auto"/>
                <w:kern w:val="0"/>
                <w:sz w:val="24"/>
                <w:szCs w:val="24"/>
              </w:rPr>
            </w:pPr>
          </w:p>
        </w:tc>
      </w:tr>
      <w:tr w14:paraId="70C2D1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73" w:type="dxa"/>
            <w:noWrap/>
            <w:vAlign w:val="center"/>
          </w:tcPr>
          <w:p w14:paraId="11100101">
            <w:pPr>
              <w:spacing w:line="320" w:lineRule="exact"/>
              <w:jc w:val="center"/>
              <w:rPr>
                <w:rFonts w:ascii="仿宋" w:hAnsi="仿宋" w:eastAsia="仿宋" w:cs="仿宋"/>
                <w:color w:val="auto"/>
                <w:kern w:val="0"/>
                <w:sz w:val="24"/>
                <w:szCs w:val="24"/>
              </w:rPr>
            </w:pPr>
            <w:r>
              <w:rPr>
                <w:rFonts w:hint="eastAsia" w:ascii="仿宋" w:hAnsi="仿宋" w:eastAsia="仿宋" w:cs="仿宋"/>
                <w:color w:val="auto"/>
                <w:kern w:val="0"/>
                <w:sz w:val="24"/>
                <w:szCs w:val="24"/>
              </w:rPr>
              <w:t>6</w:t>
            </w:r>
          </w:p>
        </w:tc>
        <w:tc>
          <w:tcPr>
            <w:tcW w:w="2460" w:type="dxa"/>
            <w:noWrap/>
            <w:vAlign w:val="center"/>
          </w:tcPr>
          <w:p w14:paraId="302DB3D0">
            <w:pPr>
              <w:spacing w:line="360" w:lineRule="exact"/>
              <w:jc w:val="center"/>
              <w:rPr>
                <w:rFonts w:ascii="仿宋" w:hAnsi="仿宋" w:eastAsia="仿宋" w:cs="仿宋"/>
                <w:color w:val="auto"/>
                <w:kern w:val="0"/>
                <w:sz w:val="24"/>
                <w:szCs w:val="24"/>
              </w:rPr>
            </w:pPr>
            <w:r>
              <w:rPr>
                <w:rFonts w:hint="eastAsia" w:ascii="仿宋" w:hAnsi="仿宋" w:eastAsia="仿宋" w:cs="仿宋"/>
                <w:color w:val="auto"/>
                <w:sz w:val="24"/>
                <w:szCs w:val="24"/>
              </w:rPr>
              <w:t>技术服务要求</w:t>
            </w:r>
          </w:p>
        </w:tc>
        <w:tc>
          <w:tcPr>
            <w:tcW w:w="4200" w:type="dxa"/>
            <w:noWrap/>
            <w:vAlign w:val="center"/>
          </w:tcPr>
          <w:p w14:paraId="2508BA80">
            <w:pPr>
              <w:spacing w:line="370" w:lineRule="exact"/>
              <w:jc w:val="left"/>
              <w:rPr>
                <w:rFonts w:ascii="仿宋" w:hAnsi="仿宋" w:eastAsia="仿宋" w:cs="仿宋"/>
                <w:color w:val="auto"/>
                <w:kern w:val="0"/>
                <w:sz w:val="24"/>
                <w:szCs w:val="24"/>
              </w:rPr>
            </w:pPr>
            <w:r>
              <w:rPr>
                <w:rFonts w:hint="eastAsia" w:ascii="仿宋" w:hAnsi="仿宋" w:eastAsia="仿宋" w:cs="仿宋"/>
                <w:color w:val="auto"/>
                <w:kern w:val="0"/>
                <w:sz w:val="24"/>
                <w:szCs w:val="24"/>
              </w:rPr>
              <w:t>完全理解并接受对合格投标人、合格的货物、工程或服务要求，根据投标人投标文件《技术服务偏差表》，结合招标文件第四章实质性要求没有负偏离。</w:t>
            </w:r>
          </w:p>
        </w:tc>
        <w:tc>
          <w:tcPr>
            <w:tcW w:w="815" w:type="dxa"/>
            <w:noWrap/>
            <w:vAlign w:val="center"/>
          </w:tcPr>
          <w:p w14:paraId="041E0904">
            <w:pPr>
              <w:spacing w:line="320" w:lineRule="exact"/>
              <w:jc w:val="center"/>
              <w:rPr>
                <w:rFonts w:ascii="仿宋" w:hAnsi="仿宋" w:eastAsia="仿宋" w:cs="仿宋"/>
                <w:b/>
                <w:bCs/>
                <w:color w:val="auto"/>
                <w:kern w:val="0"/>
                <w:sz w:val="24"/>
                <w:szCs w:val="24"/>
              </w:rPr>
            </w:pPr>
          </w:p>
        </w:tc>
        <w:tc>
          <w:tcPr>
            <w:tcW w:w="990" w:type="dxa"/>
            <w:noWrap/>
            <w:vAlign w:val="center"/>
          </w:tcPr>
          <w:p w14:paraId="25F30071">
            <w:pPr>
              <w:spacing w:line="320" w:lineRule="exact"/>
              <w:jc w:val="center"/>
              <w:rPr>
                <w:rFonts w:ascii="仿宋" w:hAnsi="仿宋" w:eastAsia="仿宋" w:cs="仿宋"/>
                <w:b/>
                <w:bCs/>
                <w:color w:val="auto"/>
                <w:kern w:val="0"/>
                <w:sz w:val="24"/>
                <w:szCs w:val="24"/>
              </w:rPr>
            </w:pPr>
          </w:p>
        </w:tc>
      </w:tr>
      <w:tr w14:paraId="34ACE5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73" w:type="dxa"/>
            <w:noWrap/>
            <w:vAlign w:val="center"/>
          </w:tcPr>
          <w:p w14:paraId="70F49D3C">
            <w:pPr>
              <w:spacing w:line="320" w:lineRule="exact"/>
              <w:jc w:val="center"/>
              <w:rPr>
                <w:rFonts w:ascii="仿宋" w:hAnsi="仿宋" w:eastAsia="仿宋" w:cs="仿宋"/>
                <w:color w:val="auto"/>
                <w:kern w:val="0"/>
                <w:sz w:val="24"/>
                <w:szCs w:val="24"/>
              </w:rPr>
            </w:pPr>
            <w:r>
              <w:rPr>
                <w:rFonts w:hint="eastAsia" w:ascii="仿宋" w:hAnsi="仿宋" w:eastAsia="仿宋" w:cs="仿宋"/>
                <w:color w:val="auto"/>
                <w:kern w:val="0"/>
                <w:sz w:val="24"/>
                <w:szCs w:val="24"/>
              </w:rPr>
              <w:t>7</w:t>
            </w:r>
          </w:p>
        </w:tc>
        <w:tc>
          <w:tcPr>
            <w:tcW w:w="2460" w:type="dxa"/>
            <w:noWrap/>
            <w:vAlign w:val="center"/>
          </w:tcPr>
          <w:p w14:paraId="14F222BC">
            <w:pPr>
              <w:spacing w:line="360" w:lineRule="exact"/>
              <w:jc w:val="center"/>
              <w:rPr>
                <w:rFonts w:ascii="仿宋" w:hAnsi="仿宋" w:eastAsia="仿宋" w:cs="仿宋"/>
                <w:color w:val="auto"/>
                <w:kern w:val="0"/>
                <w:sz w:val="24"/>
                <w:szCs w:val="24"/>
              </w:rPr>
            </w:pPr>
            <w:r>
              <w:rPr>
                <w:rFonts w:hint="eastAsia" w:ascii="仿宋" w:hAnsi="仿宋" w:eastAsia="仿宋" w:cs="仿宋"/>
                <w:color w:val="auto"/>
                <w:sz w:val="24"/>
                <w:szCs w:val="24"/>
              </w:rPr>
              <w:t>无其他招标文件或法规明确规定响应无效的事项</w:t>
            </w:r>
          </w:p>
        </w:tc>
        <w:tc>
          <w:tcPr>
            <w:tcW w:w="4200" w:type="dxa"/>
            <w:noWrap/>
            <w:vAlign w:val="center"/>
          </w:tcPr>
          <w:p w14:paraId="147AF444">
            <w:pPr>
              <w:spacing w:line="370" w:lineRule="exact"/>
              <w:jc w:val="left"/>
              <w:rPr>
                <w:rFonts w:ascii="仿宋" w:hAnsi="仿宋" w:eastAsia="仿宋" w:cs="仿宋"/>
                <w:color w:val="auto"/>
                <w:kern w:val="0"/>
                <w:sz w:val="24"/>
                <w:szCs w:val="24"/>
              </w:rPr>
            </w:pPr>
            <w:r>
              <w:rPr>
                <w:rFonts w:hint="eastAsia" w:ascii="仿宋" w:hAnsi="仿宋" w:eastAsia="仿宋" w:cs="仿宋"/>
                <w:color w:val="auto"/>
                <w:sz w:val="24"/>
                <w:szCs w:val="24"/>
              </w:rPr>
              <w:t>没有不符合招标文件规定的被视为无效响应的其他条款。</w:t>
            </w:r>
          </w:p>
        </w:tc>
        <w:tc>
          <w:tcPr>
            <w:tcW w:w="815" w:type="dxa"/>
            <w:noWrap/>
            <w:vAlign w:val="center"/>
          </w:tcPr>
          <w:p w14:paraId="21B53234">
            <w:pPr>
              <w:spacing w:line="320" w:lineRule="exact"/>
              <w:jc w:val="center"/>
              <w:rPr>
                <w:rFonts w:ascii="仿宋" w:hAnsi="仿宋" w:eastAsia="仿宋" w:cs="仿宋"/>
                <w:b/>
                <w:bCs/>
                <w:color w:val="auto"/>
                <w:kern w:val="0"/>
                <w:sz w:val="24"/>
                <w:szCs w:val="24"/>
              </w:rPr>
            </w:pPr>
          </w:p>
        </w:tc>
        <w:tc>
          <w:tcPr>
            <w:tcW w:w="990" w:type="dxa"/>
            <w:noWrap/>
            <w:vAlign w:val="center"/>
          </w:tcPr>
          <w:p w14:paraId="0B722013">
            <w:pPr>
              <w:spacing w:line="320" w:lineRule="exact"/>
              <w:jc w:val="center"/>
              <w:rPr>
                <w:rFonts w:ascii="仿宋" w:hAnsi="仿宋" w:eastAsia="仿宋" w:cs="仿宋"/>
                <w:b/>
                <w:bCs/>
                <w:color w:val="auto"/>
                <w:kern w:val="0"/>
                <w:sz w:val="24"/>
                <w:szCs w:val="24"/>
              </w:rPr>
            </w:pPr>
          </w:p>
        </w:tc>
      </w:tr>
      <w:tr w14:paraId="3B384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573" w:type="dxa"/>
            <w:noWrap/>
            <w:vAlign w:val="center"/>
          </w:tcPr>
          <w:p w14:paraId="39D892F5">
            <w:pPr>
              <w:spacing w:line="320" w:lineRule="exact"/>
              <w:jc w:val="center"/>
              <w:rPr>
                <w:rFonts w:ascii="仿宋" w:hAnsi="仿宋" w:eastAsia="仿宋" w:cs="仿宋"/>
                <w:color w:val="auto"/>
                <w:kern w:val="0"/>
                <w:sz w:val="24"/>
                <w:szCs w:val="24"/>
              </w:rPr>
            </w:pPr>
            <w:r>
              <w:rPr>
                <w:rFonts w:hint="eastAsia" w:ascii="仿宋" w:hAnsi="仿宋" w:eastAsia="仿宋" w:cs="仿宋"/>
                <w:color w:val="auto"/>
                <w:kern w:val="0"/>
                <w:sz w:val="24"/>
                <w:szCs w:val="24"/>
              </w:rPr>
              <w:t>8</w:t>
            </w:r>
          </w:p>
        </w:tc>
        <w:tc>
          <w:tcPr>
            <w:tcW w:w="2460" w:type="dxa"/>
            <w:noWrap/>
            <w:vAlign w:val="center"/>
          </w:tcPr>
          <w:p w14:paraId="398DB4E1">
            <w:pPr>
              <w:spacing w:line="320" w:lineRule="exact"/>
              <w:jc w:val="center"/>
              <w:rPr>
                <w:rFonts w:ascii="仿宋" w:hAnsi="仿宋" w:eastAsia="仿宋" w:cs="仿宋"/>
                <w:color w:val="auto"/>
                <w:kern w:val="0"/>
                <w:sz w:val="24"/>
                <w:szCs w:val="24"/>
              </w:rPr>
            </w:pPr>
            <w:r>
              <w:rPr>
                <w:rFonts w:hint="eastAsia" w:ascii="仿宋" w:hAnsi="仿宋" w:eastAsia="仿宋" w:cs="仿宋"/>
                <w:color w:val="auto"/>
                <w:kern w:val="0"/>
                <w:sz w:val="24"/>
                <w:szCs w:val="24"/>
              </w:rPr>
              <w:t>合同条款响应</w:t>
            </w:r>
          </w:p>
        </w:tc>
        <w:tc>
          <w:tcPr>
            <w:tcW w:w="4200" w:type="dxa"/>
            <w:noWrap/>
            <w:vAlign w:val="center"/>
          </w:tcPr>
          <w:p w14:paraId="01503241">
            <w:pPr>
              <w:spacing w:line="320" w:lineRule="exact"/>
              <w:rPr>
                <w:rFonts w:ascii="仿宋" w:hAnsi="仿宋" w:eastAsia="仿宋" w:cs="仿宋"/>
                <w:color w:val="auto"/>
                <w:sz w:val="24"/>
                <w:szCs w:val="24"/>
              </w:rPr>
            </w:pPr>
            <w:r>
              <w:rPr>
                <w:rFonts w:hint="eastAsia" w:ascii="仿宋" w:hAnsi="仿宋" w:eastAsia="仿宋" w:cs="仿宋"/>
                <w:color w:val="auto"/>
                <w:sz w:val="24"/>
                <w:szCs w:val="24"/>
              </w:rPr>
              <w:t>有完全理解并接受招标文件合同条款要求的描述。</w:t>
            </w:r>
          </w:p>
        </w:tc>
        <w:tc>
          <w:tcPr>
            <w:tcW w:w="815" w:type="dxa"/>
            <w:noWrap/>
            <w:vAlign w:val="center"/>
          </w:tcPr>
          <w:p w14:paraId="2C20A5C7">
            <w:pPr>
              <w:spacing w:line="320" w:lineRule="exact"/>
              <w:jc w:val="center"/>
              <w:rPr>
                <w:rFonts w:ascii="仿宋" w:hAnsi="仿宋" w:eastAsia="仿宋" w:cs="仿宋"/>
                <w:b/>
                <w:bCs/>
                <w:color w:val="auto"/>
                <w:kern w:val="0"/>
                <w:sz w:val="24"/>
                <w:szCs w:val="24"/>
              </w:rPr>
            </w:pPr>
          </w:p>
        </w:tc>
        <w:tc>
          <w:tcPr>
            <w:tcW w:w="990" w:type="dxa"/>
            <w:noWrap/>
            <w:vAlign w:val="center"/>
          </w:tcPr>
          <w:p w14:paraId="77B9CBD9">
            <w:pPr>
              <w:spacing w:line="320" w:lineRule="exact"/>
              <w:jc w:val="center"/>
              <w:rPr>
                <w:rFonts w:ascii="仿宋" w:hAnsi="仿宋" w:eastAsia="仿宋" w:cs="仿宋"/>
                <w:b/>
                <w:bCs/>
                <w:color w:val="auto"/>
                <w:kern w:val="0"/>
                <w:sz w:val="24"/>
                <w:szCs w:val="24"/>
              </w:rPr>
            </w:pPr>
          </w:p>
        </w:tc>
      </w:tr>
      <w:tr w14:paraId="34AF4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8" w:hRule="atLeast"/>
          <w:jc w:val="center"/>
        </w:trPr>
        <w:tc>
          <w:tcPr>
            <w:tcW w:w="9038" w:type="dxa"/>
            <w:gridSpan w:val="5"/>
            <w:noWrap/>
            <w:vAlign w:val="center"/>
          </w:tcPr>
          <w:p w14:paraId="11B62312">
            <w:pPr>
              <w:spacing w:line="240" w:lineRule="auto"/>
              <w:rPr>
                <w:rFonts w:ascii="仿宋" w:hAnsi="仿宋" w:eastAsia="仿宋" w:cs="仿宋"/>
                <w:b/>
                <w:bCs/>
                <w:color w:val="auto"/>
                <w:kern w:val="0"/>
                <w:sz w:val="24"/>
                <w:szCs w:val="24"/>
              </w:rPr>
            </w:pPr>
            <w:r>
              <w:rPr>
                <w:rFonts w:hint="eastAsia" w:ascii="仿宋" w:hAnsi="仿宋" w:eastAsia="仿宋" w:cs="仿宋"/>
                <w:b/>
                <w:bCs/>
                <w:color w:val="auto"/>
                <w:kern w:val="0"/>
                <w:sz w:val="24"/>
                <w:szCs w:val="24"/>
              </w:rPr>
              <w:t>评标委员会成员：（签字或盖章）</w:t>
            </w:r>
          </w:p>
        </w:tc>
      </w:tr>
    </w:tbl>
    <w:p w14:paraId="341BA060">
      <w:pPr>
        <w:pStyle w:val="9"/>
        <w:rPr>
          <w:color w:val="auto"/>
        </w:rPr>
      </w:pPr>
    </w:p>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p w14:paraId="701F4249">
      <w:pPr>
        <w:pStyle w:val="3"/>
        <w:numPr>
          <w:ilvl w:val="0"/>
          <w:numId w:val="0"/>
        </w:numPr>
        <w:spacing w:line="500" w:lineRule="exact"/>
        <w:ind w:leftChars="200"/>
        <w:rPr>
          <w:rFonts w:hint="eastAsia" w:ascii="仿宋_GB2312" w:hAnsi="宋体" w:eastAsia="仿宋_GB2312"/>
          <w:b/>
          <w:bCs/>
          <w:kern w:val="0"/>
          <w:sz w:val="30"/>
          <w:szCs w:val="30"/>
          <w:lang w:val="en-US" w:eastAsia="zh-CN"/>
        </w:rPr>
      </w:pPr>
      <w:bookmarkStart w:id="511" w:name="_Toc15518"/>
      <w:bookmarkEnd w:id="511"/>
      <w:bookmarkStart w:id="512" w:name="_Toc13365"/>
      <w:bookmarkEnd w:id="512"/>
      <w:bookmarkStart w:id="513" w:name="_Toc27968"/>
      <w:bookmarkEnd w:id="513"/>
      <w:bookmarkStart w:id="514" w:name="_Toc31427"/>
      <w:bookmarkEnd w:id="514"/>
      <w:bookmarkStart w:id="515" w:name="_Toc16017"/>
      <w:bookmarkEnd w:id="515"/>
      <w:r>
        <w:rPr>
          <w:rFonts w:hint="eastAsia" w:ascii="华文仿宋" w:hAnsi="华文仿宋" w:cs="华文仿宋"/>
          <w:color w:val="auto"/>
          <w:sz w:val="28"/>
          <w:szCs w:val="28"/>
          <w:lang w:val="en-US" w:eastAsia="zh-CN"/>
        </w:rPr>
        <w:t>三、</w:t>
      </w:r>
      <w:r>
        <w:rPr>
          <w:rFonts w:hint="eastAsia" w:ascii="华文仿宋" w:hAnsi="华文仿宋" w:cs="华文仿宋"/>
          <w:color w:val="auto"/>
          <w:sz w:val="28"/>
          <w:szCs w:val="28"/>
        </w:rPr>
        <w:t>综合比较与评价</w:t>
      </w:r>
      <w:bookmarkStart w:id="516" w:name="_Toc495014920"/>
      <w:bookmarkStart w:id="517" w:name="_Toc26151"/>
      <w:bookmarkStart w:id="518" w:name="_Toc32235"/>
      <w:bookmarkStart w:id="519" w:name="_Toc23568"/>
      <w:bookmarkStart w:id="520" w:name="_Toc495014649"/>
      <w:bookmarkStart w:id="521" w:name="_Toc495014585"/>
      <w:bookmarkStart w:id="522" w:name="_Toc21068"/>
      <w:bookmarkStart w:id="523" w:name="_Toc424636365"/>
      <w:bookmarkStart w:id="524" w:name="_Toc372"/>
      <w:bookmarkStart w:id="525" w:name="_Toc495014954"/>
      <w:bookmarkStart w:id="526" w:name="_Toc495012821"/>
      <w:bookmarkStart w:id="527" w:name="_Toc27328"/>
      <w:bookmarkStart w:id="528" w:name="_Toc495012771"/>
      <w:bookmarkStart w:id="529" w:name="_Toc28622"/>
      <w:bookmarkStart w:id="530" w:name="_Toc12809"/>
      <w:bookmarkStart w:id="531" w:name="_Toc495014611"/>
      <w:bookmarkStart w:id="532" w:name="_Toc21783"/>
      <w:bookmarkStart w:id="533" w:name="_Toc445306493"/>
      <w:bookmarkStart w:id="534" w:name="_Toc11030"/>
      <w:bookmarkStart w:id="535" w:name="_Toc5275"/>
    </w:p>
    <w:p w14:paraId="3E846A45">
      <w:pPr>
        <w:pStyle w:val="78"/>
        <w:widowControl/>
        <w:topLinePunct/>
        <w:autoSpaceDE w:val="0"/>
        <w:autoSpaceDN w:val="0"/>
        <w:adjustRightInd w:val="0"/>
        <w:snapToGrid w:val="0"/>
        <w:spacing w:before="78" w:line="247" w:lineRule="auto"/>
        <w:ind w:right="131"/>
        <w:jc w:val="center"/>
        <w:rPr>
          <w:rFonts w:hint="eastAsia" w:ascii="仿宋" w:hAnsi="仿宋" w:eastAsia="仿宋" w:cs="仿宋"/>
          <w:b/>
          <w:bCs/>
          <w:color w:val="000000"/>
          <w:spacing w:val="-1"/>
          <w:kern w:val="0"/>
          <w:sz w:val="32"/>
          <w:szCs w:val="32"/>
          <w:lang w:eastAsia="zh-CN"/>
        </w:rPr>
      </w:pPr>
      <w:r>
        <w:rPr>
          <w:rFonts w:hint="eastAsia" w:ascii="仿宋" w:hAnsi="仿宋" w:eastAsia="仿宋" w:cs="仿宋"/>
          <w:b/>
          <w:bCs/>
          <w:color w:val="000000"/>
          <w:spacing w:val="-1"/>
          <w:kern w:val="0"/>
          <w:sz w:val="32"/>
          <w:szCs w:val="32"/>
          <w:lang w:eastAsia="zh-CN"/>
        </w:rPr>
        <w:t>评审要素及分值一览表</w:t>
      </w:r>
    </w:p>
    <w:p w14:paraId="67D659BE">
      <w:pPr>
        <w:keepNext w:val="0"/>
        <w:keepLines w:val="0"/>
        <w:pageBreakBefore w:val="0"/>
        <w:widowControl/>
        <w:numPr>
          <w:ilvl w:val="0"/>
          <w:numId w:val="0"/>
        </w:numPr>
        <w:kinsoku/>
        <w:wordWrap/>
        <w:overflowPunct/>
        <w:topLinePunct w:val="0"/>
        <w:autoSpaceDE/>
        <w:autoSpaceDN/>
        <w:bidi w:val="0"/>
        <w:adjustRightInd/>
        <w:snapToGrid/>
        <w:spacing w:line="360" w:lineRule="auto"/>
        <w:textAlignment w:val="auto"/>
        <w:rPr>
          <w:rFonts w:hint="eastAsia" w:ascii="华文仿宋" w:hAnsi="华文仿宋" w:eastAsia="华文仿宋" w:cs="华文仿宋"/>
          <w:b w:val="0"/>
          <w:bCs/>
          <w:sz w:val="28"/>
          <w:szCs w:val="28"/>
          <w:lang w:val="en-US" w:eastAsia="zh-CN"/>
        </w:rPr>
      </w:pPr>
      <w:r>
        <w:rPr>
          <w:rFonts w:hint="eastAsia" w:ascii="华文仿宋" w:hAnsi="华文仿宋" w:eastAsia="华文仿宋" w:cs="华文仿宋"/>
          <w:b w:val="0"/>
          <w:bCs/>
          <w:sz w:val="28"/>
          <w:szCs w:val="28"/>
          <w:lang w:eastAsia="zh-CN"/>
        </w:rPr>
        <w:t>一标段：</w:t>
      </w:r>
      <w:r>
        <w:rPr>
          <w:rFonts w:hint="eastAsia" w:ascii="华文仿宋" w:hAnsi="华文仿宋" w:eastAsia="华文仿宋" w:cs="华文仿宋"/>
          <w:b w:val="0"/>
          <w:bCs/>
          <w:sz w:val="28"/>
          <w:szCs w:val="28"/>
          <w:lang w:val="en-US" w:eastAsia="zh-CN"/>
        </w:rPr>
        <w:t>校园绿化管护</w:t>
      </w:r>
    </w:p>
    <w:tbl>
      <w:tblPr>
        <w:tblStyle w:val="29"/>
        <w:tblW w:w="94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2"/>
        <w:gridCol w:w="927"/>
        <w:gridCol w:w="7696"/>
      </w:tblGrid>
      <w:tr w14:paraId="294A5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2" w:type="dxa"/>
            <w:tcBorders>
              <w:top w:val="single" w:color="auto" w:sz="4" w:space="0"/>
              <w:left w:val="single" w:color="auto" w:sz="4" w:space="0"/>
              <w:bottom w:val="single" w:color="auto" w:sz="4" w:space="0"/>
              <w:right w:val="single" w:color="auto" w:sz="4" w:space="0"/>
            </w:tcBorders>
            <w:noWrap w:val="0"/>
            <w:vAlign w:val="center"/>
          </w:tcPr>
          <w:p w14:paraId="41B87938">
            <w:pPr>
              <w:keepNext w:val="0"/>
              <w:keepLines w:val="0"/>
              <w:pageBreakBefore w:val="0"/>
              <w:kinsoku/>
              <w:wordWrap/>
              <w:overflowPunct/>
              <w:topLinePunct w:val="0"/>
              <w:bidi w:val="0"/>
              <w:spacing w:line="240" w:lineRule="auto"/>
              <w:jc w:val="center"/>
              <w:textAlignment w:val="auto"/>
              <w:rPr>
                <w:rFonts w:ascii="仿宋" w:hAnsi="仿宋" w:eastAsia="仿宋" w:cs="仿宋"/>
                <w:b/>
                <w:bCs/>
                <w:color w:val="auto"/>
                <w:sz w:val="24"/>
                <w:highlight w:val="none"/>
              </w:rPr>
            </w:pPr>
            <w:r>
              <w:rPr>
                <w:rFonts w:hint="eastAsia" w:ascii="仿宋" w:hAnsi="仿宋" w:eastAsia="仿宋" w:cs="仿宋"/>
                <w:b/>
                <w:bCs/>
                <w:color w:val="auto"/>
                <w:sz w:val="24"/>
                <w:highlight w:val="none"/>
              </w:rPr>
              <w:t>名称</w:t>
            </w:r>
          </w:p>
        </w:tc>
        <w:tc>
          <w:tcPr>
            <w:tcW w:w="927" w:type="dxa"/>
            <w:tcBorders>
              <w:top w:val="single" w:color="auto" w:sz="4" w:space="0"/>
              <w:left w:val="single" w:color="auto" w:sz="4" w:space="0"/>
              <w:bottom w:val="single" w:color="auto" w:sz="4" w:space="0"/>
              <w:right w:val="single" w:color="auto" w:sz="4" w:space="0"/>
            </w:tcBorders>
            <w:noWrap w:val="0"/>
            <w:vAlign w:val="center"/>
          </w:tcPr>
          <w:p w14:paraId="2E7BFA84">
            <w:pPr>
              <w:keepNext w:val="0"/>
              <w:keepLines w:val="0"/>
              <w:pageBreakBefore w:val="0"/>
              <w:kinsoku/>
              <w:wordWrap/>
              <w:overflowPunct/>
              <w:topLinePunct w:val="0"/>
              <w:bidi w:val="0"/>
              <w:spacing w:line="240" w:lineRule="auto"/>
              <w:jc w:val="center"/>
              <w:textAlignment w:val="auto"/>
              <w:rPr>
                <w:rFonts w:ascii="仿宋" w:hAnsi="仿宋" w:eastAsia="仿宋" w:cs="仿宋"/>
                <w:b/>
                <w:bCs/>
                <w:color w:val="auto"/>
                <w:sz w:val="24"/>
                <w:highlight w:val="none"/>
              </w:rPr>
            </w:pPr>
            <w:r>
              <w:rPr>
                <w:rFonts w:hint="eastAsia" w:ascii="仿宋" w:hAnsi="仿宋" w:eastAsia="仿宋" w:cs="仿宋"/>
                <w:b/>
                <w:color w:val="auto"/>
                <w:sz w:val="24"/>
                <w:highlight w:val="none"/>
              </w:rPr>
              <w:t>分值</w:t>
            </w:r>
          </w:p>
        </w:tc>
        <w:tc>
          <w:tcPr>
            <w:tcW w:w="7696" w:type="dxa"/>
            <w:tcBorders>
              <w:top w:val="single" w:color="auto" w:sz="4" w:space="0"/>
              <w:left w:val="single" w:color="auto" w:sz="4" w:space="0"/>
              <w:bottom w:val="single" w:color="auto" w:sz="4" w:space="0"/>
              <w:right w:val="single" w:color="auto" w:sz="4" w:space="0"/>
            </w:tcBorders>
            <w:noWrap w:val="0"/>
            <w:vAlign w:val="center"/>
          </w:tcPr>
          <w:p w14:paraId="1DF650CB">
            <w:pPr>
              <w:keepNext w:val="0"/>
              <w:keepLines w:val="0"/>
              <w:pageBreakBefore w:val="0"/>
              <w:kinsoku/>
              <w:wordWrap/>
              <w:overflowPunct/>
              <w:topLinePunct w:val="0"/>
              <w:bidi w:val="0"/>
              <w:spacing w:line="240" w:lineRule="auto"/>
              <w:jc w:val="center"/>
              <w:textAlignment w:val="auto"/>
              <w:rPr>
                <w:rFonts w:ascii="仿宋" w:hAnsi="仿宋" w:eastAsia="仿宋" w:cs="仿宋"/>
                <w:bCs/>
                <w:color w:val="auto"/>
                <w:sz w:val="24"/>
                <w:highlight w:val="none"/>
              </w:rPr>
            </w:pPr>
            <w:r>
              <w:rPr>
                <w:rFonts w:hint="eastAsia" w:ascii="仿宋" w:hAnsi="仿宋" w:eastAsia="仿宋" w:cs="仿宋"/>
                <w:b/>
                <w:bCs/>
                <w:color w:val="auto"/>
                <w:sz w:val="24"/>
                <w:highlight w:val="none"/>
              </w:rPr>
              <w:t>评审要素</w:t>
            </w:r>
          </w:p>
        </w:tc>
      </w:tr>
      <w:tr w14:paraId="29ADC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2" w:type="dxa"/>
            <w:tcBorders>
              <w:top w:val="single" w:color="auto" w:sz="4" w:space="0"/>
              <w:left w:val="single" w:color="auto" w:sz="4" w:space="0"/>
              <w:bottom w:val="single" w:color="auto" w:sz="4" w:space="0"/>
              <w:right w:val="single" w:color="auto" w:sz="4" w:space="0"/>
            </w:tcBorders>
            <w:noWrap w:val="0"/>
            <w:vAlign w:val="center"/>
          </w:tcPr>
          <w:p w14:paraId="4BCF787B">
            <w:pPr>
              <w:keepNext w:val="0"/>
              <w:keepLines w:val="0"/>
              <w:pageBreakBefore w:val="0"/>
              <w:kinsoku/>
              <w:wordWrap/>
              <w:overflowPunct/>
              <w:topLinePunct w:val="0"/>
              <w:autoSpaceDE w:val="0"/>
              <w:autoSpaceDN w:val="0"/>
              <w:bidi w:val="0"/>
              <w:adjustRightInd w:val="0"/>
              <w:spacing w:line="240" w:lineRule="auto"/>
              <w:jc w:val="center"/>
              <w:textAlignment w:val="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投标报价</w:t>
            </w:r>
          </w:p>
        </w:tc>
        <w:tc>
          <w:tcPr>
            <w:tcW w:w="927" w:type="dxa"/>
            <w:tcBorders>
              <w:top w:val="single" w:color="auto" w:sz="4" w:space="0"/>
              <w:left w:val="single" w:color="auto" w:sz="4" w:space="0"/>
              <w:bottom w:val="single" w:color="auto" w:sz="4" w:space="0"/>
              <w:right w:val="single" w:color="auto" w:sz="4" w:space="0"/>
            </w:tcBorders>
            <w:noWrap w:val="0"/>
            <w:vAlign w:val="center"/>
          </w:tcPr>
          <w:p w14:paraId="0047ED74">
            <w:pPr>
              <w:keepNext w:val="0"/>
              <w:keepLines w:val="0"/>
              <w:pageBreakBefore w:val="0"/>
              <w:kinsoku/>
              <w:wordWrap/>
              <w:overflowPunct/>
              <w:topLinePunct w:val="0"/>
              <w:autoSpaceDE w:val="0"/>
              <w:autoSpaceDN w:val="0"/>
              <w:bidi w:val="0"/>
              <w:adjustRightInd w:val="0"/>
              <w:spacing w:line="240" w:lineRule="auto"/>
              <w:jc w:val="center"/>
              <w:textAlignment w:val="auto"/>
              <w:rPr>
                <w:rFonts w:hint="default" w:ascii="仿宋" w:hAnsi="仿宋" w:eastAsia="仿宋" w:cs="仿宋"/>
                <w:color w:val="auto"/>
                <w:sz w:val="24"/>
                <w:szCs w:val="24"/>
                <w:highlight w:val="none"/>
                <w:lang w:val="en-US"/>
              </w:rPr>
            </w:pPr>
            <w:r>
              <w:rPr>
                <w:rFonts w:hint="eastAsia" w:ascii="仿宋" w:hAnsi="仿宋" w:eastAsia="仿宋" w:cs="仿宋"/>
                <w:bCs/>
                <w:color w:val="auto"/>
                <w:sz w:val="24"/>
                <w:szCs w:val="24"/>
                <w:highlight w:val="none"/>
                <w:lang w:val="en-US" w:eastAsia="zh-CN"/>
              </w:rPr>
              <w:t>30</w:t>
            </w:r>
          </w:p>
        </w:tc>
        <w:tc>
          <w:tcPr>
            <w:tcW w:w="7696" w:type="dxa"/>
            <w:tcBorders>
              <w:top w:val="single" w:color="auto" w:sz="4" w:space="0"/>
              <w:left w:val="single" w:color="auto" w:sz="4" w:space="0"/>
              <w:bottom w:val="single" w:color="auto" w:sz="4" w:space="0"/>
              <w:right w:val="single" w:color="auto" w:sz="4" w:space="0"/>
            </w:tcBorders>
            <w:noWrap w:val="0"/>
            <w:vAlign w:val="center"/>
          </w:tcPr>
          <w:p w14:paraId="79EEEE0A">
            <w:pPr>
              <w:keepNext w:val="0"/>
              <w:keepLines w:val="0"/>
              <w:pageBreakBefore w:val="0"/>
              <w:widowControl/>
              <w:kinsoku/>
              <w:wordWrap/>
              <w:overflowPunct/>
              <w:topLinePunct w:val="0"/>
              <w:bidi w:val="0"/>
              <w:spacing w:line="240" w:lineRule="auto"/>
              <w:jc w:val="left"/>
              <w:textAlignment w:val="auto"/>
              <w:rPr>
                <w:rFonts w:ascii="Times New Roman" w:hAnsi="Times New Roman" w:eastAsia="宋体" w:cs="Times New Roman"/>
                <w:color w:val="auto"/>
                <w:sz w:val="24"/>
                <w:szCs w:val="24"/>
                <w:highlight w:val="none"/>
              </w:rPr>
            </w:pPr>
            <w:r>
              <w:rPr>
                <w:rFonts w:ascii="仿宋" w:hAnsi="仿宋" w:eastAsia="仿宋" w:cs="仿宋"/>
                <w:color w:val="auto"/>
                <w:kern w:val="0"/>
                <w:sz w:val="24"/>
                <w:szCs w:val="24"/>
                <w:highlight w:val="none"/>
                <w:lang w:bidi="ar"/>
              </w:rPr>
              <w:t>有效投标人的最低报价为基准价得</w:t>
            </w:r>
            <w:r>
              <w:rPr>
                <w:rFonts w:hint="eastAsia" w:ascii="仿宋" w:hAnsi="仿宋" w:eastAsia="仿宋" w:cs="仿宋"/>
                <w:color w:val="auto"/>
                <w:kern w:val="0"/>
                <w:sz w:val="24"/>
                <w:szCs w:val="24"/>
                <w:highlight w:val="none"/>
                <w:lang w:val="en-US" w:eastAsia="zh-CN" w:bidi="ar"/>
              </w:rPr>
              <w:t>30</w:t>
            </w:r>
            <w:r>
              <w:rPr>
                <w:rFonts w:ascii="仿宋" w:hAnsi="仿宋" w:eastAsia="仿宋" w:cs="仿宋"/>
                <w:color w:val="auto"/>
                <w:kern w:val="0"/>
                <w:sz w:val="24"/>
                <w:szCs w:val="24"/>
                <w:highlight w:val="none"/>
                <w:lang w:bidi="ar"/>
              </w:rPr>
              <w:t>分，其他各投标人的报价得分</w:t>
            </w:r>
            <w:r>
              <w:rPr>
                <w:rFonts w:hint="eastAsia" w:ascii="仿宋" w:hAnsi="仿宋" w:eastAsia="仿宋" w:cs="仿宋"/>
                <w:color w:val="auto"/>
                <w:kern w:val="0"/>
                <w:sz w:val="24"/>
                <w:szCs w:val="24"/>
                <w:highlight w:val="none"/>
                <w:lang w:bidi="ar"/>
              </w:rPr>
              <w:t>按下列公式计算：</w:t>
            </w:r>
            <w:r>
              <w:rPr>
                <w:rFonts w:hint="eastAsia" w:ascii="仿宋" w:hAnsi="仿宋" w:eastAsia="仿宋" w:cs="仿宋"/>
                <w:color w:val="auto"/>
                <w:kern w:val="0"/>
                <w:sz w:val="24"/>
                <w:szCs w:val="24"/>
                <w:highlight w:val="none"/>
                <w:lang w:val="en-US" w:eastAsia="zh-CN" w:bidi="ar"/>
              </w:rPr>
              <w:t>报价得分=</w:t>
            </w:r>
            <w:r>
              <w:rPr>
                <w:rFonts w:hint="eastAsia" w:ascii="仿宋" w:hAnsi="仿宋" w:eastAsia="仿宋" w:cs="仿宋"/>
                <w:color w:val="auto"/>
                <w:kern w:val="0"/>
                <w:sz w:val="24"/>
                <w:szCs w:val="24"/>
                <w:highlight w:val="none"/>
                <w:lang w:bidi="ar"/>
              </w:rPr>
              <w:t>（基准价/投标报价）×</w:t>
            </w:r>
            <w:r>
              <w:rPr>
                <w:rFonts w:hint="eastAsia" w:ascii="仿宋" w:hAnsi="仿宋" w:eastAsia="仿宋" w:cs="仿宋"/>
                <w:color w:val="auto"/>
                <w:kern w:val="0"/>
                <w:sz w:val="24"/>
                <w:szCs w:val="24"/>
                <w:highlight w:val="none"/>
                <w:lang w:val="en-US" w:eastAsia="zh-CN" w:bidi="ar"/>
              </w:rPr>
              <w:t>30</w:t>
            </w:r>
            <w:r>
              <w:rPr>
                <w:rFonts w:hint="eastAsia" w:ascii="仿宋" w:hAnsi="仿宋" w:eastAsia="仿宋" w:cs="仿宋"/>
                <w:color w:val="auto"/>
                <w:kern w:val="0"/>
                <w:sz w:val="24"/>
                <w:szCs w:val="24"/>
                <w:highlight w:val="none"/>
                <w:lang w:bidi="ar"/>
              </w:rPr>
              <w:t>%×100。</w:t>
            </w:r>
          </w:p>
        </w:tc>
      </w:tr>
      <w:tr w14:paraId="45C54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2" w:type="dxa"/>
            <w:tcBorders>
              <w:top w:val="single" w:color="auto" w:sz="4" w:space="0"/>
              <w:left w:val="single" w:color="auto" w:sz="4" w:space="0"/>
              <w:bottom w:val="single" w:color="auto" w:sz="4" w:space="0"/>
              <w:right w:val="single" w:color="auto" w:sz="4" w:space="0"/>
            </w:tcBorders>
            <w:noWrap w:val="0"/>
            <w:vAlign w:val="center"/>
          </w:tcPr>
          <w:p w14:paraId="49EAE335">
            <w:pPr>
              <w:keepNext w:val="0"/>
              <w:keepLines w:val="0"/>
              <w:pageBreakBefore w:val="0"/>
              <w:kinsoku/>
              <w:wordWrap/>
              <w:overflowPunct/>
              <w:topLinePunct w:val="0"/>
              <w:bidi w:val="0"/>
              <w:spacing w:line="240" w:lineRule="auto"/>
              <w:jc w:val="center"/>
              <w:textAlignment w:val="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业绩</w:t>
            </w:r>
          </w:p>
        </w:tc>
        <w:tc>
          <w:tcPr>
            <w:tcW w:w="927" w:type="dxa"/>
            <w:tcBorders>
              <w:top w:val="single" w:color="auto" w:sz="4" w:space="0"/>
              <w:left w:val="single" w:color="auto" w:sz="4" w:space="0"/>
              <w:bottom w:val="single" w:color="auto" w:sz="4" w:space="0"/>
              <w:right w:val="single" w:color="auto" w:sz="4" w:space="0"/>
            </w:tcBorders>
            <w:noWrap w:val="0"/>
            <w:vAlign w:val="center"/>
          </w:tcPr>
          <w:p w14:paraId="213DC4BE">
            <w:pPr>
              <w:keepNext w:val="0"/>
              <w:keepLines w:val="0"/>
              <w:pageBreakBefore w:val="0"/>
              <w:kinsoku/>
              <w:wordWrap/>
              <w:overflowPunct/>
              <w:topLinePunct w:val="0"/>
              <w:bidi w:val="0"/>
              <w:spacing w:line="240" w:lineRule="auto"/>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3</w:t>
            </w:r>
          </w:p>
        </w:tc>
        <w:tc>
          <w:tcPr>
            <w:tcW w:w="7696" w:type="dxa"/>
            <w:tcBorders>
              <w:top w:val="single" w:color="auto" w:sz="4" w:space="0"/>
              <w:left w:val="single" w:color="auto" w:sz="4" w:space="0"/>
              <w:bottom w:val="single" w:color="auto" w:sz="4" w:space="0"/>
              <w:right w:val="single" w:color="auto" w:sz="4" w:space="0"/>
            </w:tcBorders>
            <w:noWrap w:val="0"/>
            <w:vAlign w:val="center"/>
          </w:tcPr>
          <w:p w14:paraId="0A479F55">
            <w:pPr>
              <w:keepNext w:val="0"/>
              <w:keepLines w:val="0"/>
              <w:widowControl/>
              <w:suppressLineNumbers w:val="0"/>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提供202</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年1月1日以来类似项目业绩（以合同签订日期为准），每份合格业绩合同计</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分，满分</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color w:val="auto"/>
                <w:sz w:val="24"/>
                <w:szCs w:val="24"/>
                <w:highlight w:val="none"/>
                <w:lang w:eastAsia="zh-CN"/>
              </w:rPr>
              <w:t>。</w:t>
            </w:r>
          </w:p>
        </w:tc>
      </w:tr>
      <w:tr w14:paraId="3AFA3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2" w:hRule="atLeast"/>
          <w:jc w:val="center"/>
        </w:trPr>
        <w:tc>
          <w:tcPr>
            <w:tcW w:w="812" w:type="dxa"/>
            <w:tcBorders>
              <w:top w:val="single" w:color="auto" w:sz="4" w:space="0"/>
              <w:left w:val="single" w:color="auto" w:sz="4" w:space="0"/>
              <w:bottom w:val="single" w:color="auto" w:sz="4" w:space="0"/>
              <w:right w:val="single" w:color="auto" w:sz="4" w:space="0"/>
            </w:tcBorders>
            <w:noWrap w:val="0"/>
            <w:vAlign w:val="center"/>
          </w:tcPr>
          <w:p w14:paraId="2BFC2335">
            <w:pPr>
              <w:keepNext w:val="0"/>
              <w:keepLines w:val="0"/>
              <w:pageBreakBefore w:val="0"/>
              <w:widowControl/>
              <w:kinsoku/>
              <w:wordWrap/>
              <w:overflowPunct/>
              <w:topLinePunct w:val="0"/>
              <w:bidi w:val="0"/>
              <w:spacing w:line="240" w:lineRule="auto"/>
              <w:jc w:val="center"/>
              <w:textAlignment w:val="auto"/>
              <w:rPr>
                <w:rFonts w:ascii="仿宋" w:hAnsi="仿宋" w:eastAsia="仿宋" w:cs="仿宋"/>
                <w:color w:val="auto"/>
                <w:kern w:val="0"/>
                <w:sz w:val="24"/>
                <w:szCs w:val="24"/>
                <w:highlight w:val="none"/>
                <w:lang w:bidi="ar"/>
              </w:rPr>
            </w:pPr>
            <w:r>
              <w:rPr>
                <w:rFonts w:hint="eastAsia" w:ascii="仿宋" w:hAnsi="仿宋" w:eastAsia="仿宋" w:cs="仿宋"/>
                <w:color w:val="auto"/>
                <w:kern w:val="0"/>
                <w:sz w:val="24"/>
                <w:szCs w:val="24"/>
                <w:highlight w:val="none"/>
                <w:lang w:bidi="ar"/>
              </w:rPr>
              <w:t>人员配备</w:t>
            </w:r>
          </w:p>
        </w:tc>
        <w:tc>
          <w:tcPr>
            <w:tcW w:w="927" w:type="dxa"/>
            <w:tcBorders>
              <w:top w:val="single" w:color="auto" w:sz="4" w:space="0"/>
              <w:left w:val="single" w:color="auto" w:sz="4" w:space="0"/>
              <w:bottom w:val="single" w:color="auto" w:sz="4" w:space="0"/>
              <w:right w:val="single" w:color="auto" w:sz="4" w:space="0"/>
            </w:tcBorders>
            <w:noWrap w:val="0"/>
            <w:vAlign w:val="center"/>
          </w:tcPr>
          <w:p w14:paraId="091E9E27">
            <w:pPr>
              <w:keepNext w:val="0"/>
              <w:keepLines w:val="0"/>
              <w:pageBreakBefore w:val="0"/>
              <w:widowControl/>
              <w:kinsoku/>
              <w:wordWrap/>
              <w:overflowPunct/>
              <w:topLinePunct w:val="0"/>
              <w:bidi w:val="0"/>
              <w:spacing w:line="240" w:lineRule="auto"/>
              <w:jc w:val="center"/>
              <w:textAlignment w:val="auto"/>
              <w:rPr>
                <w:rFonts w:hint="default"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7</w:t>
            </w:r>
          </w:p>
        </w:tc>
        <w:tc>
          <w:tcPr>
            <w:tcW w:w="7696" w:type="dxa"/>
            <w:tcBorders>
              <w:top w:val="single" w:color="auto" w:sz="4" w:space="0"/>
              <w:left w:val="single" w:color="auto" w:sz="4" w:space="0"/>
              <w:bottom w:val="single" w:color="auto" w:sz="4" w:space="0"/>
              <w:right w:val="single" w:color="auto" w:sz="4" w:space="0"/>
            </w:tcBorders>
            <w:noWrap w:val="0"/>
            <w:vAlign w:val="center"/>
          </w:tcPr>
          <w:p w14:paraId="714FCDC2">
            <w:pPr>
              <w:keepNext w:val="0"/>
              <w:keepLines w:val="0"/>
              <w:widowControl/>
              <w:suppressLineNumbers w:val="0"/>
              <w:jc w:val="left"/>
              <w:rPr>
                <w:rFonts w:hint="eastAsia" w:ascii="仿宋" w:hAnsi="仿宋" w:eastAsia="仿宋" w:cs="仿宋"/>
                <w:color w:val="auto"/>
                <w:kern w:val="0"/>
                <w:sz w:val="24"/>
                <w:szCs w:val="24"/>
                <w:highlight w:val="none"/>
                <w:lang w:eastAsia="zh-CN" w:bidi="ar"/>
              </w:rPr>
            </w:pPr>
            <w:r>
              <w:rPr>
                <w:rFonts w:hint="eastAsia" w:ascii="仿宋" w:hAnsi="仿宋" w:eastAsia="仿宋" w:cs="仿宋"/>
                <w:color w:val="auto"/>
                <w:kern w:val="0"/>
                <w:sz w:val="24"/>
                <w:szCs w:val="24"/>
                <w:highlight w:val="none"/>
                <w:lang w:val="en-US" w:eastAsia="zh-CN" w:bidi="ar"/>
              </w:rPr>
              <w:t>1、投标人</w:t>
            </w:r>
            <w:r>
              <w:rPr>
                <w:rFonts w:hint="eastAsia" w:ascii="仿宋" w:hAnsi="仿宋" w:eastAsia="仿宋" w:cs="仿宋"/>
                <w:color w:val="auto"/>
                <w:kern w:val="0"/>
                <w:sz w:val="24"/>
                <w:szCs w:val="24"/>
                <w:highlight w:val="none"/>
                <w:lang w:bidi="ar"/>
              </w:rPr>
              <w:t>派驻项目负责人具有</w:t>
            </w:r>
            <w:r>
              <w:rPr>
                <w:rFonts w:hint="eastAsia" w:ascii="仿宋" w:hAnsi="仿宋" w:eastAsia="仿宋" w:cs="仿宋"/>
                <w:color w:val="auto"/>
                <w:kern w:val="0"/>
                <w:sz w:val="24"/>
                <w:szCs w:val="24"/>
                <w:highlight w:val="none"/>
                <w:lang w:val="en-US" w:eastAsia="zh-CN" w:bidi="ar"/>
              </w:rPr>
              <w:t>人社部门颁发的</w:t>
            </w:r>
            <w:r>
              <w:rPr>
                <w:rFonts w:hint="eastAsia" w:ascii="仿宋" w:hAnsi="仿宋" w:eastAsia="仿宋" w:cs="仿宋"/>
                <w:color w:val="auto"/>
                <w:kern w:val="0"/>
                <w:sz w:val="24"/>
                <w:szCs w:val="24"/>
                <w:highlight w:val="none"/>
                <w:lang w:bidi="ar"/>
              </w:rPr>
              <w:t>中级</w:t>
            </w:r>
            <w:r>
              <w:rPr>
                <w:rFonts w:hint="eastAsia" w:ascii="仿宋" w:hAnsi="仿宋" w:eastAsia="仿宋" w:cs="仿宋"/>
                <w:color w:val="auto"/>
                <w:kern w:val="0"/>
                <w:sz w:val="24"/>
                <w:szCs w:val="24"/>
                <w:highlight w:val="none"/>
                <w:lang w:val="en-US" w:eastAsia="zh-CN" w:bidi="ar"/>
              </w:rPr>
              <w:t>及</w:t>
            </w:r>
            <w:r>
              <w:rPr>
                <w:rFonts w:hint="eastAsia" w:ascii="仿宋" w:hAnsi="仿宋" w:eastAsia="仿宋" w:cs="仿宋"/>
                <w:color w:val="auto"/>
                <w:kern w:val="0"/>
                <w:sz w:val="24"/>
                <w:szCs w:val="24"/>
                <w:highlight w:val="none"/>
                <w:lang w:bidi="ar"/>
              </w:rPr>
              <w:t>以上</w:t>
            </w:r>
            <w:r>
              <w:rPr>
                <w:rFonts w:hint="eastAsia" w:ascii="仿宋" w:hAnsi="仿宋" w:eastAsia="仿宋" w:cs="仿宋"/>
                <w:color w:val="auto"/>
                <w:kern w:val="0"/>
                <w:sz w:val="24"/>
                <w:szCs w:val="24"/>
                <w:highlight w:val="none"/>
                <w:lang w:val="en-US" w:eastAsia="zh-CN" w:bidi="ar"/>
              </w:rPr>
              <w:t>园林相关专业</w:t>
            </w:r>
            <w:r>
              <w:rPr>
                <w:rFonts w:hint="eastAsia" w:ascii="仿宋" w:hAnsi="仿宋" w:eastAsia="仿宋" w:cs="仿宋"/>
                <w:color w:val="auto"/>
                <w:kern w:val="0"/>
                <w:sz w:val="24"/>
                <w:szCs w:val="24"/>
                <w:highlight w:val="none"/>
                <w:lang w:bidi="ar"/>
              </w:rPr>
              <w:t>职称证，得</w:t>
            </w:r>
            <w:r>
              <w:rPr>
                <w:rFonts w:hint="eastAsia" w:ascii="仿宋" w:hAnsi="仿宋" w:eastAsia="仿宋" w:cs="仿宋"/>
                <w:color w:val="auto"/>
                <w:kern w:val="0"/>
                <w:sz w:val="24"/>
                <w:szCs w:val="24"/>
                <w:highlight w:val="none"/>
                <w:lang w:val="en-US" w:eastAsia="zh-CN" w:bidi="ar"/>
              </w:rPr>
              <w:t>2</w:t>
            </w:r>
            <w:r>
              <w:rPr>
                <w:rFonts w:hint="eastAsia" w:ascii="仿宋" w:hAnsi="仿宋" w:eastAsia="仿宋" w:cs="仿宋"/>
                <w:color w:val="auto"/>
                <w:kern w:val="0"/>
                <w:sz w:val="24"/>
                <w:szCs w:val="24"/>
                <w:highlight w:val="none"/>
                <w:lang w:bidi="ar"/>
              </w:rPr>
              <w:t>分</w:t>
            </w:r>
            <w:r>
              <w:rPr>
                <w:rFonts w:hint="eastAsia" w:ascii="仿宋" w:hAnsi="仿宋" w:eastAsia="仿宋" w:cs="仿宋"/>
                <w:color w:val="auto"/>
                <w:kern w:val="0"/>
                <w:sz w:val="24"/>
                <w:szCs w:val="24"/>
                <w:highlight w:val="none"/>
                <w:lang w:eastAsia="zh-CN" w:bidi="ar"/>
              </w:rPr>
              <w:t>；</w:t>
            </w:r>
            <w:r>
              <w:rPr>
                <w:rFonts w:ascii="仿宋" w:hAnsi="仿宋" w:eastAsia="仿宋" w:cs="仿宋"/>
                <w:color w:val="auto"/>
                <w:kern w:val="0"/>
                <w:sz w:val="24"/>
                <w:szCs w:val="24"/>
                <w:lang w:val="en-US" w:eastAsia="zh-CN" w:bidi="ar"/>
              </w:rPr>
              <w:t>具有 3 年及以上类似项目管理经验，得</w:t>
            </w:r>
            <w:r>
              <w:rPr>
                <w:rFonts w:hint="eastAsia" w:ascii="仿宋" w:hAnsi="仿宋" w:eastAsia="仿宋" w:cs="仿宋"/>
                <w:color w:val="auto"/>
                <w:kern w:val="0"/>
                <w:sz w:val="24"/>
                <w:szCs w:val="24"/>
                <w:lang w:val="en-US" w:eastAsia="zh-CN" w:bidi="ar"/>
              </w:rPr>
              <w:t>1 分；满分3分；</w:t>
            </w:r>
          </w:p>
          <w:p w14:paraId="7230FEC7">
            <w:pPr>
              <w:keepNext w:val="0"/>
              <w:keepLines w:val="0"/>
              <w:widowControl/>
              <w:suppressLineNumbers w:val="0"/>
              <w:jc w:val="left"/>
              <w:rPr>
                <w:rFonts w:hint="eastAsia" w:ascii="仿宋" w:hAnsi="仿宋" w:eastAsia="仿宋" w:cs="仿宋"/>
                <w:color w:val="auto"/>
                <w:kern w:val="0"/>
                <w:sz w:val="24"/>
                <w:szCs w:val="24"/>
                <w:highlight w:val="none"/>
                <w:lang w:bidi="ar"/>
              </w:rPr>
            </w:pPr>
            <w:r>
              <w:rPr>
                <w:rFonts w:hint="eastAsia" w:ascii="仿宋" w:hAnsi="仿宋" w:eastAsia="仿宋" w:cs="仿宋"/>
                <w:color w:val="auto"/>
                <w:kern w:val="0"/>
                <w:sz w:val="24"/>
                <w:szCs w:val="24"/>
                <w:highlight w:val="none"/>
                <w:lang w:val="en-US" w:eastAsia="zh-CN" w:bidi="ar"/>
              </w:rPr>
              <w:t>2、投标人派驻现场</w:t>
            </w:r>
            <w:r>
              <w:rPr>
                <w:rFonts w:hint="eastAsia" w:ascii="仿宋" w:hAnsi="仿宋" w:eastAsia="仿宋" w:cs="仿宋"/>
                <w:color w:val="auto"/>
                <w:kern w:val="0"/>
                <w:sz w:val="24"/>
                <w:szCs w:val="24"/>
                <w:highlight w:val="none"/>
                <w:lang w:bidi="ar"/>
              </w:rPr>
              <w:t>负责人具有</w:t>
            </w:r>
            <w:r>
              <w:rPr>
                <w:rFonts w:hint="eastAsia" w:ascii="仿宋" w:hAnsi="仿宋" w:eastAsia="仿宋" w:cs="仿宋"/>
                <w:color w:val="auto"/>
                <w:kern w:val="0"/>
                <w:sz w:val="24"/>
                <w:szCs w:val="24"/>
                <w:highlight w:val="none"/>
                <w:lang w:eastAsia="zh-CN" w:bidi="ar"/>
              </w:rPr>
              <w:t>大专</w:t>
            </w:r>
            <w:r>
              <w:rPr>
                <w:rFonts w:hint="eastAsia" w:ascii="仿宋" w:hAnsi="仿宋" w:eastAsia="仿宋" w:cs="仿宋"/>
                <w:color w:val="auto"/>
                <w:kern w:val="0"/>
                <w:sz w:val="24"/>
                <w:szCs w:val="24"/>
                <w:highlight w:val="none"/>
                <w:lang w:val="en-US" w:eastAsia="zh-CN" w:bidi="ar"/>
              </w:rPr>
              <w:t>及</w:t>
            </w:r>
            <w:r>
              <w:rPr>
                <w:rFonts w:hint="eastAsia" w:ascii="仿宋" w:hAnsi="仿宋" w:eastAsia="仿宋" w:cs="仿宋"/>
                <w:color w:val="auto"/>
                <w:kern w:val="0"/>
                <w:sz w:val="24"/>
                <w:szCs w:val="24"/>
                <w:highlight w:val="none"/>
                <w:lang w:eastAsia="zh-CN" w:bidi="ar"/>
              </w:rPr>
              <w:t>以上园林相关专业</w:t>
            </w:r>
            <w:r>
              <w:rPr>
                <w:rFonts w:hint="eastAsia" w:ascii="仿宋" w:hAnsi="仿宋" w:eastAsia="仿宋" w:cs="仿宋"/>
                <w:color w:val="auto"/>
                <w:kern w:val="0"/>
                <w:sz w:val="24"/>
                <w:szCs w:val="24"/>
                <w:highlight w:val="none"/>
                <w:lang w:val="en-US" w:eastAsia="zh-CN" w:bidi="ar"/>
              </w:rPr>
              <w:t>学历</w:t>
            </w:r>
            <w:r>
              <w:rPr>
                <w:rFonts w:hint="eastAsia" w:ascii="仿宋" w:hAnsi="仿宋" w:eastAsia="仿宋" w:cs="仿宋"/>
                <w:color w:val="auto"/>
                <w:kern w:val="0"/>
                <w:sz w:val="24"/>
                <w:szCs w:val="24"/>
                <w:highlight w:val="none"/>
                <w:lang w:bidi="ar"/>
              </w:rPr>
              <w:t>，得</w:t>
            </w:r>
            <w:r>
              <w:rPr>
                <w:rFonts w:hint="eastAsia" w:ascii="仿宋" w:hAnsi="仿宋" w:eastAsia="仿宋" w:cs="仿宋"/>
                <w:color w:val="auto"/>
                <w:kern w:val="0"/>
                <w:sz w:val="24"/>
                <w:szCs w:val="24"/>
                <w:highlight w:val="none"/>
                <w:lang w:val="en-US" w:eastAsia="zh-CN" w:bidi="ar"/>
              </w:rPr>
              <w:t>2</w:t>
            </w:r>
            <w:r>
              <w:rPr>
                <w:rFonts w:hint="eastAsia" w:ascii="仿宋" w:hAnsi="仿宋" w:eastAsia="仿宋" w:cs="仿宋"/>
                <w:color w:val="auto"/>
                <w:kern w:val="0"/>
                <w:sz w:val="24"/>
                <w:szCs w:val="24"/>
                <w:highlight w:val="none"/>
                <w:lang w:bidi="ar"/>
              </w:rPr>
              <w:t>分</w:t>
            </w:r>
            <w:r>
              <w:rPr>
                <w:rFonts w:hint="eastAsia" w:ascii="仿宋" w:hAnsi="仿宋" w:eastAsia="仿宋" w:cs="仿宋"/>
                <w:color w:val="auto"/>
                <w:kern w:val="0"/>
                <w:sz w:val="24"/>
                <w:szCs w:val="24"/>
                <w:highlight w:val="none"/>
                <w:lang w:eastAsia="zh-CN" w:bidi="ar"/>
              </w:rPr>
              <w:t>；</w:t>
            </w:r>
            <w:r>
              <w:rPr>
                <w:rFonts w:ascii="仿宋" w:hAnsi="仿宋" w:eastAsia="仿宋" w:cs="仿宋"/>
                <w:color w:val="auto"/>
                <w:kern w:val="0"/>
                <w:sz w:val="24"/>
                <w:szCs w:val="24"/>
                <w:lang w:val="en-US" w:eastAsia="zh-CN" w:bidi="ar"/>
              </w:rPr>
              <w:t>具有 3 年及以上类似项目管理经验，得</w:t>
            </w:r>
            <w:r>
              <w:rPr>
                <w:rFonts w:hint="eastAsia" w:ascii="仿宋" w:hAnsi="仿宋" w:eastAsia="仿宋" w:cs="仿宋"/>
                <w:color w:val="auto"/>
                <w:kern w:val="0"/>
                <w:sz w:val="24"/>
                <w:szCs w:val="24"/>
                <w:lang w:val="en-US" w:eastAsia="zh-CN" w:bidi="ar"/>
              </w:rPr>
              <w:t>1 分；满分3分；</w:t>
            </w:r>
          </w:p>
          <w:p w14:paraId="4F356DC0">
            <w:pPr>
              <w:keepNext w:val="0"/>
              <w:keepLines w:val="0"/>
              <w:pageBreakBefore w:val="0"/>
              <w:widowControl/>
              <w:kinsoku/>
              <w:wordWrap/>
              <w:overflowPunct/>
              <w:topLinePunct w:val="0"/>
              <w:bidi w:val="0"/>
              <w:spacing w:line="240" w:lineRule="auto"/>
              <w:jc w:val="left"/>
              <w:textAlignment w:val="auto"/>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3</w:t>
            </w:r>
            <w:r>
              <w:rPr>
                <w:rFonts w:ascii="仿宋" w:hAnsi="仿宋" w:eastAsia="仿宋" w:cs="仿宋"/>
                <w:color w:val="auto"/>
                <w:kern w:val="0"/>
                <w:sz w:val="24"/>
                <w:szCs w:val="24"/>
                <w:highlight w:val="none"/>
                <w:lang w:val="en-US" w:eastAsia="zh-CN" w:bidi="ar"/>
              </w:rPr>
              <w:t>、</w:t>
            </w:r>
            <w:r>
              <w:rPr>
                <w:rFonts w:hint="eastAsia" w:ascii="仿宋" w:hAnsi="仿宋" w:eastAsia="仿宋" w:cs="仿宋"/>
                <w:color w:val="auto"/>
                <w:kern w:val="0"/>
                <w:sz w:val="24"/>
                <w:szCs w:val="24"/>
                <w:highlight w:val="none"/>
                <w:lang w:val="en-US" w:eastAsia="zh-CN" w:bidi="ar"/>
              </w:rPr>
              <w:t>承诺服务人员因事、病不能工作的，及时请调其他服务人员补充，确保服务工作的正常进行，得1分，无承诺不得分。</w:t>
            </w:r>
          </w:p>
        </w:tc>
      </w:tr>
      <w:tr w14:paraId="7CF2D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4" w:hRule="atLeast"/>
          <w:jc w:val="center"/>
        </w:trPr>
        <w:tc>
          <w:tcPr>
            <w:tcW w:w="812" w:type="dxa"/>
            <w:tcBorders>
              <w:top w:val="single" w:color="auto" w:sz="4" w:space="0"/>
              <w:left w:val="single" w:color="auto" w:sz="4" w:space="0"/>
              <w:bottom w:val="single" w:color="auto" w:sz="4" w:space="0"/>
              <w:right w:val="single" w:color="auto" w:sz="4" w:space="0"/>
            </w:tcBorders>
            <w:noWrap w:val="0"/>
            <w:vAlign w:val="center"/>
          </w:tcPr>
          <w:p w14:paraId="4C0A222D">
            <w:pPr>
              <w:keepNext w:val="0"/>
              <w:keepLines w:val="0"/>
              <w:pageBreakBefore w:val="0"/>
              <w:widowControl/>
              <w:kinsoku/>
              <w:wordWrap/>
              <w:overflowPunct/>
              <w:topLinePunct w:val="0"/>
              <w:bidi w:val="0"/>
              <w:spacing w:line="240" w:lineRule="auto"/>
              <w:jc w:val="center"/>
              <w:textAlignment w:val="auto"/>
              <w:rPr>
                <w:rFonts w:hint="eastAsia" w:ascii="仿宋" w:hAnsi="仿宋" w:eastAsia="仿宋" w:cs="仿宋"/>
                <w:color w:val="auto"/>
                <w:kern w:val="0"/>
                <w:sz w:val="24"/>
                <w:szCs w:val="24"/>
                <w:highlight w:val="none"/>
                <w:lang w:bidi="ar"/>
              </w:rPr>
            </w:pPr>
            <w:r>
              <w:rPr>
                <w:rFonts w:hint="eastAsia" w:ascii="仿宋" w:hAnsi="仿宋" w:eastAsia="仿宋" w:cs="仿宋"/>
                <w:color w:val="auto"/>
                <w:kern w:val="0"/>
                <w:sz w:val="24"/>
                <w:szCs w:val="24"/>
                <w:highlight w:val="none"/>
                <w:lang w:val="en-US" w:eastAsia="zh-CN" w:bidi="ar"/>
              </w:rPr>
              <w:t>应急预案</w:t>
            </w:r>
          </w:p>
        </w:tc>
        <w:tc>
          <w:tcPr>
            <w:tcW w:w="927" w:type="dxa"/>
            <w:tcBorders>
              <w:top w:val="single" w:color="auto" w:sz="4" w:space="0"/>
              <w:left w:val="single" w:color="auto" w:sz="4" w:space="0"/>
              <w:bottom w:val="single" w:color="auto" w:sz="4" w:space="0"/>
              <w:right w:val="single" w:color="auto" w:sz="4" w:space="0"/>
            </w:tcBorders>
            <w:noWrap w:val="0"/>
            <w:vAlign w:val="center"/>
          </w:tcPr>
          <w:p w14:paraId="7DE555DC">
            <w:pPr>
              <w:keepNext w:val="0"/>
              <w:keepLines w:val="0"/>
              <w:pageBreakBefore w:val="0"/>
              <w:widowControl/>
              <w:kinsoku/>
              <w:wordWrap/>
              <w:overflowPunct/>
              <w:topLinePunct w:val="0"/>
              <w:bidi w:val="0"/>
              <w:spacing w:line="240" w:lineRule="auto"/>
              <w:jc w:val="center"/>
              <w:textAlignment w:val="auto"/>
              <w:rPr>
                <w:rFonts w:hint="default"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6</w:t>
            </w:r>
          </w:p>
        </w:tc>
        <w:tc>
          <w:tcPr>
            <w:tcW w:w="7696" w:type="dxa"/>
            <w:tcBorders>
              <w:top w:val="single" w:color="auto" w:sz="4" w:space="0"/>
              <w:left w:val="single" w:color="auto" w:sz="4" w:space="0"/>
              <w:bottom w:val="single" w:color="auto" w:sz="4" w:space="0"/>
              <w:right w:val="single" w:color="auto" w:sz="4" w:space="0"/>
            </w:tcBorders>
            <w:noWrap w:val="0"/>
            <w:vAlign w:val="center"/>
          </w:tcPr>
          <w:p w14:paraId="092079E8">
            <w:pPr>
              <w:keepNext w:val="0"/>
              <w:keepLines w:val="0"/>
              <w:pageBreakBefore w:val="0"/>
              <w:widowControl/>
              <w:kinsoku/>
              <w:wordWrap/>
              <w:overflowPunct/>
              <w:topLinePunct w:val="0"/>
              <w:bidi w:val="0"/>
              <w:spacing w:line="240" w:lineRule="auto"/>
              <w:textAlignment w:val="auto"/>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突然断电、断水</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恶劣天气应急</w:t>
            </w:r>
            <w:r>
              <w:rPr>
                <w:rFonts w:hint="eastAsia" w:ascii="仿宋" w:hAnsi="仿宋" w:eastAsia="仿宋" w:cs="仿宋"/>
                <w:color w:val="auto"/>
                <w:sz w:val="24"/>
                <w:szCs w:val="24"/>
                <w:highlight w:val="none"/>
                <w:lang w:eastAsia="zh-CN"/>
              </w:rPr>
              <w:t>预案：</w:t>
            </w:r>
            <w:r>
              <w:rPr>
                <w:rFonts w:hint="eastAsia" w:ascii="仿宋" w:hAnsi="仿宋" w:eastAsia="仿宋" w:cs="仿宋"/>
                <w:color w:val="auto"/>
                <w:kern w:val="0"/>
                <w:sz w:val="24"/>
                <w:szCs w:val="24"/>
                <w:highlight w:val="none"/>
                <w:lang w:val="en-US" w:eastAsia="zh-CN" w:bidi="ar"/>
              </w:rPr>
              <w:t>每提供一项得1分，满分3分，不提供不得分；</w:t>
            </w:r>
          </w:p>
          <w:p w14:paraId="2DDCACA3">
            <w:pPr>
              <w:keepNext w:val="0"/>
              <w:keepLines w:val="0"/>
              <w:pageBreakBefore w:val="0"/>
              <w:widowControl/>
              <w:kinsoku/>
              <w:wordWrap/>
              <w:overflowPunct/>
              <w:topLinePunct w:val="0"/>
              <w:bidi w:val="0"/>
              <w:spacing w:line="240" w:lineRule="auto"/>
              <w:textAlignment w:val="auto"/>
              <w:rPr>
                <w:rFonts w:hint="eastAsia"/>
                <w:color w:val="auto"/>
                <w:highlight w:val="none"/>
                <w:lang w:val="en-US" w:eastAsia="zh-CN"/>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各类节假日、</w:t>
            </w:r>
            <w:r>
              <w:rPr>
                <w:rFonts w:hint="eastAsia" w:ascii="仿宋" w:hAnsi="仿宋" w:eastAsia="仿宋" w:cs="仿宋"/>
                <w:color w:val="auto"/>
                <w:sz w:val="24"/>
                <w:szCs w:val="24"/>
                <w:highlight w:val="none"/>
                <w:lang w:val="en-US" w:eastAsia="zh-CN"/>
              </w:rPr>
              <w:t>各类</w:t>
            </w:r>
            <w:r>
              <w:rPr>
                <w:rFonts w:hint="eastAsia" w:ascii="仿宋" w:hAnsi="仿宋" w:eastAsia="仿宋" w:cs="仿宋"/>
                <w:color w:val="auto"/>
                <w:sz w:val="24"/>
                <w:szCs w:val="24"/>
                <w:highlight w:val="none"/>
              </w:rPr>
              <w:t>活动</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各类检查</w:t>
            </w:r>
            <w:r>
              <w:rPr>
                <w:rFonts w:hint="eastAsia" w:ascii="仿宋" w:hAnsi="仿宋" w:eastAsia="仿宋" w:cs="仿宋"/>
                <w:color w:val="auto"/>
                <w:sz w:val="24"/>
                <w:szCs w:val="24"/>
                <w:highlight w:val="none"/>
              </w:rPr>
              <w:t>应急方案</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kern w:val="0"/>
                <w:sz w:val="24"/>
                <w:szCs w:val="24"/>
                <w:highlight w:val="none"/>
                <w:lang w:val="en-US" w:eastAsia="zh-CN" w:bidi="ar"/>
              </w:rPr>
              <w:t>每提供一项得1分，满分3分，不提供不得分</w:t>
            </w:r>
            <w:r>
              <w:rPr>
                <w:rFonts w:hint="eastAsia" w:ascii="仿宋" w:hAnsi="仿宋" w:eastAsia="仿宋" w:cs="仿宋"/>
                <w:color w:val="auto"/>
                <w:spacing w:val="-4"/>
                <w:sz w:val="24"/>
                <w:szCs w:val="24"/>
                <w:highlight w:val="none"/>
              </w:rPr>
              <w:t>。</w:t>
            </w:r>
          </w:p>
        </w:tc>
      </w:tr>
      <w:tr w14:paraId="4EF92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812" w:type="dxa"/>
            <w:tcBorders>
              <w:top w:val="single" w:color="auto" w:sz="4" w:space="0"/>
              <w:left w:val="single" w:color="auto" w:sz="4" w:space="0"/>
              <w:bottom w:val="single" w:color="auto" w:sz="4" w:space="0"/>
              <w:right w:val="single" w:color="auto" w:sz="4" w:space="0"/>
            </w:tcBorders>
            <w:noWrap w:val="0"/>
            <w:vAlign w:val="center"/>
          </w:tcPr>
          <w:p w14:paraId="53253FE0">
            <w:pPr>
              <w:keepNext w:val="0"/>
              <w:keepLines w:val="0"/>
              <w:widowControl/>
              <w:suppressLineNumbers w:val="0"/>
              <w:jc w:val="center"/>
              <w:rPr>
                <w:color w:val="auto"/>
                <w:highlight w:val="none"/>
              </w:rPr>
            </w:pPr>
            <w:r>
              <w:rPr>
                <w:rFonts w:ascii="仿宋" w:hAnsi="仿宋" w:eastAsia="仿宋" w:cs="仿宋"/>
                <w:color w:val="auto"/>
                <w:kern w:val="0"/>
                <w:sz w:val="24"/>
                <w:szCs w:val="24"/>
                <w:highlight w:val="none"/>
                <w:lang w:val="en-US" w:eastAsia="zh-CN" w:bidi="ar"/>
              </w:rPr>
              <w:t>节能</w:t>
            </w:r>
          </w:p>
          <w:p w14:paraId="3E45EE82">
            <w:pPr>
              <w:keepNext w:val="0"/>
              <w:keepLines w:val="0"/>
              <w:widowControl/>
              <w:suppressLineNumbers w:val="0"/>
              <w:jc w:val="center"/>
              <w:rPr>
                <w:color w:val="auto"/>
                <w:highlight w:val="none"/>
              </w:rPr>
            </w:pPr>
            <w:r>
              <w:rPr>
                <w:rFonts w:hint="eastAsia" w:ascii="仿宋" w:hAnsi="仿宋" w:eastAsia="仿宋" w:cs="仿宋"/>
                <w:color w:val="auto"/>
                <w:kern w:val="0"/>
                <w:sz w:val="24"/>
                <w:szCs w:val="24"/>
                <w:highlight w:val="none"/>
                <w:lang w:val="en-US" w:eastAsia="zh-CN" w:bidi="ar"/>
              </w:rPr>
              <w:t>降耗</w:t>
            </w:r>
          </w:p>
          <w:p w14:paraId="4822E09E">
            <w:pPr>
              <w:keepNext w:val="0"/>
              <w:keepLines w:val="0"/>
              <w:widowControl/>
              <w:suppressLineNumbers w:val="0"/>
              <w:jc w:val="center"/>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方案</w:t>
            </w:r>
          </w:p>
        </w:tc>
        <w:tc>
          <w:tcPr>
            <w:tcW w:w="927" w:type="dxa"/>
            <w:tcBorders>
              <w:top w:val="single" w:color="auto" w:sz="4" w:space="0"/>
              <w:left w:val="single" w:color="auto" w:sz="4" w:space="0"/>
              <w:bottom w:val="single" w:color="auto" w:sz="4" w:space="0"/>
              <w:right w:val="single" w:color="auto" w:sz="4" w:space="0"/>
            </w:tcBorders>
            <w:noWrap w:val="0"/>
            <w:vAlign w:val="center"/>
          </w:tcPr>
          <w:p w14:paraId="1AEDC558">
            <w:pPr>
              <w:keepNext w:val="0"/>
              <w:keepLines w:val="0"/>
              <w:pageBreakBefore w:val="0"/>
              <w:widowControl/>
              <w:kinsoku/>
              <w:wordWrap/>
              <w:overflowPunct/>
              <w:topLinePunct w:val="0"/>
              <w:bidi w:val="0"/>
              <w:spacing w:line="240" w:lineRule="auto"/>
              <w:jc w:val="center"/>
              <w:textAlignment w:val="auto"/>
              <w:rPr>
                <w:rFonts w:hint="default"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4</w:t>
            </w:r>
          </w:p>
        </w:tc>
        <w:tc>
          <w:tcPr>
            <w:tcW w:w="7696" w:type="dxa"/>
            <w:tcBorders>
              <w:top w:val="single" w:color="auto" w:sz="4" w:space="0"/>
              <w:left w:val="single" w:color="auto" w:sz="4" w:space="0"/>
              <w:bottom w:val="single" w:color="auto" w:sz="4" w:space="0"/>
              <w:right w:val="single" w:color="auto" w:sz="4" w:space="0"/>
            </w:tcBorders>
            <w:noWrap w:val="0"/>
            <w:vAlign w:val="center"/>
          </w:tcPr>
          <w:p w14:paraId="1549F294">
            <w:pPr>
              <w:keepNext w:val="0"/>
              <w:keepLines w:val="0"/>
              <w:widowControl/>
              <w:suppressLineNumbers w:val="0"/>
              <w:jc w:val="left"/>
              <w:rPr>
                <w:rFonts w:hint="eastAsia"/>
                <w:color w:val="auto"/>
                <w:highlight w:val="none"/>
                <w:lang w:val="en-US" w:eastAsia="zh-CN"/>
              </w:rPr>
            </w:pPr>
            <w:r>
              <w:rPr>
                <w:rFonts w:hint="eastAsia" w:ascii="仿宋" w:hAnsi="仿宋" w:eastAsia="仿宋" w:cs="仿宋"/>
                <w:color w:val="auto"/>
                <w:kern w:val="0"/>
                <w:sz w:val="24"/>
                <w:szCs w:val="24"/>
                <w:highlight w:val="none"/>
                <w:lang w:val="en-US" w:eastAsia="zh-CN" w:bidi="ar"/>
              </w:rPr>
              <w:t>投标人</w:t>
            </w:r>
            <w:r>
              <w:rPr>
                <w:rFonts w:ascii="仿宋" w:hAnsi="仿宋" w:eastAsia="仿宋" w:cs="仿宋"/>
                <w:color w:val="auto"/>
                <w:kern w:val="0"/>
                <w:sz w:val="24"/>
                <w:szCs w:val="24"/>
                <w:highlight w:val="none"/>
                <w:lang w:val="en-US" w:eastAsia="zh-CN" w:bidi="ar"/>
              </w:rPr>
              <w:t>须结合本项目实际提供节能降耗专项管</w:t>
            </w:r>
            <w:r>
              <w:rPr>
                <w:rFonts w:hint="eastAsia" w:ascii="仿宋" w:hAnsi="仿宋" w:eastAsia="仿宋" w:cs="仿宋"/>
                <w:color w:val="auto"/>
                <w:kern w:val="0"/>
                <w:sz w:val="24"/>
                <w:szCs w:val="24"/>
                <w:highlight w:val="none"/>
                <w:lang w:val="en-US" w:eastAsia="zh-CN" w:bidi="ar"/>
              </w:rPr>
              <w:t>理制度，方案需包括以下内容：水电能耗管控制度、设施设备节能制度、耗材物资节约制度、节能宣传培训制度，每提供一项得1分，满分4分，不提供不得分。</w:t>
            </w:r>
          </w:p>
        </w:tc>
      </w:tr>
      <w:tr w14:paraId="767C18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jc w:val="center"/>
        </w:trPr>
        <w:tc>
          <w:tcPr>
            <w:tcW w:w="812" w:type="dxa"/>
            <w:tcBorders>
              <w:top w:val="single" w:color="auto" w:sz="4" w:space="0"/>
              <w:left w:val="single" w:color="auto" w:sz="4" w:space="0"/>
              <w:bottom w:val="single" w:color="auto" w:sz="4" w:space="0"/>
              <w:right w:val="single" w:color="auto" w:sz="4" w:space="0"/>
            </w:tcBorders>
            <w:noWrap w:val="0"/>
            <w:vAlign w:val="center"/>
          </w:tcPr>
          <w:p w14:paraId="7F1C63F9">
            <w:pPr>
              <w:keepNext w:val="0"/>
              <w:keepLines w:val="0"/>
              <w:pageBreakBefore w:val="0"/>
              <w:widowControl/>
              <w:kinsoku/>
              <w:wordWrap/>
              <w:overflowPunct/>
              <w:topLinePunct w:val="0"/>
              <w:bidi w:val="0"/>
              <w:spacing w:line="240" w:lineRule="auto"/>
              <w:jc w:val="center"/>
              <w:textAlignment w:val="auto"/>
              <w:rPr>
                <w:rFonts w:ascii="仿宋" w:hAnsi="仿宋" w:eastAsia="仿宋" w:cs="仿宋"/>
                <w:color w:val="auto"/>
                <w:kern w:val="0"/>
                <w:sz w:val="24"/>
                <w:szCs w:val="24"/>
                <w:highlight w:val="none"/>
                <w:lang w:bidi="ar"/>
              </w:rPr>
            </w:pPr>
            <w:r>
              <w:rPr>
                <w:rFonts w:ascii="仿宋" w:hAnsi="仿宋" w:eastAsia="仿宋" w:cs="仿宋"/>
                <w:color w:val="auto"/>
                <w:kern w:val="0"/>
                <w:sz w:val="24"/>
                <w:szCs w:val="24"/>
                <w:highlight w:val="none"/>
                <w:lang w:val="en-US" w:eastAsia="zh-CN" w:bidi="ar"/>
              </w:rPr>
              <w:t>培训</w:t>
            </w:r>
          </w:p>
          <w:p w14:paraId="264817C4">
            <w:pPr>
              <w:keepNext w:val="0"/>
              <w:keepLines w:val="0"/>
              <w:pageBreakBefore w:val="0"/>
              <w:widowControl/>
              <w:kinsoku/>
              <w:wordWrap/>
              <w:overflowPunct/>
              <w:topLinePunct w:val="0"/>
              <w:bidi w:val="0"/>
              <w:spacing w:line="240" w:lineRule="auto"/>
              <w:jc w:val="center"/>
              <w:textAlignment w:val="auto"/>
              <w:rPr>
                <w:rFonts w:ascii="仿宋" w:hAnsi="仿宋" w:eastAsia="仿宋" w:cs="仿宋"/>
                <w:color w:val="auto"/>
                <w:kern w:val="0"/>
                <w:sz w:val="24"/>
                <w:szCs w:val="24"/>
                <w:highlight w:val="none"/>
                <w:lang w:bidi="ar"/>
              </w:rPr>
            </w:pPr>
            <w:r>
              <w:rPr>
                <w:rFonts w:hint="eastAsia" w:ascii="仿宋" w:hAnsi="仿宋" w:eastAsia="仿宋" w:cs="仿宋"/>
                <w:color w:val="auto"/>
                <w:kern w:val="0"/>
                <w:sz w:val="24"/>
                <w:szCs w:val="24"/>
                <w:highlight w:val="none"/>
                <w:lang w:val="en-US" w:eastAsia="zh-CN" w:bidi="ar"/>
              </w:rPr>
              <w:t>考核</w:t>
            </w:r>
          </w:p>
          <w:p w14:paraId="76AC5CB5">
            <w:pPr>
              <w:keepNext w:val="0"/>
              <w:keepLines w:val="0"/>
              <w:pageBreakBefore w:val="0"/>
              <w:widowControl/>
              <w:kinsoku/>
              <w:wordWrap/>
              <w:overflowPunct/>
              <w:topLinePunct w:val="0"/>
              <w:bidi w:val="0"/>
              <w:spacing w:line="240" w:lineRule="auto"/>
              <w:jc w:val="center"/>
              <w:textAlignment w:val="auto"/>
              <w:rPr>
                <w:rFonts w:hint="eastAsia" w:ascii="仿宋" w:hAnsi="仿宋" w:eastAsia="仿宋" w:cs="仿宋"/>
                <w:color w:val="auto"/>
                <w:kern w:val="0"/>
                <w:sz w:val="24"/>
                <w:szCs w:val="24"/>
                <w:highlight w:val="none"/>
                <w:lang w:bidi="ar"/>
              </w:rPr>
            </w:pPr>
            <w:r>
              <w:rPr>
                <w:rFonts w:hint="eastAsia" w:ascii="仿宋" w:hAnsi="仿宋" w:eastAsia="仿宋" w:cs="仿宋"/>
                <w:color w:val="auto"/>
                <w:kern w:val="0"/>
                <w:sz w:val="24"/>
                <w:szCs w:val="24"/>
                <w:highlight w:val="none"/>
                <w:lang w:val="en-US" w:eastAsia="zh-CN" w:bidi="ar"/>
              </w:rPr>
              <w:t>方案</w:t>
            </w:r>
          </w:p>
        </w:tc>
        <w:tc>
          <w:tcPr>
            <w:tcW w:w="927" w:type="dxa"/>
            <w:tcBorders>
              <w:top w:val="single" w:color="auto" w:sz="4" w:space="0"/>
              <w:left w:val="single" w:color="auto" w:sz="4" w:space="0"/>
              <w:bottom w:val="single" w:color="auto" w:sz="4" w:space="0"/>
              <w:right w:val="single" w:color="auto" w:sz="4" w:space="0"/>
            </w:tcBorders>
            <w:noWrap w:val="0"/>
            <w:vAlign w:val="center"/>
          </w:tcPr>
          <w:p w14:paraId="6407193B">
            <w:pPr>
              <w:pStyle w:val="12"/>
              <w:jc w:val="center"/>
              <w:rPr>
                <w:rFonts w:hint="default"/>
                <w:color w:val="auto"/>
                <w:highlight w:val="none"/>
                <w:lang w:val="en-US" w:eastAsia="zh-CN"/>
              </w:rPr>
            </w:pPr>
            <w:r>
              <w:rPr>
                <w:rFonts w:hint="eastAsia" w:ascii="仿宋" w:hAnsi="仿宋" w:eastAsia="仿宋" w:cs="仿宋"/>
                <w:color w:val="auto"/>
                <w:kern w:val="0"/>
                <w:sz w:val="24"/>
                <w:szCs w:val="24"/>
                <w:highlight w:val="none"/>
                <w:lang w:val="en-US" w:eastAsia="zh-CN" w:bidi="ar"/>
              </w:rPr>
              <w:t>5</w:t>
            </w:r>
          </w:p>
        </w:tc>
        <w:tc>
          <w:tcPr>
            <w:tcW w:w="7696" w:type="dxa"/>
            <w:tcBorders>
              <w:top w:val="single" w:color="auto" w:sz="4" w:space="0"/>
              <w:left w:val="single" w:color="auto" w:sz="4" w:space="0"/>
              <w:bottom w:val="single" w:color="auto" w:sz="4" w:space="0"/>
              <w:right w:val="single" w:color="auto" w:sz="4" w:space="0"/>
            </w:tcBorders>
            <w:noWrap w:val="0"/>
            <w:vAlign w:val="center"/>
          </w:tcPr>
          <w:p w14:paraId="3CFB1A7E">
            <w:pPr>
              <w:keepNext w:val="0"/>
              <w:keepLines w:val="0"/>
              <w:pageBreakBefore w:val="0"/>
              <w:widowControl/>
              <w:kinsoku/>
              <w:wordWrap/>
              <w:overflowPunct/>
              <w:topLinePunct w:val="0"/>
              <w:bidi w:val="0"/>
              <w:spacing w:line="240" w:lineRule="auto"/>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针对本项目制定培训方案，方案包括：①工作程序与标准②管理层培训方案③员工培训方案</w:t>
            </w:r>
            <w:r>
              <w:rPr>
                <w:rFonts w:hint="eastAsia" w:ascii="仿宋" w:hAnsi="仿宋" w:eastAsia="仿宋" w:cs="仿宋"/>
                <w:color w:val="auto"/>
                <w:sz w:val="24"/>
                <w:highlight w:val="none"/>
                <w:lang w:eastAsia="zh-CN"/>
              </w:rPr>
              <w:t>，</w:t>
            </w:r>
            <w:r>
              <w:rPr>
                <w:rFonts w:hint="eastAsia" w:ascii="仿宋" w:hAnsi="仿宋" w:eastAsia="仿宋" w:cs="仿宋"/>
                <w:color w:val="auto"/>
                <w:kern w:val="0"/>
                <w:sz w:val="24"/>
                <w:szCs w:val="24"/>
                <w:highlight w:val="none"/>
                <w:lang w:val="en-US" w:eastAsia="zh-CN" w:bidi="ar"/>
              </w:rPr>
              <w:t>每提供一项得1分，满分3分，不提供不得分；</w:t>
            </w:r>
          </w:p>
          <w:p w14:paraId="3CDFF2C4">
            <w:pPr>
              <w:keepNext w:val="0"/>
              <w:keepLines w:val="0"/>
              <w:pageBreakBefore w:val="0"/>
              <w:widowControl/>
              <w:kinsoku/>
              <w:wordWrap/>
              <w:overflowPunct/>
              <w:topLinePunct w:val="0"/>
              <w:bidi w:val="0"/>
              <w:spacing w:line="240" w:lineRule="auto"/>
              <w:jc w:val="left"/>
              <w:textAlignment w:val="auto"/>
              <w:rPr>
                <w:rFonts w:hint="eastAsia" w:eastAsia="仿宋"/>
                <w:color w:val="auto"/>
                <w:highlight w:val="none"/>
                <w:lang w:val="en-US" w:eastAsia="zh-CN"/>
              </w:rPr>
            </w:pP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针对本项目制定</w:t>
            </w:r>
            <w:r>
              <w:rPr>
                <w:rFonts w:hint="eastAsia" w:ascii="仿宋" w:hAnsi="仿宋" w:eastAsia="仿宋" w:cs="仿宋"/>
                <w:color w:val="auto"/>
                <w:sz w:val="24"/>
                <w:highlight w:val="none"/>
                <w:lang w:eastAsia="zh-CN"/>
              </w:rPr>
              <w:t>考核</w:t>
            </w:r>
            <w:r>
              <w:rPr>
                <w:rFonts w:hint="eastAsia" w:ascii="仿宋" w:hAnsi="仿宋" w:eastAsia="仿宋" w:cs="仿宋"/>
                <w:color w:val="auto"/>
                <w:sz w:val="24"/>
                <w:highlight w:val="none"/>
              </w:rPr>
              <w:t>方案，方案包括：①管理层</w:t>
            </w:r>
            <w:r>
              <w:rPr>
                <w:rFonts w:hint="eastAsia" w:ascii="仿宋" w:hAnsi="仿宋" w:eastAsia="仿宋" w:cs="仿宋"/>
                <w:color w:val="auto"/>
                <w:sz w:val="24"/>
                <w:highlight w:val="none"/>
                <w:lang w:eastAsia="zh-CN"/>
              </w:rPr>
              <w:t>考核</w:t>
            </w:r>
            <w:r>
              <w:rPr>
                <w:rFonts w:hint="eastAsia" w:ascii="仿宋" w:hAnsi="仿宋" w:eastAsia="仿宋" w:cs="仿宋"/>
                <w:color w:val="auto"/>
                <w:sz w:val="24"/>
                <w:highlight w:val="none"/>
              </w:rPr>
              <w:t>方案②员工</w:t>
            </w:r>
            <w:r>
              <w:rPr>
                <w:rFonts w:hint="eastAsia" w:ascii="仿宋" w:hAnsi="仿宋" w:eastAsia="仿宋" w:cs="仿宋"/>
                <w:color w:val="auto"/>
                <w:sz w:val="24"/>
                <w:highlight w:val="none"/>
                <w:lang w:eastAsia="zh-CN"/>
              </w:rPr>
              <w:t>考核</w:t>
            </w:r>
            <w:r>
              <w:rPr>
                <w:rFonts w:hint="eastAsia" w:ascii="仿宋" w:hAnsi="仿宋" w:eastAsia="仿宋" w:cs="仿宋"/>
                <w:color w:val="auto"/>
                <w:sz w:val="24"/>
                <w:highlight w:val="none"/>
              </w:rPr>
              <w:t>方案</w:t>
            </w:r>
            <w:r>
              <w:rPr>
                <w:rFonts w:hint="eastAsia" w:ascii="仿宋" w:hAnsi="仿宋" w:eastAsia="仿宋" w:cs="仿宋"/>
                <w:color w:val="auto"/>
                <w:sz w:val="24"/>
                <w:highlight w:val="none"/>
                <w:lang w:eastAsia="zh-CN"/>
              </w:rPr>
              <w:t>，</w:t>
            </w:r>
            <w:r>
              <w:rPr>
                <w:rFonts w:hint="eastAsia" w:ascii="仿宋" w:hAnsi="仿宋" w:eastAsia="仿宋" w:cs="仿宋"/>
                <w:color w:val="auto"/>
                <w:kern w:val="0"/>
                <w:sz w:val="24"/>
                <w:szCs w:val="24"/>
                <w:highlight w:val="none"/>
                <w:lang w:val="en-US" w:eastAsia="zh-CN" w:bidi="ar"/>
              </w:rPr>
              <w:t>每提供一项得1分，满分2分，不提供不得分；</w:t>
            </w:r>
          </w:p>
        </w:tc>
      </w:tr>
      <w:tr w14:paraId="2D21F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8" w:hRule="atLeast"/>
          <w:jc w:val="center"/>
        </w:trPr>
        <w:tc>
          <w:tcPr>
            <w:tcW w:w="812" w:type="dxa"/>
            <w:tcBorders>
              <w:top w:val="single" w:color="auto" w:sz="4" w:space="0"/>
              <w:left w:val="single" w:color="auto" w:sz="4" w:space="0"/>
              <w:bottom w:val="single" w:color="auto" w:sz="4" w:space="0"/>
              <w:right w:val="single" w:color="auto" w:sz="4" w:space="0"/>
            </w:tcBorders>
            <w:noWrap w:val="0"/>
            <w:vAlign w:val="center"/>
          </w:tcPr>
          <w:p w14:paraId="349C0CB2">
            <w:pPr>
              <w:keepNext w:val="0"/>
              <w:keepLines w:val="0"/>
              <w:pageBreakBefore w:val="0"/>
              <w:widowControl/>
              <w:numPr>
                <w:ilvl w:val="0"/>
                <w:numId w:val="0"/>
              </w:numPr>
              <w:kinsoku/>
              <w:wordWrap/>
              <w:overflowPunct/>
              <w:topLinePunct w:val="0"/>
              <w:bidi w:val="0"/>
              <w:spacing w:line="240" w:lineRule="auto"/>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设备</w:t>
            </w:r>
          </w:p>
          <w:p w14:paraId="5640AEA8">
            <w:pPr>
              <w:keepNext w:val="0"/>
              <w:keepLines w:val="0"/>
              <w:pageBreakBefore w:val="0"/>
              <w:widowControl/>
              <w:numPr>
                <w:ilvl w:val="0"/>
                <w:numId w:val="0"/>
              </w:numPr>
              <w:kinsoku/>
              <w:wordWrap/>
              <w:overflowPunct/>
              <w:topLinePunct w:val="0"/>
              <w:bidi w:val="0"/>
              <w:spacing w:line="240" w:lineRule="auto"/>
              <w:jc w:val="center"/>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配置</w:t>
            </w:r>
          </w:p>
        </w:tc>
        <w:tc>
          <w:tcPr>
            <w:tcW w:w="927" w:type="dxa"/>
            <w:tcBorders>
              <w:top w:val="single" w:color="auto" w:sz="4" w:space="0"/>
              <w:left w:val="single" w:color="auto" w:sz="4" w:space="0"/>
              <w:bottom w:val="single" w:color="auto" w:sz="4" w:space="0"/>
              <w:right w:val="single" w:color="auto" w:sz="4" w:space="0"/>
            </w:tcBorders>
            <w:noWrap w:val="0"/>
            <w:vAlign w:val="center"/>
          </w:tcPr>
          <w:p w14:paraId="0355232C">
            <w:pPr>
              <w:pStyle w:val="12"/>
              <w:jc w:val="center"/>
              <w:rPr>
                <w:rFonts w:hint="default"/>
                <w:color w:val="auto"/>
                <w:highlight w:val="none"/>
                <w:lang w:val="en-US" w:eastAsia="zh-CN"/>
              </w:rPr>
            </w:pPr>
            <w:r>
              <w:rPr>
                <w:rFonts w:hint="eastAsia" w:ascii="仿宋" w:hAnsi="仿宋" w:eastAsia="仿宋" w:cs="仿宋"/>
                <w:color w:val="auto"/>
                <w:sz w:val="24"/>
                <w:szCs w:val="24"/>
                <w:highlight w:val="none"/>
                <w:lang w:val="en-US" w:eastAsia="zh-CN"/>
              </w:rPr>
              <w:t>3</w:t>
            </w:r>
          </w:p>
        </w:tc>
        <w:tc>
          <w:tcPr>
            <w:tcW w:w="7696" w:type="dxa"/>
            <w:tcBorders>
              <w:top w:val="single" w:color="auto" w:sz="4" w:space="0"/>
              <w:left w:val="single" w:color="auto" w:sz="4" w:space="0"/>
              <w:bottom w:val="single" w:color="auto" w:sz="4" w:space="0"/>
              <w:right w:val="single" w:color="auto" w:sz="4" w:space="0"/>
            </w:tcBorders>
            <w:noWrap w:val="0"/>
            <w:vAlign w:val="center"/>
          </w:tcPr>
          <w:p w14:paraId="3ACE8905">
            <w:pPr>
              <w:keepNext w:val="0"/>
              <w:keepLines w:val="0"/>
              <w:widowControl/>
              <w:suppressLineNumbers w:val="0"/>
              <w:jc w:val="lef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自有（或租赁）满足本项目需求的绿化养护设备，包括：浇灌水汽车、割草机、绿篱机。每提供一类设备的发票（或租赁合同）得1分，最高得3分。</w:t>
            </w:r>
            <w:r>
              <w:rPr>
                <w:rFonts w:ascii="仿宋" w:hAnsi="仿宋" w:eastAsia="仿宋" w:cs="仿宋"/>
                <w:color w:val="auto"/>
                <w:kern w:val="0"/>
                <w:sz w:val="24"/>
                <w:szCs w:val="24"/>
                <w:lang w:val="en-US" w:eastAsia="zh-CN" w:bidi="ar"/>
              </w:rPr>
              <w:t>不提供不得分。</w:t>
            </w:r>
          </w:p>
        </w:tc>
      </w:tr>
      <w:tr w14:paraId="46E85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6" w:hRule="atLeast"/>
          <w:jc w:val="center"/>
        </w:trPr>
        <w:tc>
          <w:tcPr>
            <w:tcW w:w="812" w:type="dxa"/>
            <w:tcBorders>
              <w:top w:val="single" w:color="auto" w:sz="4" w:space="0"/>
              <w:left w:val="single" w:color="auto" w:sz="4" w:space="0"/>
              <w:bottom w:val="single" w:color="auto" w:sz="4" w:space="0"/>
              <w:right w:val="single" w:color="auto" w:sz="4" w:space="0"/>
            </w:tcBorders>
            <w:noWrap w:val="0"/>
            <w:vAlign w:val="center"/>
          </w:tcPr>
          <w:p w14:paraId="428F092A">
            <w:pPr>
              <w:keepNext w:val="0"/>
              <w:keepLines w:val="0"/>
              <w:widowControl/>
              <w:suppressLineNumbers w:val="0"/>
              <w:jc w:val="left"/>
              <w:rPr>
                <w:color w:val="auto"/>
              </w:rPr>
            </w:pPr>
            <w:r>
              <w:rPr>
                <w:rFonts w:ascii="仿宋" w:hAnsi="仿宋" w:eastAsia="仿宋" w:cs="仿宋"/>
                <w:color w:val="auto"/>
                <w:kern w:val="0"/>
                <w:sz w:val="24"/>
                <w:szCs w:val="24"/>
                <w:lang w:val="en-US" w:eastAsia="zh-CN" w:bidi="ar"/>
              </w:rPr>
              <w:t xml:space="preserve">合理 </w:t>
            </w:r>
          </w:p>
          <w:p w14:paraId="45B503D6">
            <w:pPr>
              <w:keepNext w:val="0"/>
              <w:keepLines w:val="0"/>
              <w:widowControl/>
              <w:suppressLineNumbers w:val="0"/>
              <w:jc w:val="left"/>
              <w:rPr>
                <w:color w:val="auto"/>
              </w:rPr>
            </w:pPr>
            <w:r>
              <w:rPr>
                <w:rFonts w:hint="eastAsia" w:ascii="仿宋" w:hAnsi="仿宋" w:eastAsia="仿宋" w:cs="仿宋"/>
                <w:color w:val="auto"/>
                <w:kern w:val="0"/>
                <w:sz w:val="24"/>
                <w:szCs w:val="24"/>
                <w:lang w:val="en-US" w:eastAsia="zh-CN" w:bidi="ar"/>
              </w:rPr>
              <w:t xml:space="preserve">化建 </w:t>
            </w:r>
          </w:p>
          <w:p w14:paraId="5A42746E">
            <w:pPr>
              <w:keepNext w:val="0"/>
              <w:keepLines w:val="0"/>
              <w:widowControl/>
              <w:suppressLineNumbers w:val="0"/>
              <w:jc w:val="left"/>
              <w:rPr>
                <w:color w:val="auto"/>
              </w:rPr>
            </w:pPr>
            <w:r>
              <w:rPr>
                <w:rFonts w:hint="eastAsia" w:ascii="仿宋" w:hAnsi="仿宋" w:eastAsia="仿宋" w:cs="仿宋"/>
                <w:color w:val="auto"/>
                <w:kern w:val="0"/>
                <w:sz w:val="24"/>
                <w:szCs w:val="24"/>
                <w:lang w:val="en-US" w:eastAsia="zh-CN" w:bidi="ar"/>
              </w:rPr>
              <w:t>议</w:t>
            </w:r>
          </w:p>
          <w:p w14:paraId="1178C8C2">
            <w:pPr>
              <w:keepNext w:val="0"/>
              <w:keepLines w:val="0"/>
              <w:pageBreakBefore w:val="0"/>
              <w:kinsoku/>
              <w:wordWrap/>
              <w:overflowPunct/>
              <w:topLinePunct w:val="0"/>
              <w:bidi w:val="0"/>
              <w:snapToGrid/>
              <w:spacing w:line="240" w:lineRule="auto"/>
              <w:jc w:val="center"/>
              <w:textAlignment w:val="auto"/>
              <w:rPr>
                <w:rFonts w:hint="eastAsia" w:ascii="仿宋" w:hAnsi="仿宋" w:eastAsia="仿宋" w:cs="仿宋"/>
                <w:color w:val="auto"/>
                <w:kern w:val="2"/>
                <w:sz w:val="24"/>
                <w:szCs w:val="24"/>
                <w:highlight w:val="none"/>
                <w:lang w:val="en-US" w:eastAsia="zh-CN" w:bidi="ar-SA"/>
              </w:rPr>
            </w:pPr>
          </w:p>
        </w:tc>
        <w:tc>
          <w:tcPr>
            <w:tcW w:w="927" w:type="dxa"/>
            <w:tcBorders>
              <w:top w:val="single" w:color="auto" w:sz="4" w:space="0"/>
              <w:left w:val="single" w:color="auto" w:sz="4" w:space="0"/>
              <w:bottom w:val="single" w:color="auto" w:sz="4" w:space="0"/>
              <w:right w:val="single" w:color="auto" w:sz="4" w:space="0"/>
            </w:tcBorders>
            <w:noWrap w:val="0"/>
            <w:vAlign w:val="center"/>
          </w:tcPr>
          <w:p w14:paraId="05D7EFBE">
            <w:pPr>
              <w:keepNext w:val="0"/>
              <w:keepLines w:val="0"/>
              <w:pageBreakBefore w:val="0"/>
              <w:kinsoku/>
              <w:wordWrap/>
              <w:overflowPunct/>
              <w:topLinePunct w:val="0"/>
              <w:bidi w:val="0"/>
              <w:snapToGrid/>
              <w:spacing w:line="240" w:lineRule="auto"/>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w:t>
            </w:r>
          </w:p>
        </w:tc>
        <w:tc>
          <w:tcPr>
            <w:tcW w:w="7696" w:type="dxa"/>
            <w:tcBorders>
              <w:top w:val="single" w:color="auto" w:sz="4" w:space="0"/>
              <w:left w:val="single" w:color="auto" w:sz="4" w:space="0"/>
              <w:bottom w:val="single" w:color="auto" w:sz="4" w:space="0"/>
              <w:right w:val="single" w:color="auto" w:sz="4" w:space="0"/>
            </w:tcBorders>
            <w:noWrap w:val="0"/>
            <w:vAlign w:val="center"/>
          </w:tcPr>
          <w:p w14:paraId="3B7B7018">
            <w:pPr>
              <w:keepNext w:val="0"/>
              <w:keepLines w:val="0"/>
              <w:widowControl/>
              <w:suppressLineNumbers w:val="0"/>
              <w:jc w:val="left"/>
              <w:rPr>
                <w:color w:val="auto"/>
              </w:rPr>
            </w:pPr>
            <w:r>
              <w:rPr>
                <w:rFonts w:ascii="仿宋" w:hAnsi="仿宋" w:eastAsia="仿宋" w:cs="仿宋"/>
                <w:color w:val="auto"/>
                <w:kern w:val="0"/>
                <w:sz w:val="24"/>
                <w:szCs w:val="24"/>
                <w:lang w:val="en-US" w:eastAsia="zh-CN" w:bidi="ar"/>
              </w:rPr>
              <w:t>针对服务工作中的常见问题进行梳理，具有的良好的</w:t>
            </w:r>
            <w:r>
              <w:rPr>
                <w:rFonts w:hint="eastAsia" w:ascii="仿宋" w:hAnsi="仿宋" w:eastAsia="仿宋" w:cs="仿宋"/>
                <w:color w:val="auto"/>
                <w:kern w:val="0"/>
                <w:sz w:val="24"/>
                <w:szCs w:val="24"/>
                <w:lang w:val="en-US" w:eastAsia="zh-CN" w:bidi="ar"/>
              </w:rPr>
              <w:t>解决方案并向采购人提出合理化建议，每提供一条建议得1 分，满分2分。</w:t>
            </w:r>
            <w:r>
              <w:rPr>
                <w:rFonts w:ascii="仿宋" w:hAnsi="仿宋" w:eastAsia="仿宋" w:cs="仿宋"/>
                <w:color w:val="auto"/>
                <w:kern w:val="0"/>
                <w:sz w:val="24"/>
                <w:szCs w:val="24"/>
                <w:lang w:val="en-US" w:eastAsia="zh-CN" w:bidi="ar"/>
              </w:rPr>
              <w:t>不提供不得分。</w:t>
            </w:r>
          </w:p>
          <w:p w14:paraId="1352E885">
            <w:pPr>
              <w:keepNext w:val="0"/>
              <w:keepLines w:val="0"/>
              <w:widowControl/>
              <w:suppressLineNumbers w:val="0"/>
              <w:jc w:val="left"/>
              <w:rPr>
                <w:rFonts w:hint="default" w:ascii="仿宋" w:hAnsi="仿宋" w:eastAsia="仿宋" w:cs="仿宋"/>
                <w:color w:val="auto"/>
                <w:kern w:val="2"/>
                <w:sz w:val="24"/>
                <w:szCs w:val="24"/>
                <w:highlight w:val="none"/>
                <w:lang w:val="en-US" w:eastAsia="zh-CN" w:bidi="ar-SA"/>
              </w:rPr>
            </w:pPr>
          </w:p>
        </w:tc>
      </w:tr>
      <w:tr w14:paraId="03888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2" w:type="dxa"/>
            <w:tcBorders>
              <w:top w:val="single" w:color="auto" w:sz="4" w:space="0"/>
              <w:left w:val="single" w:color="auto" w:sz="4" w:space="0"/>
              <w:bottom w:val="single" w:color="auto" w:sz="4" w:space="0"/>
              <w:right w:val="single" w:color="auto" w:sz="4" w:space="0"/>
            </w:tcBorders>
            <w:noWrap w:val="0"/>
            <w:vAlign w:val="center"/>
          </w:tcPr>
          <w:p w14:paraId="0F820D7D">
            <w:pPr>
              <w:keepNext w:val="0"/>
              <w:keepLines w:val="0"/>
              <w:pageBreakBefore w:val="0"/>
              <w:kinsoku/>
              <w:wordWrap/>
              <w:overflowPunct/>
              <w:topLinePunct w:val="0"/>
              <w:bidi w:val="0"/>
              <w:spacing w:line="240" w:lineRule="auto"/>
              <w:jc w:val="center"/>
              <w:textAlignment w:val="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绿化养护方案</w:t>
            </w:r>
          </w:p>
        </w:tc>
        <w:tc>
          <w:tcPr>
            <w:tcW w:w="927" w:type="dxa"/>
            <w:tcBorders>
              <w:top w:val="single" w:color="auto" w:sz="4" w:space="0"/>
              <w:left w:val="single" w:color="auto" w:sz="4" w:space="0"/>
              <w:bottom w:val="single" w:color="auto" w:sz="4" w:space="0"/>
              <w:right w:val="single" w:color="auto" w:sz="4" w:space="0"/>
            </w:tcBorders>
            <w:noWrap w:val="0"/>
            <w:vAlign w:val="center"/>
          </w:tcPr>
          <w:p w14:paraId="0B476805">
            <w:pPr>
              <w:keepNext w:val="0"/>
              <w:keepLines w:val="0"/>
              <w:pageBreakBefore w:val="0"/>
              <w:kinsoku/>
              <w:wordWrap/>
              <w:overflowPunct/>
              <w:topLinePunct w:val="0"/>
              <w:bidi w:val="0"/>
              <w:spacing w:line="240" w:lineRule="auto"/>
              <w:jc w:val="center"/>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15</w:t>
            </w:r>
          </w:p>
        </w:tc>
        <w:tc>
          <w:tcPr>
            <w:tcW w:w="7696" w:type="dxa"/>
            <w:tcBorders>
              <w:top w:val="single" w:color="auto" w:sz="4" w:space="0"/>
              <w:left w:val="single" w:color="auto" w:sz="4" w:space="0"/>
              <w:bottom w:val="single" w:color="auto" w:sz="4" w:space="0"/>
              <w:right w:val="single" w:color="auto" w:sz="4" w:space="0"/>
            </w:tcBorders>
            <w:noWrap w:val="0"/>
            <w:vAlign w:val="center"/>
          </w:tcPr>
          <w:p w14:paraId="6F5D493F">
            <w:pPr>
              <w:keepNext w:val="0"/>
              <w:keepLines w:val="0"/>
              <w:pageBreakBefore w:val="0"/>
              <w:widowControl/>
              <w:kinsoku/>
              <w:wordWrap/>
              <w:overflowPunct/>
              <w:topLinePunct w:val="0"/>
              <w:bidi w:val="0"/>
              <w:spacing w:line="240" w:lineRule="auto"/>
              <w:textAlignment w:val="auto"/>
              <w:rPr>
                <w:rFonts w:hint="eastAsia" w:ascii="仿宋" w:hAnsi="仿宋" w:eastAsia="仿宋" w:cs="仿宋"/>
                <w:color w:val="auto"/>
                <w:kern w:val="0"/>
                <w:sz w:val="24"/>
                <w:szCs w:val="24"/>
                <w:highlight w:val="none"/>
              </w:rPr>
            </w:pPr>
            <w:r>
              <w:rPr>
                <w:rFonts w:hint="eastAsia" w:ascii="仿宋" w:hAnsi="仿宋" w:eastAsia="仿宋" w:cs="仿宋"/>
                <w:b/>
                <w:bCs/>
                <w:color w:val="auto"/>
                <w:kern w:val="0"/>
                <w:sz w:val="24"/>
                <w:szCs w:val="24"/>
                <w:highlight w:val="none"/>
              </w:rPr>
              <w:t>一、评审内容</w:t>
            </w:r>
          </w:p>
          <w:p w14:paraId="0510C174">
            <w:pPr>
              <w:keepNext w:val="0"/>
              <w:keepLines w:val="0"/>
              <w:pageBreakBefore w:val="0"/>
              <w:widowControl/>
              <w:kinsoku/>
              <w:wordWrap/>
              <w:overflowPunct/>
              <w:topLinePunct w:val="0"/>
              <w:bidi w:val="0"/>
              <w:spacing w:line="240" w:lineRule="auto"/>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针对本项目服务范围提出绿化养护方案，方案内容包括：①浇水②施肥③病虫害防治</w:t>
            </w:r>
            <w:r>
              <w:rPr>
                <w:rFonts w:hint="default" w:ascii="仿宋" w:hAnsi="仿宋" w:eastAsia="仿宋" w:cs="仿宋"/>
                <w:color w:val="auto"/>
                <w:kern w:val="0"/>
                <w:sz w:val="24"/>
                <w:szCs w:val="24"/>
                <w:highlight w:val="none"/>
              </w:rPr>
              <w:t>④</w:t>
            </w:r>
            <w:r>
              <w:rPr>
                <w:rFonts w:hint="eastAsia" w:ascii="仿宋" w:hAnsi="仿宋" w:eastAsia="仿宋" w:cs="仿宋"/>
                <w:color w:val="auto"/>
                <w:kern w:val="0"/>
                <w:sz w:val="24"/>
                <w:szCs w:val="24"/>
                <w:highlight w:val="none"/>
              </w:rPr>
              <w:t>整形修剪</w:t>
            </w:r>
            <w:r>
              <w:rPr>
                <w:rFonts w:hint="default" w:ascii="仿宋" w:hAnsi="仿宋" w:eastAsia="仿宋" w:cs="仿宋"/>
                <w:color w:val="auto"/>
                <w:kern w:val="0"/>
                <w:sz w:val="24"/>
                <w:szCs w:val="24"/>
                <w:highlight w:val="none"/>
              </w:rPr>
              <w:t>⑤</w:t>
            </w:r>
            <w:r>
              <w:rPr>
                <w:rFonts w:hint="eastAsia" w:ascii="仿宋" w:hAnsi="仿宋" w:eastAsia="仿宋" w:cs="仿宋"/>
                <w:color w:val="auto"/>
                <w:kern w:val="0"/>
                <w:sz w:val="24"/>
                <w:szCs w:val="24"/>
                <w:highlight w:val="none"/>
                <w:lang w:eastAsia="zh-CN"/>
              </w:rPr>
              <w:t>清</w:t>
            </w:r>
            <w:r>
              <w:rPr>
                <w:rFonts w:hint="eastAsia" w:ascii="仿宋" w:hAnsi="仿宋" w:eastAsia="仿宋" w:cs="仿宋"/>
                <w:color w:val="auto"/>
                <w:kern w:val="0"/>
                <w:sz w:val="24"/>
                <w:szCs w:val="24"/>
                <w:highlight w:val="none"/>
              </w:rPr>
              <w:t>除杂草。</w:t>
            </w:r>
          </w:p>
          <w:p w14:paraId="0D762F9C">
            <w:pPr>
              <w:keepNext w:val="0"/>
              <w:keepLines w:val="0"/>
              <w:pageBreakBefore w:val="0"/>
              <w:widowControl/>
              <w:kinsoku/>
              <w:wordWrap/>
              <w:overflowPunct/>
              <w:topLinePunct w:val="0"/>
              <w:bidi w:val="0"/>
              <w:spacing w:line="240" w:lineRule="auto"/>
              <w:textAlignment w:val="auto"/>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二、评审标准</w:t>
            </w:r>
          </w:p>
          <w:p w14:paraId="16FE7949">
            <w:pPr>
              <w:keepNext w:val="0"/>
              <w:keepLines w:val="0"/>
              <w:pageBreakBefore w:val="0"/>
              <w:widowControl/>
              <w:kinsoku/>
              <w:wordWrap/>
              <w:overflowPunct/>
              <w:topLinePunct w:val="0"/>
              <w:bidi w:val="0"/>
              <w:spacing w:line="240" w:lineRule="auto"/>
              <w:textAlignment w:val="auto"/>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1、完整性：方案必须全面，对评审内容中的各项要求有详细描述；</w:t>
            </w:r>
          </w:p>
          <w:p w14:paraId="547B38F2">
            <w:pPr>
              <w:keepNext w:val="0"/>
              <w:keepLines w:val="0"/>
              <w:pageBreakBefore w:val="0"/>
              <w:widowControl/>
              <w:kinsoku/>
              <w:wordWrap/>
              <w:overflowPunct/>
              <w:topLinePunct w:val="0"/>
              <w:bidi w:val="0"/>
              <w:spacing w:line="240" w:lineRule="auto"/>
              <w:textAlignment w:val="auto"/>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2、可实施性：切合本项目实际情况，提出步骤清晰、合理的方案；</w:t>
            </w:r>
          </w:p>
          <w:p w14:paraId="0C3284D7">
            <w:pPr>
              <w:keepNext w:val="0"/>
              <w:keepLines w:val="0"/>
              <w:pageBreakBefore w:val="0"/>
              <w:widowControl/>
              <w:kinsoku/>
              <w:wordWrap/>
              <w:overflowPunct/>
              <w:topLinePunct w:val="0"/>
              <w:bidi w:val="0"/>
              <w:spacing w:line="240" w:lineRule="auto"/>
              <w:textAlignment w:val="auto"/>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3、针对性：方案能够紧扣项目实际情况，内容科学合理。</w:t>
            </w:r>
          </w:p>
          <w:p w14:paraId="5A4E4399">
            <w:pPr>
              <w:keepNext w:val="0"/>
              <w:keepLines w:val="0"/>
              <w:pageBreakBefore w:val="0"/>
              <w:widowControl/>
              <w:kinsoku/>
              <w:wordWrap/>
              <w:overflowPunct/>
              <w:topLinePunct w:val="0"/>
              <w:bidi w:val="0"/>
              <w:spacing w:line="240" w:lineRule="auto"/>
              <w:textAlignment w:val="auto"/>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三、赋分标准（满分</w:t>
            </w:r>
            <w:r>
              <w:rPr>
                <w:rFonts w:hint="eastAsia" w:ascii="仿宋" w:hAnsi="仿宋" w:eastAsia="仿宋" w:cs="仿宋"/>
                <w:b/>
                <w:bCs/>
                <w:color w:val="auto"/>
                <w:kern w:val="0"/>
                <w:sz w:val="24"/>
                <w:szCs w:val="24"/>
                <w:highlight w:val="none"/>
                <w:lang w:val="en-US" w:eastAsia="zh-CN"/>
              </w:rPr>
              <w:t>15</w:t>
            </w:r>
            <w:r>
              <w:rPr>
                <w:rFonts w:hint="eastAsia" w:ascii="仿宋" w:hAnsi="仿宋" w:eastAsia="仿宋" w:cs="仿宋"/>
                <w:b/>
                <w:bCs/>
                <w:color w:val="auto"/>
                <w:kern w:val="0"/>
                <w:sz w:val="24"/>
                <w:szCs w:val="24"/>
                <w:highlight w:val="none"/>
              </w:rPr>
              <w:t>分）</w:t>
            </w:r>
          </w:p>
          <w:p w14:paraId="5DCE418F">
            <w:pPr>
              <w:keepNext w:val="0"/>
              <w:keepLines w:val="0"/>
              <w:pageBreakBefore w:val="0"/>
              <w:widowControl/>
              <w:kinsoku/>
              <w:wordWrap/>
              <w:overflowPunct/>
              <w:topLinePunct w:val="0"/>
              <w:bidi w:val="0"/>
              <w:spacing w:line="240" w:lineRule="auto"/>
              <w:textAlignment w:val="auto"/>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①</w:t>
            </w:r>
            <w:r>
              <w:rPr>
                <w:rFonts w:hint="eastAsia" w:ascii="仿宋" w:hAnsi="仿宋" w:eastAsia="仿宋" w:cs="仿宋"/>
                <w:color w:val="auto"/>
                <w:sz w:val="24"/>
                <w:szCs w:val="24"/>
                <w:highlight w:val="none"/>
              </w:rPr>
              <w:t>浇水施肥</w:t>
            </w:r>
            <w:r>
              <w:rPr>
                <w:rFonts w:hint="eastAsia" w:ascii="仿宋" w:hAnsi="仿宋" w:eastAsia="仿宋" w:cs="仿宋"/>
                <w:color w:val="auto"/>
                <w:kern w:val="0"/>
                <w:sz w:val="24"/>
                <w:szCs w:val="24"/>
                <w:highlight w:val="none"/>
              </w:rPr>
              <w:t>：每完全满足一个评审标准得</w:t>
            </w:r>
            <w:r>
              <w:rPr>
                <w:rFonts w:hint="eastAsia" w:ascii="仿宋" w:hAnsi="仿宋" w:eastAsia="仿宋" w:cs="仿宋"/>
                <w:color w:val="auto"/>
                <w:kern w:val="0"/>
                <w:sz w:val="24"/>
                <w:szCs w:val="24"/>
                <w:highlight w:val="none"/>
                <w:lang w:val="en-US" w:eastAsia="zh-CN"/>
              </w:rPr>
              <w:t>1</w:t>
            </w:r>
            <w:r>
              <w:rPr>
                <w:rFonts w:hint="eastAsia" w:ascii="仿宋" w:hAnsi="仿宋" w:eastAsia="仿宋" w:cs="仿宋"/>
                <w:color w:val="auto"/>
                <w:kern w:val="0"/>
                <w:sz w:val="24"/>
                <w:szCs w:val="24"/>
                <w:highlight w:val="none"/>
              </w:rPr>
              <w:t>分，满分</w:t>
            </w:r>
            <w:r>
              <w:rPr>
                <w:rFonts w:hint="eastAsia" w:ascii="仿宋" w:hAnsi="仿宋" w:eastAsia="仿宋" w:cs="仿宋"/>
                <w:color w:val="auto"/>
                <w:kern w:val="0"/>
                <w:sz w:val="24"/>
                <w:szCs w:val="24"/>
                <w:highlight w:val="none"/>
                <w:lang w:val="en-US" w:eastAsia="zh-CN"/>
              </w:rPr>
              <w:t>3</w:t>
            </w:r>
            <w:r>
              <w:rPr>
                <w:rFonts w:hint="eastAsia" w:ascii="仿宋" w:hAnsi="仿宋" w:eastAsia="仿宋" w:cs="仿宋"/>
                <w:color w:val="auto"/>
                <w:kern w:val="0"/>
                <w:sz w:val="24"/>
                <w:szCs w:val="24"/>
                <w:highlight w:val="none"/>
              </w:rPr>
              <w:t>分；</w:t>
            </w:r>
          </w:p>
          <w:p w14:paraId="59159285">
            <w:pPr>
              <w:keepNext w:val="0"/>
              <w:keepLines w:val="0"/>
              <w:pageBreakBefore w:val="0"/>
              <w:widowControl/>
              <w:kinsoku/>
              <w:wordWrap/>
              <w:overflowPunct/>
              <w:topLinePunct w:val="0"/>
              <w:bidi w:val="0"/>
              <w:spacing w:line="240" w:lineRule="auto"/>
              <w:textAlignment w:val="auto"/>
              <w:rPr>
                <w:rFonts w:ascii="仿宋" w:hAnsi="仿宋" w:eastAsia="仿宋" w:cs="仿宋"/>
                <w:color w:val="auto"/>
                <w:kern w:val="0"/>
                <w:sz w:val="24"/>
                <w:szCs w:val="24"/>
                <w:highlight w:val="none"/>
              </w:rPr>
            </w:pPr>
            <w:r>
              <w:rPr>
                <w:rFonts w:ascii="仿宋" w:hAnsi="仿宋" w:eastAsia="仿宋" w:cs="仿宋"/>
                <w:color w:val="auto"/>
                <w:kern w:val="0"/>
                <w:sz w:val="24"/>
                <w:szCs w:val="24"/>
                <w:highlight w:val="none"/>
              </w:rPr>
              <w:t>②</w:t>
            </w:r>
            <w:r>
              <w:rPr>
                <w:rFonts w:hint="eastAsia" w:ascii="仿宋" w:hAnsi="仿宋" w:eastAsia="仿宋" w:cs="仿宋"/>
                <w:color w:val="auto"/>
                <w:kern w:val="0"/>
                <w:sz w:val="24"/>
                <w:szCs w:val="24"/>
                <w:highlight w:val="none"/>
              </w:rPr>
              <w:t>病虫害防治</w:t>
            </w:r>
            <w:r>
              <w:rPr>
                <w:rFonts w:hint="eastAsia" w:ascii="仿宋" w:hAnsi="仿宋" w:eastAsia="仿宋" w:cs="仿宋"/>
                <w:color w:val="auto"/>
                <w:sz w:val="24"/>
                <w:szCs w:val="24"/>
                <w:highlight w:val="none"/>
              </w:rPr>
              <w:t>修剪</w:t>
            </w:r>
            <w:r>
              <w:rPr>
                <w:rFonts w:hint="eastAsia" w:ascii="仿宋" w:hAnsi="仿宋" w:eastAsia="仿宋" w:cs="仿宋"/>
                <w:color w:val="auto"/>
                <w:kern w:val="0"/>
                <w:sz w:val="24"/>
                <w:szCs w:val="24"/>
                <w:highlight w:val="none"/>
              </w:rPr>
              <w:t>：每完全满足一个评审标准得</w:t>
            </w:r>
            <w:r>
              <w:rPr>
                <w:rFonts w:hint="eastAsia" w:ascii="仿宋" w:hAnsi="仿宋" w:eastAsia="仿宋" w:cs="仿宋"/>
                <w:color w:val="auto"/>
                <w:kern w:val="0"/>
                <w:sz w:val="24"/>
                <w:szCs w:val="24"/>
                <w:highlight w:val="none"/>
                <w:lang w:val="en-US" w:eastAsia="zh-CN"/>
              </w:rPr>
              <w:t>1</w:t>
            </w:r>
            <w:r>
              <w:rPr>
                <w:rFonts w:hint="eastAsia" w:ascii="仿宋" w:hAnsi="仿宋" w:eastAsia="仿宋" w:cs="仿宋"/>
                <w:color w:val="auto"/>
                <w:kern w:val="0"/>
                <w:sz w:val="24"/>
                <w:szCs w:val="24"/>
                <w:highlight w:val="none"/>
              </w:rPr>
              <w:t>分，满分</w:t>
            </w:r>
            <w:r>
              <w:rPr>
                <w:rFonts w:hint="eastAsia" w:ascii="仿宋" w:hAnsi="仿宋" w:eastAsia="仿宋" w:cs="仿宋"/>
                <w:color w:val="auto"/>
                <w:kern w:val="0"/>
                <w:sz w:val="24"/>
                <w:szCs w:val="24"/>
                <w:highlight w:val="none"/>
                <w:lang w:val="en-US" w:eastAsia="zh-CN"/>
              </w:rPr>
              <w:t>3</w:t>
            </w:r>
            <w:r>
              <w:rPr>
                <w:rFonts w:hint="eastAsia" w:ascii="仿宋" w:hAnsi="仿宋" w:eastAsia="仿宋" w:cs="仿宋"/>
                <w:color w:val="auto"/>
                <w:kern w:val="0"/>
                <w:sz w:val="24"/>
                <w:szCs w:val="24"/>
                <w:highlight w:val="none"/>
              </w:rPr>
              <w:t>分；</w:t>
            </w:r>
          </w:p>
          <w:p w14:paraId="19DA381E">
            <w:pPr>
              <w:keepNext w:val="0"/>
              <w:keepLines w:val="0"/>
              <w:pageBreakBefore w:val="0"/>
              <w:widowControl/>
              <w:kinsoku/>
              <w:wordWrap/>
              <w:overflowPunct/>
              <w:topLinePunct w:val="0"/>
              <w:bidi w:val="0"/>
              <w:spacing w:line="240" w:lineRule="auto"/>
              <w:textAlignment w:val="auto"/>
              <w:rPr>
                <w:rFonts w:hint="eastAsia" w:ascii="仿宋" w:hAnsi="仿宋" w:eastAsia="仿宋" w:cs="仿宋"/>
                <w:color w:val="auto"/>
                <w:kern w:val="0"/>
                <w:sz w:val="24"/>
                <w:szCs w:val="24"/>
                <w:highlight w:val="none"/>
              </w:rPr>
            </w:pPr>
            <w:r>
              <w:rPr>
                <w:rFonts w:ascii="仿宋" w:hAnsi="仿宋" w:eastAsia="仿宋" w:cs="仿宋"/>
                <w:color w:val="auto"/>
                <w:kern w:val="0"/>
                <w:sz w:val="24"/>
                <w:szCs w:val="24"/>
                <w:highlight w:val="none"/>
              </w:rPr>
              <w:t>③</w:t>
            </w:r>
            <w:r>
              <w:rPr>
                <w:rFonts w:hint="eastAsia" w:ascii="仿宋" w:hAnsi="仿宋" w:eastAsia="仿宋" w:cs="仿宋"/>
                <w:color w:val="auto"/>
                <w:kern w:val="0"/>
                <w:sz w:val="24"/>
                <w:szCs w:val="24"/>
                <w:highlight w:val="none"/>
                <w:lang w:eastAsia="zh-CN"/>
              </w:rPr>
              <w:t>清</w:t>
            </w:r>
            <w:r>
              <w:rPr>
                <w:rFonts w:hint="eastAsia" w:ascii="仿宋" w:hAnsi="仿宋" w:eastAsia="仿宋" w:cs="仿宋"/>
                <w:color w:val="auto"/>
                <w:sz w:val="24"/>
                <w:szCs w:val="24"/>
                <w:highlight w:val="none"/>
              </w:rPr>
              <w:t>除杂草</w:t>
            </w:r>
            <w:r>
              <w:rPr>
                <w:rFonts w:hint="eastAsia" w:ascii="仿宋" w:hAnsi="仿宋" w:eastAsia="仿宋" w:cs="仿宋"/>
                <w:color w:val="auto"/>
                <w:kern w:val="0"/>
                <w:sz w:val="24"/>
                <w:szCs w:val="24"/>
                <w:highlight w:val="none"/>
              </w:rPr>
              <w:t>：每完全满足一个评审标准得</w:t>
            </w:r>
            <w:r>
              <w:rPr>
                <w:rFonts w:hint="eastAsia" w:ascii="仿宋" w:hAnsi="仿宋" w:eastAsia="仿宋" w:cs="仿宋"/>
                <w:color w:val="auto"/>
                <w:kern w:val="0"/>
                <w:sz w:val="24"/>
                <w:szCs w:val="24"/>
                <w:highlight w:val="none"/>
                <w:lang w:val="en-US" w:eastAsia="zh-CN"/>
              </w:rPr>
              <w:t>1</w:t>
            </w:r>
            <w:r>
              <w:rPr>
                <w:rFonts w:hint="eastAsia" w:ascii="仿宋" w:hAnsi="仿宋" w:eastAsia="仿宋" w:cs="仿宋"/>
                <w:color w:val="auto"/>
                <w:kern w:val="0"/>
                <w:sz w:val="24"/>
                <w:szCs w:val="24"/>
                <w:highlight w:val="none"/>
              </w:rPr>
              <w:t>分，满分</w:t>
            </w:r>
            <w:r>
              <w:rPr>
                <w:rFonts w:hint="eastAsia" w:ascii="仿宋" w:hAnsi="仿宋" w:eastAsia="仿宋" w:cs="仿宋"/>
                <w:color w:val="auto"/>
                <w:kern w:val="0"/>
                <w:sz w:val="24"/>
                <w:szCs w:val="24"/>
                <w:highlight w:val="none"/>
                <w:lang w:val="en-US" w:eastAsia="zh-CN"/>
              </w:rPr>
              <w:t>3</w:t>
            </w:r>
            <w:r>
              <w:rPr>
                <w:rFonts w:hint="eastAsia" w:ascii="仿宋" w:hAnsi="仿宋" w:eastAsia="仿宋" w:cs="仿宋"/>
                <w:color w:val="auto"/>
                <w:kern w:val="0"/>
                <w:sz w:val="24"/>
                <w:szCs w:val="24"/>
                <w:highlight w:val="none"/>
              </w:rPr>
              <w:t>分。</w:t>
            </w:r>
          </w:p>
          <w:p w14:paraId="621BC5A5">
            <w:pPr>
              <w:pStyle w:val="12"/>
              <w:rPr>
                <w:rFonts w:hint="eastAsia" w:ascii="仿宋" w:hAnsi="仿宋" w:eastAsia="仿宋" w:cs="仿宋"/>
                <w:color w:val="auto"/>
                <w:kern w:val="0"/>
                <w:sz w:val="24"/>
                <w:szCs w:val="24"/>
                <w:highlight w:val="none"/>
                <w:lang w:eastAsia="zh-CN"/>
              </w:rPr>
            </w:pPr>
            <w:r>
              <w:rPr>
                <w:rFonts w:hint="default" w:ascii="仿宋" w:hAnsi="仿宋" w:eastAsia="仿宋" w:cs="仿宋"/>
                <w:color w:val="auto"/>
                <w:kern w:val="0"/>
                <w:sz w:val="24"/>
                <w:szCs w:val="24"/>
                <w:highlight w:val="none"/>
              </w:rPr>
              <w:t>④</w:t>
            </w:r>
            <w:r>
              <w:rPr>
                <w:rFonts w:hint="eastAsia" w:ascii="仿宋" w:hAnsi="仿宋" w:eastAsia="仿宋" w:cs="仿宋"/>
                <w:color w:val="auto"/>
                <w:kern w:val="0"/>
                <w:sz w:val="24"/>
                <w:szCs w:val="24"/>
                <w:highlight w:val="none"/>
              </w:rPr>
              <w:t>整形修剪</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每完全满足一个评审标准得</w:t>
            </w:r>
            <w:r>
              <w:rPr>
                <w:rFonts w:hint="eastAsia" w:ascii="仿宋" w:hAnsi="仿宋" w:eastAsia="仿宋" w:cs="仿宋"/>
                <w:color w:val="auto"/>
                <w:kern w:val="0"/>
                <w:sz w:val="24"/>
                <w:szCs w:val="24"/>
                <w:highlight w:val="none"/>
                <w:lang w:val="en-US" w:eastAsia="zh-CN"/>
              </w:rPr>
              <w:t>1</w:t>
            </w:r>
            <w:r>
              <w:rPr>
                <w:rFonts w:hint="eastAsia" w:ascii="仿宋" w:hAnsi="仿宋" w:eastAsia="仿宋" w:cs="仿宋"/>
                <w:color w:val="auto"/>
                <w:kern w:val="0"/>
                <w:sz w:val="24"/>
                <w:szCs w:val="24"/>
                <w:highlight w:val="none"/>
              </w:rPr>
              <w:t>分，满分</w:t>
            </w:r>
            <w:r>
              <w:rPr>
                <w:rFonts w:hint="eastAsia" w:ascii="仿宋" w:hAnsi="仿宋" w:eastAsia="仿宋" w:cs="仿宋"/>
                <w:color w:val="auto"/>
                <w:kern w:val="0"/>
                <w:sz w:val="24"/>
                <w:szCs w:val="24"/>
                <w:highlight w:val="none"/>
                <w:lang w:val="en-US" w:eastAsia="zh-CN"/>
              </w:rPr>
              <w:t>3</w:t>
            </w:r>
            <w:r>
              <w:rPr>
                <w:rFonts w:hint="eastAsia" w:ascii="仿宋" w:hAnsi="仿宋" w:eastAsia="仿宋" w:cs="仿宋"/>
                <w:color w:val="auto"/>
                <w:kern w:val="0"/>
                <w:sz w:val="24"/>
                <w:szCs w:val="24"/>
                <w:highlight w:val="none"/>
              </w:rPr>
              <w:t>分。</w:t>
            </w:r>
          </w:p>
          <w:p w14:paraId="538522C1">
            <w:pPr>
              <w:rPr>
                <w:color w:val="auto"/>
                <w:highlight w:val="none"/>
              </w:rPr>
            </w:pPr>
            <w:r>
              <w:rPr>
                <w:rFonts w:hint="default" w:ascii="仿宋" w:hAnsi="仿宋" w:eastAsia="仿宋" w:cs="仿宋"/>
                <w:color w:val="auto"/>
                <w:kern w:val="0"/>
                <w:sz w:val="24"/>
                <w:szCs w:val="24"/>
                <w:highlight w:val="none"/>
              </w:rPr>
              <w:t>⑤</w:t>
            </w:r>
            <w:r>
              <w:rPr>
                <w:rFonts w:hint="eastAsia" w:ascii="仿宋" w:hAnsi="仿宋" w:eastAsia="仿宋" w:cs="仿宋"/>
                <w:color w:val="auto"/>
                <w:kern w:val="0"/>
                <w:sz w:val="24"/>
                <w:szCs w:val="24"/>
                <w:highlight w:val="none"/>
                <w:lang w:eastAsia="zh-CN"/>
              </w:rPr>
              <w:t>清</w:t>
            </w:r>
            <w:r>
              <w:rPr>
                <w:rFonts w:hint="eastAsia" w:ascii="仿宋" w:hAnsi="仿宋" w:eastAsia="仿宋" w:cs="仿宋"/>
                <w:color w:val="auto"/>
                <w:kern w:val="0"/>
                <w:sz w:val="24"/>
                <w:szCs w:val="24"/>
                <w:highlight w:val="none"/>
              </w:rPr>
              <w:t>除杂草</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每完全满足一个评审标准得</w:t>
            </w:r>
            <w:r>
              <w:rPr>
                <w:rFonts w:hint="eastAsia" w:ascii="仿宋" w:hAnsi="仿宋" w:eastAsia="仿宋" w:cs="仿宋"/>
                <w:color w:val="auto"/>
                <w:kern w:val="0"/>
                <w:sz w:val="24"/>
                <w:szCs w:val="24"/>
                <w:highlight w:val="none"/>
                <w:lang w:val="en-US" w:eastAsia="zh-CN"/>
              </w:rPr>
              <w:t>1</w:t>
            </w:r>
            <w:r>
              <w:rPr>
                <w:rFonts w:hint="eastAsia" w:ascii="仿宋" w:hAnsi="仿宋" w:eastAsia="仿宋" w:cs="仿宋"/>
                <w:color w:val="auto"/>
                <w:kern w:val="0"/>
                <w:sz w:val="24"/>
                <w:szCs w:val="24"/>
                <w:highlight w:val="none"/>
              </w:rPr>
              <w:t>分，满分</w:t>
            </w:r>
            <w:r>
              <w:rPr>
                <w:rFonts w:hint="eastAsia" w:ascii="仿宋" w:hAnsi="仿宋" w:eastAsia="仿宋" w:cs="仿宋"/>
                <w:color w:val="auto"/>
                <w:kern w:val="0"/>
                <w:sz w:val="24"/>
                <w:szCs w:val="24"/>
                <w:highlight w:val="none"/>
                <w:lang w:val="en-US" w:eastAsia="zh-CN"/>
              </w:rPr>
              <w:t>3</w:t>
            </w:r>
            <w:r>
              <w:rPr>
                <w:rFonts w:hint="eastAsia" w:ascii="仿宋" w:hAnsi="仿宋" w:eastAsia="仿宋" w:cs="仿宋"/>
                <w:color w:val="auto"/>
                <w:kern w:val="0"/>
                <w:sz w:val="24"/>
                <w:szCs w:val="24"/>
                <w:highlight w:val="none"/>
              </w:rPr>
              <w:t>分。</w:t>
            </w:r>
          </w:p>
        </w:tc>
      </w:tr>
      <w:tr w14:paraId="3DCEBC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2" w:type="dxa"/>
            <w:tcBorders>
              <w:top w:val="single" w:color="auto" w:sz="4" w:space="0"/>
              <w:left w:val="single" w:color="auto" w:sz="4" w:space="0"/>
              <w:bottom w:val="single" w:color="auto" w:sz="4" w:space="0"/>
              <w:right w:val="single" w:color="auto" w:sz="4" w:space="0"/>
            </w:tcBorders>
            <w:noWrap w:val="0"/>
            <w:vAlign w:val="center"/>
          </w:tcPr>
          <w:p w14:paraId="085D48E0">
            <w:pPr>
              <w:keepNext w:val="0"/>
              <w:keepLines w:val="0"/>
              <w:pageBreakBefore w:val="0"/>
              <w:kinsoku/>
              <w:wordWrap/>
              <w:overflowPunct/>
              <w:topLinePunct w:val="0"/>
              <w:bidi w:val="0"/>
              <w:spacing w:line="240" w:lineRule="auto"/>
              <w:jc w:val="center"/>
              <w:textAlignment w:val="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管理制度</w:t>
            </w:r>
          </w:p>
        </w:tc>
        <w:tc>
          <w:tcPr>
            <w:tcW w:w="927" w:type="dxa"/>
            <w:tcBorders>
              <w:top w:val="single" w:color="auto" w:sz="4" w:space="0"/>
              <w:left w:val="single" w:color="auto" w:sz="4" w:space="0"/>
              <w:bottom w:val="single" w:color="auto" w:sz="4" w:space="0"/>
              <w:right w:val="single" w:color="auto" w:sz="4" w:space="0"/>
            </w:tcBorders>
            <w:noWrap w:val="0"/>
            <w:vAlign w:val="center"/>
          </w:tcPr>
          <w:p w14:paraId="0AF0556F">
            <w:pPr>
              <w:keepNext w:val="0"/>
              <w:keepLines w:val="0"/>
              <w:pageBreakBefore w:val="0"/>
              <w:kinsoku/>
              <w:wordWrap/>
              <w:overflowPunct/>
              <w:topLinePunct w:val="0"/>
              <w:bidi w:val="0"/>
              <w:spacing w:line="240" w:lineRule="auto"/>
              <w:jc w:val="center"/>
              <w:textAlignment w:val="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9</w:t>
            </w:r>
          </w:p>
        </w:tc>
        <w:tc>
          <w:tcPr>
            <w:tcW w:w="7696" w:type="dxa"/>
            <w:tcBorders>
              <w:top w:val="single" w:color="auto" w:sz="4" w:space="0"/>
              <w:left w:val="single" w:color="auto" w:sz="4" w:space="0"/>
              <w:bottom w:val="single" w:color="auto" w:sz="4" w:space="0"/>
              <w:right w:val="single" w:color="auto" w:sz="4" w:space="0"/>
            </w:tcBorders>
            <w:noWrap w:val="0"/>
            <w:vAlign w:val="top"/>
          </w:tcPr>
          <w:p w14:paraId="4802A556">
            <w:pPr>
              <w:keepNext w:val="0"/>
              <w:keepLines w:val="0"/>
              <w:pageBreakBefore w:val="0"/>
              <w:widowControl/>
              <w:kinsoku/>
              <w:wordWrap/>
              <w:overflowPunct/>
              <w:topLinePunct w:val="0"/>
              <w:bidi w:val="0"/>
              <w:spacing w:line="240" w:lineRule="auto"/>
              <w:jc w:val="left"/>
              <w:textAlignment w:val="auto"/>
              <w:rPr>
                <w:rFonts w:ascii="仿宋" w:hAnsi="仿宋" w:eastAsia="仿宋" w:cs="仿宋"/>
                <w:color w:val="auto"/>
                <w:sz w:val="24"/>
                <w:szCs w:val="24"/>
                <w:highlight w:val="none"/>
              </w:rPr>
            </w:pPr>
            <w:r>
              <w:rPr>
                <w:rFonts w:hint="eastAsia" w:ascii="仿宋" w:hAnsi="仿宋" w:eastAsia="仿宋" w:cs="仿宋"/>
                <w:b/>
                <w:color w:val="auto"/>
                <w:sz w:val="24"/>
                <w:szCs w:val="24"/>
                <w:highlight w:val="none"/>
              </w:rPr>
              <w:t>一、评审内容</w:t>
            </w:r>
          </w:p>
          <w:p w14:paraId="3B8F6B93">
            <w:pPr>
              <w:keepNext w:val="0"/>
              <w:keepLines w:val="0"/>
              <w:pageBreakBefore w:val="0"/>
              <w:widowControl/>
              <w:kinsoku/>
              <w:wordWrap/>
              <w:overflowPunct/>
              <w:topLinePunct w:val="0"/>
              <w:bidi w:val="0"/>
              <w:spacing w:line="240" w:lineRule="auto"/>
              <w:textAlignment w:val="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投标人针对本项目具有良好的管理制度，</w:t>
            </w:r>
            <w:r>
              <w:rPr>
                <w:rFonts w:hint="eastAsia" w:ascii="仿宋" w:hAnsi="仿宋" w:eastAsia="仿宋" w:cs="仿宋"/>
                <w:color w:val="auto"/>
                <w:kern w:val="0"/>
                <w:sz w:val="24"/>
                <w:szCs w:val="24"/>
                <w:highlight w:val="none"/>
              </w:rPr>
              <w:t>制度</w:t>
            </w:r>
            <w:r>
              <w:rPr>
                <w:rFonts w:hint="eastAsia" w:ascii="仿宋" w:hAnsi="仿宋" w:eastAsia="仿宋" w:cs="仿宋"/>
                <w:bCs/>
                <w:color w:val="auto"/>
                <w:sz w:val="24"/>
                <w:szCs w:val="24"/>
                <w:highlight w:val="none"/>
              </w:rPr>
              <w:t>包含</w:t>
            </w:r>
            <w:r>
              <w:rPr>
                <w:rFonts w:hint="eastAsia" w:ascii="仿宋" w:hAnsi="仿宋" w:eastAsia="仿宋" w:cs="仿宋"/>
                <w:color w:val="auto"/>
                <w:sz w:val="24"/>
                <w:szCs w:val="24"/>
                <w:highlight w:val="none"/>
              </w:rPr>
              <w:t>：</w:t>
            </w:r>
            <w:r>
              <w:rPr>
                <w:rFonts w:hint="eastAsia" w:ascii="仿宋" w:hAnsi="仿宋" w:eastAsia="仿宋" w:cs="仿宋"/>
                <w:color w:val="auto"/>
                <w:kern w:val="0"/>
                <w:sz w:val="24"/>
                <w:szCs w:val="24"/>
                <w:highlight w:val="none"/>
              </w:rPr>
              <w:t>①公司管理制度②项目部管理</w:t>
            </w:r>
            <w:r>
              <w:rPr>
                <w:rFonts w:hint="eastAsia" w:ascii="仿宋" w:hAnsi="仿宋" w:eastAsia="仿宋" w:cs="仿宋"/>
                <w:color w:val="auto"/>
                <w:sz w:val="24"/>
                <w:szCs w:val="24"/>
                <w:highlight w:val="none"/>
              </w:rPr>
              <w:t>制度</w:t>
            </w:r>
            <w:r>
              <w:rPr>
                <w:rFonts w:hint="eastAsia" w:ascii="仿宋" w:hAnsi="仿宋" w:eastAsia="仿宋" w:cs="仿宋"/>
                <w:color w:val="auto"/>
                <w:kern w:val="0"/>
                <w:sz w:val="24"/>
                <w:szCs w:val="24"/>
                <w:highlight w:val="none"/>
              </w:rPr>
              <w:t>③</w:t>
            </w:r>
            <w:r>
              <w:rPr>
                <w:rFonts w:hint="eastAsia" w:ascii="仿宋" w:hAnsi="仿宋" w:eastAsia="仿宋" w:cs="仿宋"/>
                <w:color w:val="auto"/>
                <w:sz w:val="24"/>
                <w:szCs w:val="24"/>
                <w:highlight w:val="none"/>
              </w:rPr>
              <w:t>人员管理制度</w:t>
            </w:r>
          </w:p>
          <w:p w14:paraId="538BCF5C">
            <w:pPr>
              <w:keepNext w:val="0"/>
              <w:keepLines w:val="0"/>
              <w:pageBreakBefore w:val="0"/>
              <w:widowControl/>
              <w:kinsoku/>
              <w:wordWrap/>
              <w:overflowPunct/>
              <w:topLinePunct w:val="0"/>
              <w:bidi w:val="0"/>
              <w:spacing w:line="240" w:lineRule="auto"/>
              <w:jc w:val="left"/>
              <w:textAlignment w:val="auto"/>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二、评审标准</w:t>
            </w:r>
          </w:p>
          <w:p w14:paraId="39AAE181">
            <w:pPr>
              <w:keepNext w:val="0"/>
              <w:keepLines w:val="0"/>
              <w:pageBreakBefore w:val="0"/>
              <w:widowControl/>
              <w:tabs>
                <w:tab w:val="left" w:pos="547"/>
              </w:tabs>
              <w:kinsoku/>
              <w:wordWrap/>
              <w:overflowPunct/>
              <w:topLinePunct w:val="0"/>
              <w:autoSpaceDE w:val="0"/>
              <w:autoSpaceDN w:val="0"/>
              <w:bidi w:val="0"/>
              <w:adjustRightInd w:val="0"/>
              <w:spacing w:line="240" w:lineRule="auto"/>
              <w:textAlignment w:val="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1、完整性：方案必须全面，对评审内容中的各项要求有详细描述；</w:t>
            </w:r>
          </w:p>
          <w:p w14:paraId="239AE058">
            <w:pPr>
              <w:keepNext w:val="0"/>
              <w:keepLines w:val="0"/>
              <w:pageBreakBefore w:val="0"/>
              <w:widowControl/>
              <w:tabs>
                <w:tab w:val="left" w:pos="547"/>
              </w:tabs>
              <w:kinsoku/>
              <w:wordWrap/>
              <w:overflowPunct/>
              <w:topLinePunct w:val="0"/>
              <w:autoSpaceDE w:val="0"/>
              <w:autoSpaceDN w:val="0"/>
              <w:bidi w:val="0"/>
              <w:adjustRightInd w:val="0"/>
              <w:spacing w:line="240" w:lineRule="auto"/>
              <w:textAlignment w:val="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2、落实性：切合项目具体情况，提出责任明确、要求具体的方案；</w:t>
            </w:r>
          </w:p>
          <w:p w14:paraId="27513EC1">
            <w:pPr>
              <w:keepNext w:val="0"/>
              <w:keepLines w:val="0"/>
              <w:pageBreakBefore w:val="0"/>
              <w:widowControl/>
              <w:tabs>
                <w:tab w:val="left" w:pos="547"/>
              </w:tabs>
              <w:kinsoku/>
              <w:wordWrap/>
              <w:overflowPunct/>
              <w:topLinePunct w:val="0"/>
              <w:autoSpaceDE w:val="0"/>
              <w:autoSpaceDN w:val="0"/>
              <w:bidi w:val="0"/>
              <w:adjustRightInd w:val="0"/>
              <w:spacing w:line="240" w:lineRule="auto"/>
              <w:textAlignment w:val="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3、针对性：方案能够紧扣项目实际情况，内容科学合理。</w:t>
            </w:r>
          </w:p>
          <w:p w14:paraId="67675B8C">
            <w:pPr>
              <w:keepNext w:val="0"/>
              <w:keepLines w:val="0"/>
              <w:pageBreakBefore w:val="0"/>
              <w:widowControl/>
              <w:kinsoku/>
              <w:wordWrap/>
              <w:overflowPunct/>
              <w:topLinePunct w:val="0"/>
              <w:bidi w:val="0"/>
              <w:spacing w:line="240" w:lineRule="auto"/>
              <w:textAlignment w:val="auto"/>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三、赋分标准</w:t>
            </w:r>
            <w:r>
              <w:rPr>
                <w:rFonts w:hint="eastAsia" w:ascii="仿宋" w:hAnsi="仿宋" w:eastAsia="仿宋" w:cs="仿宋"/>
                <w:b/>
                <w:bCs/>
                <w:color w:val="auto"/>
                <w:kern w:val="0"/>
                <w:sz w:val="24"/>
                <w:szCs w:val="24"/>
                <w:highlight w:val="none"/>
              </w:rPr>
              <w:t>（满分9分）</w:t>
            </w:r>
          </w:p>
          <w:p w14:paraId="1C8FB3C7">
            <w:pPr>
              <w:keepNext w:val="0"/>
              <w:keepLines w:val="0"/>
              <w:pageBreakBefore w:val="0"/>
              <w:widowControl/>
              <w:kinsoku/>
              <w:wordWrap/>
              <w:overflowPunct/>
              <w:topLinePunct w:val="0"/>
              <w:bidi w:val="0"/>
              <w:spacing w:line="240" w:lineRule="auto"/>
              <w:textAlignment w:val="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①</w:t>
            </w:r>
            <w:r>
              <w:rPr>
                <w:rFonts w:hint="eastAsia" w:ascii="仿宋" w:hAnsi="仿宋" w:eastAsia="仿宋" w:cs="仿宋"/>
                <w:color w:val="auto"/>
                <w:kern w:val="0"/>
                <w:sz w:val="24"/>
                <w:szCs w:val="24"/>
                <w:highlight w:val="none"/>
              </w:rPr>
              <w:t>公司管理制度</w:t>
            </w:r>
            <w:r>
              <w:rPr>
                <w:rFonts w:hint="eastAsia" w:ascii="仿宋" w:hAnsi="仿宋" w:eastAsia="仿宋" w:cs="仿宋"/>
                <w:color w:val="auto"/>
                <w:sz w:val="24"/>
                <w:szCs w:val="24"/>
                <w:highlight w:val="none"/>
              </w:rPr>
              <w:t>：每完全满足一个评审标准得1分，满分3分；</w:t>
            </w:r>
          </w:p>
          <w:p w14:paraId="6F82CE95">
            <w:pPr>
              <w:keepNext w:val="0"/>
              <w:keepLines w:val="0"/>
              <w:pageBreakBefore w:val="0"/>
              <w:tabs>
                <w:tab w:val="left" w:pos="547"/>
              </w:tabs>
              <w:kinsoku/>
              <w:wordWrap/>
              <w:overflowPunct/>
              <w:topLinePunct w:val="0"/>
              <w:autoSpaceDE w:val="0"/>
              <w:autoSpaceDN w:val="0"/>
              <w:bidi w:val="0"/>
              <w:adjustRightInd w:val="0"/>
              <w:spacing w:line="240" w:lineRule="auto"/>
              <w:textAlignment w:val="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②项目部管理制度：每完全满足一个评审标准得1分，满分3分；</w:t>
            </w:r>
          </w:p>
          <w:p w14:paraId="428AE136">
            <w:pPr>
              <w:keepNext w:val="0"/>
              <w:keepLines w:val="0"/>
              <w:pageBreakBefore w:val="0"/>
              <w:tabs>
                <w:tab w:val="left" w:pos="547"/>
              </w:tabs>
              <w:kinsoku/>
              <w:wordWrap/>
              <w:overflowPunct/>
              <w:topLinePunct w:val="0"/>
              <w:autoSpaceDE w:val="0"/>
              <w:autoSpaceDN w:val="0"/>
              <w:bidi w:val="0"/>
              <w:adjustRightInd w:val="0"/>
              <w:spacing w:line="240" w:lineRule="auto"/>
              <w:textAlignment w:val="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③人员管理制度：每完全满足一个评审标准得1分，满分3分。</w:t>
            </w:r>
          </w:p>
        </w:tc>
      </w:tr>
      <w:tr w14:paraId="7F0B1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2" w:type="dxa"/>
            <w:tcBorders>
              <w:top w:val="single" w:color="auto" w:sz="4" w:space="0"/>
              <w:left w:val="single" w:color="auto" w:sz="4" w:space="0"/>
              <w:bottom w:val="single" w:color="auto" w:sz="4" w:space="0"/>
              <w:right w:val="single" w:color="auto" w:sz="4" w:space="0"/>
            </w:tcBorders>
            <w:noWrap w:val="0"/>
            <w:vAlign w:val="center"/>
          </w:tcPr>
          <w:p w14:paraId="1B7CF086">
            <w:pPr>
              <w:keepNext w:val="0"/>
              <w:keepLines w:val="0"/>
              <w:pageBreakBefore w:val="0"/>
              <w:kinsoku/>
              <w:wordWrap/>
              <w:overflowPunct/>
              <w:topLinePunct w:val="0"/>
              <w:bidi w:val="0"/>
              <w:spacing w:line="240" w:lineRule="auto"/>
              <w:jc w:val="center"/>
              <w:textAlignment w:val="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保障措施</w:t>
            </w:r>
          </w:p>
        </w:tc>
        <w:tc>
          <w:tcPr>
            <w:tcW w:w="927" w:type="dxa"/>
            <w:tcBorders>
              <w:top w:val="single" w:color="auto" w:sz="4" w:space="0"/>
              <w:left w:val="single" w:color="auto" w:sz="4" w:space="0"/>
              <w:bottom w:val="single" w:color="auto" w:sz="4" w:space="0"/>
              <w:right w:val="single" w:color="auto" w:sz="4" w:space="0"/>
            </w:tcBorders>
            <w:noWrap w:val="0"/>
            <w:vAlign w:val="center"/>
          </w:tcPr>
          <w:p w14:paraId="2582FD0F">
            <w:pPr>
              <w:keepNext w:val="0"/>
              <w:keepLines w:val="0"/>
              <w:pageBreakBefore w:val="0"/>
              <w:kinsoku/>
              <w:wordWrap/>
              <w:overflowPunct/>
              <w:topLinePunct w:val="0"/>
              <w:bidi w:val="0"/>
              <w:spacing w:line="240" w:lineRule="auto"/>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4</w:t>
            </w:r>
          </w:p>
        </w:tc>
        <w:tc>
          <w:tcPr>
            <w:tcW w:w="7696" w:type="dxa"/>
            <w:tcBorders>
              <w:top w:val="single" w:color="auto" w:sz="4" w:space="0"/>
              <w:left w:val="single" w:color="auto" w:sz="4" w:space="0"/>
              <w:bottom w:val="single" w:color="auto" w:sz="4" w:space="0"/>
              <w:right w:val="single" w:color="auto" w:sz="4" w:space="0"/>
            </w:tcBorders>
            <w:noWrap w:val="0"/>
            <w:vAlign w:val="top"/>
          </w:tcPr>
          <w:p w14:paraId="3C564651">
            <w:pPr>
              <w:keepNext w:val="0"/>
              <w:keepLines w:val="0"/>
              <w:pageBreakBefore w:val="0"/>
              <w:widowControl/>
              <w:kinsoku/>
              <w:wordWrap/>
              <w:overflowPunct/>
              <w:topLinePunct w:val="0"/>
              <w:bidi w:val="0"/>
              <w:spacing w:line="240" w:lineRule="auto"/>
              <w:textAlignment w:val="auto"/>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一、评审内容</w:t>
            </w:r>
          </w:p>
          <w:p w14:paraId="7ED3E36F">
            <w:pPr>
              <w:keepNext w:val="0"/>
              <w:keepLines w:val="0"/>
              <w:pageBreakBefore w:val="0"/>
              <w:widowControl/>
              <w:kinsoku/>
              <w:wordWrap/>
              <w:overflowPunct/>
              <w:topLinePunct w:val="0"/>
              <w:bidi w:val="0"/>
              <w:spacing w:line="240" w:lineRule="auto"/>
              <w:textAlignment w:val="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根据本项目特点制定保障措施，</w:t>
            </w:r>
            <w:r>
              <w:rPr>
                <w:rFonts w:hint="eastAsia" w:ascii="仿宋" w:hAnsi="仿宋" w:eastAsia="仿宋" w:cs="仿宋"/>
                <w:bCs/>
                <w:color w:val="auto"/>
                <w:sz w:val="24"/>
                <w:szCs w:val="24"/>
                <w:highlight w:val="none"/>
              </w:rPr>
              <w:t>措施</w:t>
            </w:r>
            <w:r>
              <w:rPr>
                <w:rFonts w:hint="eastAsia" w:ascii="仿宋" w:hAnsi="仿宋" w:eastAsia="仿宋" w:cs="仿宋"/>
                <w:color w:val="auto"/>
                <w:sz w:val="24"/>
                <w:szCs w:val="24"/>
                <w:highlight w:val="none"/>
              </w:rPr>
              <w:t>包括：①对服务人员服务质量有具体的</w:t>
            </w:r>
            <w:r>
              <w:rPr>
                <w:rFonts w:hint="eastAsia" w:ascii="仿宋" w:hAnsi="仿宋" w:eastAsia="仿宋" w:cs="仿宋"/>
                <w:color w:val="auto"/>
                <w:sz w:val="24"/>
                <w:szCs w:val="24"/>
                <w:highlight w:val="none"/>
                <w:lang w:eastAsia="zh-CN"/>
              </w:rPr>
              <w:t>保障措施</w:t>
            </w:r>
            <w:r>
              <w:rPr>
                <w:rFonts w:hint="eastAsia" w:ascii="仿宋" w:hAnsi="仿宋" w:eastAsia="仿宋" w:cs="仿宋"/>
                <w:color w:val="auto"/>
                <w:sz w:val="24"/>
                <w:szCs w:val="24"/>
                <w:highlight w:val="none"/>
              </w:rPr>
              <w:t>②对绿化养护及承包区域内环境卫生有保障措施。</w:t>
            </w:r>
          </w:p>
          <w:p w14:paraId="471A6C6D">
            <w:pPr>
              <w:keepNext w:val="0"/>
              <w:keepLines w:val="0"/>
              <w:pageBreakBefore w:val="0"/>
              <w:kinsoku/>
              <w:wordWrap/>
              <w:overflowPunct/>
              <w:topLinePunct w:val="0"/>
              <w:bidi w:val="0"/>
              <w:spacing w:line="240" w:lineRule="auto"/>
              <w:textAlignment w:val="auto"/>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二、评审标准</w:t>
            </w:r>
          </w:p>
          <w:p w14:paraId="3E6DF232">
            <w:pPr>
              <w:keepNext w:val="0"/>
              <w:keepLines w:val="0"/>
              <w:pageBreakBefore w:val="0"/>
              <w:widowControl/>
              <w:kinsoku/>
              <w:wordWrap/>
              <w:overflowPunct/>
              <w:topLinePunct w:val="0"/>
              <w:bidi w:val="0"/>
              <w:spacing w:line="240" w:lineRule="auto"/>
              <w:textAlignment w:val="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1、完整性：方案必须全面，对评审内容中的各项要求有详细描述；</w:t>
            </w:r>
          </w:p>
          <w:p w14:paraId="151A71DC">
            <w:pPr>
              <w:keepNext w:val="0"/>
              <w:keepLines w:val="0"/>
              <w:pageBreakBefore w:val="0"/>
              <w:widowControl/>
              <w:kinsoku/>
              <w:wordWrap/>
              <w:overflowPunct/>
              <w:topLinePunct w:val="0"/>
              <w:bidi w:val="0"/>
              <w:spacing w:line="240" w:lineRule="auto"/>
              <w:textAlignment w:val="auto"/>
              <w:rPr>
                <w:rFonts w:ascii="仿宋" w:hAnsi="仿宋" w:eastAsia="仿宋" w:cs="仿宋"/>
                <w:bCs/>
                <w:color w:val="auto"/>
                <w:sz w:val="24"/>
                <w:szCs w:val="24"/>
                <w:highlight w:val="none"/>
              </w:rPr>
            </w:pPr>
            <w:r>
              <w:rPr>
                <w:rFonts w:hint="eastAsia" w:ascii="仿宋" w:hAnsi="仿宋" w:eastAsia="仿宋" w:cs="仿宋"/>
                <w:color w:val="auto"/>
                <w:sz w:val="24"/>
                <w:szCs w:val="24"/>
                <w:highlight w:val="none"/>
              </w:rPr>
              <w:t>2、落实性：切合本项目实际情况，</w:t>
            </w:r>
            <w:r>
              <w:rPr>
                <w:rFonts w:hint="eastAsia" w:ascii="仿宋" w:hAnsi="仿宋" w:eastAsia="仿宋" w:cs="仿宋"/>
                <w:bCs/>
                <w:color w:val="auto"/>
                <w:sz w:val="24"/>
                <w:szCs w:val="24"/>
                <w:highlight w:val="none"/>
              </w:rPr>
              <w:t>提出责任明确、要求具体的方案；</w:t>
            </w:r>
          </w:p>
          <w:p w14:paraId="5E6BA3E1">
            <w:pPr>
              <w:keepNext w:val="0"/>
              <w:keepLines w:val="0"/>
              <w:pageBreakBefore w:val="0"/>
              <w:widowControl/>
              <w:kinsoku/>
              <w:wordWrap/>
              <w:overflowPunct/>
              <w:topLinePunct w:val="0"/>
              <w:bidi w:val="0"/>
              <w:spacing w:line="240" w:lineRule="auto"/>
              <w:textAlignment w:val="auto"/>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三、赋分标准(满分</w:t>
            </w:r>
            <w:r>
              <w:rPr>
                <w:rFonts w:hint="eastAsia" w:ascii="仿宋" w:hAnsi="仿宋" w:eastAsia="仿宋" w:cs="仿宋"/>
                <w:b/>
                <w:bCs/>
                <w:color w:val="auto"/>
                <w:sz w:val="24"/>
                <w:szCs w:val="24"/>
                <w:highlight w:val="none"/>
                <w:lang w:val="en-US" w:eastAsia="zh-CN"/>
              </w:rPr>
              <w:t>4</w:t>
            </w:r>
            <w:r>
              <w:rPr>
                <w:rFonts w:hint="eastAsia" w:ascii="仿宋" w:hAnsi="仿宋" w:eastAsia="仿宋" w:cs="仿宋"/>
                <w:b/>
                <w:bCs/>
                <w:color w:val="auto"/>
                <w:sz w:val="24"/>
                <w:szCs w:val="24"/>
                <w:highlight w:val="none"/>
              </w:rPr>
              <w:t>分）</w:t>
            </w:r>
          </w:p>
          <w:p w14:paraId="0F0984AE">
            <w:pPr>
              <w:keepNext w:val="0"/>
              <w:keepLines w:val="0"/>
              <w:pageBreakBefore w:val="0"/>
              <w:widowControl/>
              <w:kinsoku/>
              <w:wordWrap/>
              <w:overflowPunct/>
              <w:topLinePunct w:val="0"/>
              <w:bidi w:val="0"/>
              <w:spacing w:line="240" w:lineRule="auto"/>
              <w:textAlignment w:val="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①对服务人员服务质量有具体的</w:t>
            </w:r>
            <w:r>
              <w:rPr>
                <w:rFonts w:hint="eastAsia" w:ascii="仿宋" w:hAnsi="仿宋" w:eastAsia="仿宋" w:cs="仿宋"/>
                <w:color w:val="auto"/>
                <w:sz w:val="24"/>
                <w:szCs w:val="24"/>
                <w:highlight w:val="none"/>
                <w:lang w:eastAsia="zh-CN"/>
              </w:rPr>
              <w:t>保障措施</w:t>
            </w:r>
            <w:r>
              <w:rPr>
                <w:rFonts w:hint="eastAsia" w:ascii="仿宋" w:hAnsi="仿宋" w:eastAsia="仿宋" w:cs="仿宋"/>
                <w:color w:val="auto"/>
                <w:sz w:val="24"/>
                <w:szCs w:val="24"/>
                <w:highlight w:val="none"/>
              </w:rPr>
              <w:t>：每完全满足一个评审标准得</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分，满分</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w:t>
            </w:r>
          </w:p>
          <w:p w14:paraId="034BE3E4">
            <w:pPr>
              <w:keepNext w:val="0"/>
              <w:keepLines w:val="0"/>
              <w:pageBreakBefore w:val="0"/>
              <w:widowControl/>
              <w:kinsoku/>
              <w:wordWrap/>
              <w:overflowPunct/>
              <w:topLinePunct w:val="0"/>
              <w:bidi w:val="0"/>
              <w:spacing w:line="240" w:lineRule="auto"/>
              <w:textAlignment w:val="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②绿化养护及承包区域内环境卫生有保障措施:每完全满足一个评审标准得</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分，满分</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w:t>
            </w:r>
          </w:p>
        </w:tc>
      </w:tr>
      <w:tr w14:paraId="59045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2" w:type="dxa"/>
            <w:tcBorders>
              <w:top w:val="single" w:color="auto" w:sz="4" w:space="0"/>
              <w:left w:val="single" w:color="auto" w:sz="4" w:space="0"/>
              <w:bottom w:val="single" w:color="auto" w:sz="4" w:space="0"/>
              <w:right w:val="single" w:color="auto" w:sz="4" w:space="0"/>
            </w:tcBorders>
            <w:noWrap w:val="0"/>
            <w:vAlign w:val="center"/>
          </w:tcPr>
          <w:p w14:paraId="5383481C">
            <w:pPr>
              <w:keepNext w:val="0"/>
              <w:keepLines w:val="0"/>
              <w:pageBreakBefore w:val="0"/>
              <w:kinsoku/>
              <w:wordWrap/>
              <w:overflowPunct/>
              <w:topLinePunct w:val="0"/>
              <w:bidi w:val="0"/>
              <w:spacing w:line="240" w:lineRule="auto"/>
              <w:jc w:val="center"/>
              <w:textAlignment w:val="auto"/>
              <w:rPr>
                <w:rFonts w:ascii="仿宋" w:hAnsi="仿宋" w:eastAsia="仿宋" w:cs="仿宋"/>
                <w:color w:val="auto"/>
                <w:sz w:val="24"/>
                <w:highlight w:val="none"/>
              </w:rPr>
            </w:pPr>
            <w:r>
              <w:rPr>
                <w:rFonts w:hint="eastAsia" w:ascii="仿宋" w:hAnsi="仿宋" w:eastAsia="仿宋" w:cs="仿宋"/>
                <w:color w:val="auto"/>
                <w:sz w:val="24"/>
                <w:highlight w:val="none"/>
              </w:rPr>
              <w:t>反馈机制</w:t>
            </w:r>
          </w:p>
        </w:tc>
        <w:tc>
          <w:tcPr>
            <w:tcW w:w="927" w:type="dxa"/>
            <w:tcBorders>
              <w:top w:val="single" w:color="auto" w:sz="4" w:space="0"/>
              <w:left w:val="single" w:color="auto" w:sz="4" w:space="0"/>
              <w:bottom w:val="single" w:color="auto" w:sz="4" w:space="0"/>
              <w:right w:val="single" w:color="auto" w:sz="4" w:space="0"/>
            </w:tcBorders>
            <w:noWrap w:val="0"/>
            <w:vAlign w:val="center"/>
          </w:tcPr>
          <w:p w14:paraId="2F7FC47A">
            <w:pPr>
              <w:keepNext w:val="0"/>
              <w:keepLines w:val="0"/>
              <w:pageBreakBefore w:val="0"/>
              <w:kinsoku/>
              <w:wordWrap/>
              <w:overflowPunct/>
              <w:topLinePunct w:val="0"/>
              <w:bidi w:val="0"/>
              <w:spacing w:line="240" w:lineRule="auto"/>
              <w:jc w:val="center"/>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4</w:t>
            </w:r>
          </w:p>
        </w:tc>
        <w:tc>
          <w:tcPr>
            <w:tcW w:w="7696" w:type="dxa"/>
            <w:tcBorders>
              <w:top w:val="single" w:color="auto" w:sz="4" w:space="0"/>
              <w:left w:val="single" w:color="auto" w:sz="4" w:space="0"/>
              <w:bottom w:val="single" w:color="auto" w:sz="4" w:space="0"/>
              <w:right w:val="single" w:color="auto" w:sz="4" w:space="0"/>
            </w:tcBorders>
            <w:noWrap w:val="0"/>
            <w:vAlign w:val="top"/>
          </w:tcPr>
          <w:p w14:paraId="0ED44BAD">
            <w:pPr>
              <w:keepNext w:val="0"/>
              <w:keepLines w:val="0"/>
              <w:pageBreakBefore w:val="0"/>
              <w:widowControl/>
              <w:kinsoku/>
              <w:wordWrap/>
              <w:overflowPunct/>
              <w:topLinePunct w:val="0"/>
              <w:bidi w:val="0"/>
              <w:spacing w:line="240" w:lineRule="auto"/>
              <w:textAlignment w:val="auto"/>
              <w:rPr>
                <w:rFonts w:ascii="仿宋" w:hAnsi="仿宋" w:eastAsia="仿宋" w:cs="仿宋"/>
                <w:b/>
                <w:bCs/>
                <w:color w:val="auto"/>
                <w:sz w:val="24"/>
                <w:highlight w:val="none"/>
              </w:rPr>
            </w:pPr>
            <w:r>
              <w:rPr>
                <w:rFonts w:hint="eastAsia" w:ascii="仿宋" w:hAnsi="仿宋" w:eastAsia="仿宋" w:cs="仿宋"/>
                <w:b/>
                <w:bCs/>
                <w:color w:val="auto"/>
                <w:sz w:val="24"/>
                <w:highlight w:val="none"/>
              </w:rPr>
              <w:t>一、评审内容</w:t>
            </w:r>
          </w:p>
          <w:p w14:paraId="739722D6">
            <w:pPr>
              <w:keepNext w:val="0"/>
              <w:keepLines w:val="0"/>
              <w:pageBreakBefore w:val="0"/>
              <w:widowControl/>
              <w:kinsoku/>
              <w:wordWrap/>
              <w:overflowPunct/>
              <w:topLinePunct w:val="0"/>
              <w:bidi w:val="0"/>
              <w:spacing w:line="240" w:lineRule="auto"/>
              <w:textAlignment w:val="auto"/>
              <w:rPr>
                <w:rFonts w:ascii="仿宋" w:hAnsi="仿宋" w:eastAsia="仿宋" w:cs="仿宋"/>
                <w:color w:val="auto"/>
                <w:sz w:val="24"/>
                <w:highlight w:val="none"/>
              </w:rPr>
            </w:pPr>
            <w:r>
              <w:rPr>
                <w:rFonts w:hint="eastAsia" w:ascii="仿宋" w:hAnsi="仿宋" w:eastAsia="仿宋" w:cs="仿宋"/>
                <w:color w:val="auto"/>
                <w:sz w:val="24"/>
                <w:highlight w:val="none"/>
              </w:rPr>
              <w:t>根据本项目特点制定反馈机制，反馈机制内容包括：①有定期回访服务对象相关负责人的安排方案②有意见反馈机制。</w:t>
            </w:r>
          </w:p>
          <w:p w14:paraId="3D6CDB2B">
            <w:pPr>
              <w:keepNext w:val="0"/>
              <w:keepLines w:val="0"/>
              <w:pageBreakBefore w:val="0"/>
              <w:kinsoku/>
              <w:wordWrap/>
              <w:overflowPunct/>
              <w:topLinePunct w:val="0"/>
              <w:bidi w:val="0"/>
              <w:spacing w:line="240" w:lineRule="auto"/>
              <w:textAlignment w:val="auto"/>
              <w:rPr>
                <w:rFonts w:ascii="仿宋" w:hAnsi="仿宋" w:eastAsia="仿宋" w:cs="仿宋"/>
                <w:b/>
                <w:bCs/>
                <w:color w:val="auto"/>
                <w:kern w:val="0"/>
                <w:sz w:val="24"/>
                <w:highlight w:val="none"/>
              </w:rPr>
            </w:pPr>
            <w:r>
              <w:rPr>
                <w:rFonts w:hint="eastAsia" w:ascii="仿宋" w:hAnsi="仿宋" w:eastAsia="仿宋" w:cs="仿宋"/>
                <w:b/>
                <w:bCs/>
                <w:color w:val="auto"/>
                <w:kern w:val="0"/>
                <w:sz w:val="24"/>
                <w:highlight w:val="none"/>
              </w:rPr>
              <w:t>二、评审标准</w:t>
            </w:r>
          </w:p>
          <w:p w14:paraId="64B3C7FF">
            <w:pPr>
              <w:keepNext w:val="0"/>
              <w:keepLines w:val="0"/>
              <w:pageBreakBefore w:val="0"/>
              <w:widowControl/>
              <w:kinsoku/>
              <w:wordWrap/>
              <w:overflowPunct/>
              <w:topLinePunct w:val="0"/>
              <w:bidi w:val="0"/>
              <w:spacing w:line="240" w:lineRule="auto"/>
              <w:textAlignment w:val="auto"/>
              <w:rPr>
                <w:rFonts w:ascii="仿宋" w:hAnsi="仿宋" w:eastAsia="仿宋" w:cs="仿宋"/>
                <w:bCs/>
                <w:color w:val="auto"/>
                <w:sz w:val="24"/>
                <w:highlight w:val="none"/>
              </w:rPr>
            </w:pPr>
            <w:r>
              <w:rPr>
                <w:rFonts w:hint="eastAsia" w:ascii="仿宋" w:hAnsi="仿宋" w:eastAsia="仿宋" w:cs="仿宋"/>
                <w:bCs/>
                <w:color w:val="auto"/>
                <w:sz w:val="24"/>
                <w:highlight w:val="none"/>
              </w:rPr>
              <w:t>1、完整性：方案必须全面，对评审内容中的各项要求有详细描述；</w:t>
            </w:r>
          </w:p>
          <w:p w14:paraId="7F8F69E8">
            <w:pPr>
              <w:keepNext w:val="0"/>
              <w:keepLines w:val="0"/>
              <w:pageBreakBefore w:val="0"/>
              <w:widowControl/>
              <w:kinsoku/>
              <w:wordWrap/>
              <w:overflowPunct/>
              <w:topLinePunct w:val="0"/>
              <w:bidi w:val="0"/>
              <w:spacing w:line="240" w:lineRule="auto"/>
              <w:textAlignment w:val="auto"/>
              <w:rPr>
                <w:rFonts w:ascii="仿宋" w:hAnsi="仿宋" w:eastAsia="仿宋" w:cs="仿宋"/>
                <w:bCs/>
                <w:color w:val="auto"/>
                <w:sz w:val="24"/>
                <w:highlight w:val="none"/>
              </w:rPr>
            </w:pPr>
            <w:r>
              <w:rPr>
                <w:rFonts w:hint="eastAsia" w:ascii="仿宋" w:hAnsi="仿宋" w:eastAsia="仿宋" w:cs="仿宋"/>
                <w:color w:val="auto"/>
                <w:sz w:val="24"/>
                <w:highlight w:val="none"/>
              </w:rPr>
              <w:t>2、落实性：切合本项目实际情况，</w:t>
            </w:r>
            <w:r>
              <w:rPr>
                <w:rFonts w:hint="eastAsia" w:ascii="仿宋" w:hAnsi="仿宋" w:eastAsia="仿宋" w:cs="仿宋"/>
                <w:bCs/>
                <w:color w:val="auto"/>
                <w:sz w:val="24"/>
                <w:highlight w:val="none"/>
              </w:rPr>
              <w:t>提出责任明确、要求具体的方案；</w:t>
            </w:r>
          </w:p>
          <w:p w14:paraId="56A10732">
            <w:pPr>
              <w:keepNext w:val="0"/>
              <w:keepLines w:val="0"/>
              <w:pageBreakBefore w:val="0"/>
              <w:widowControl/>
              <w:kinsoku/>
              <w:wordWrap/>
              <w:overflowPunct/>
              <w:topLinePunct w:val="0"/>
              <w:bidi w:val="0"/>
              <w:spacing w:line="240" w:lineRule="auto"/>
              <w:textAlignment w:val="auto"/>
              <w:rPr>
                <w:rFonts w:ascii="仿宋" w:hAnsi="仿宋" w:eastAsia="仿宋" w:cs="仿宋"/>
                <w:b/>
                <w:bCs/>
                <w:color w:val="auto"/>
                <w:sz w:val="24"/>
                <w:highlight w:val="none"/>
              </w:rPr>
            </w:pPr>
            <w:r>
              <w:rPr>
                <w:rFonts w:hint="eastAsia" w:ascii="仿宋" w:hAnsi="仿宋" w:eastAsia="仿宋" w:cs="仿宋"/>
                <w:b/>
                <w:bCs/>
                <w:color w:val="auto"/>
                <w:sz w:val="24"/>
                <w:highlight w:val="none"/>
              </w:rPr>
              <w:t>三、赋分标准(满分</w:t>
            </w:r>
            <w:r>
              <w:rPr>
                <w:rFonts w:hint="eastAsia" w:ascii="仿宋" w:hAnsi="仿宋" w:eastAsia="仿宋" w:cs="仿宋"/>
                <w:b/>
                <w:bCs/>
                <w:color w:val="auto"/>
                <w:sz w:val="24"/>
                <w:highlight w:val="none"/>
                <w:lang w:val="en-US" w:eastAsia="zh-CN"/>
              </w:rPr>
              <w:t>4</w:t>
            </w:r>
            <w:r>
              <w:rPr>
                <w:rFonts w:hint="eastAsia" w:ascii="仿宋" w:hAnsi="仿宋" w:eastAsia="仿宋" w:cs="仿宋"/>
                <w:b/>
                <w:bCs/>
                <w:color w:val="auto"/>
                <w:sz w:val="24"/>
                <w:highlight w:val="none"/>
              </w:rPr>
              <w:t>分）</w:t>
            </w:r>
          </w:p>
          <w:p w14:paraId="71998EA7">
            <w:pPr>
              <w:keepNext w:val="0"/>
              <w:keepLines w:val="0"/>
              <w:pageBreakBefore w:val="0"/>
              <w:widowControl/>
              <w:kinsoku/>
              <w:wordWrap/>
              <w:overflowPunct/>
              <w:topLinePunct w:val="0"/>
              <w:bidi w:val="0"/>
              <w:spacing w:line="240" w:lineRule="auto"/>
              <w:textAlignment w:val="auto"/>
              <w:rPr>
                <w:rFonts w:ascii="仿宋" w:hAnsi="仿宋" w:eastAsia="仿宋" w:cs="仿宋"/>
                <w:color w:val="auto"/>
                <w:sz w:val="24"/>
                <w:highlight w:val="none"/>
              </w:rPr>
            </w:pPr>
            <w:r>
              <w:rPr>
                <w:rFonts w:hint="eastAsia" w:ascii="仿宋" w:hAnsi="仿宋" w:eastAsia="仿宋" w:cs="仿宋"/>
                <w:color w:val="auto"/>
                <w:sz w:val="24"/>
                <w:highlight w:val="none"/>
              </w:rPr>
              <w:t>①有定期回访服务对象相关负责人的安排方案：每完全满足一个评审标准得</w:t>
            </w: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分，满分</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分；</w:t>
            </w:r>
          </w:p>
          <w:p w14:paraId="29047145">
            <w:pPr>
              <w:keepNext w:val="0"/>
              <w:keepLines w:val="0"/>
              <w:pageBreakBefore w:val="0"/>
              <w:widowControl/>
              <w:kinsoku/>
              <w:wordWrap/>
              <w:overflowPunct/>
              <w:topLinePunct w:val="0"/>
              <w:bidi w:val="0"/>
              <w:spacing w:line="240" w:lineRule="auto"/>
              <w:textAlignment w:val="auto"/>
              <w:rPr>
                <w:rFonts w:ascii="仿宋" w:hAnsi="仿宋" w:eastAsia="仿宋" w:cs="仿宋"/>
                <w:color w:val="auto"/>
                <w:sz w:val="24"/>
                <w:highlight w:val="none"/>
              </w:rPr>
            </w:pPr>
            <w:r>
              <w:rPr>
                <w:rFonts w:hint="eastAsia" w:ascii="仿宋" w:hAnsi="仿宋" w:eastAsia="仿宋" w:cs="仿宋"/>
                <w:color w:val="auto"/>
                <w:sz w:val="24"/>
                <w:highlight w:val="none"/>
              </w:rPr>
              <w:t>②有意见反馈机制:每完全满足一个评审标准得</w:t>
            </w: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分，满分</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分；</w:t>
            </w:r>
          </w:p>
        </w:tc>
      </w:tr>
      <w:tr w14:paraId="2069D8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2" w:type="dxa"/>
            <w:tcBorders>
              <w:top w:val="single" w:color="auto" w:sz="4" w:space="0"/>
              <w:left w:val="single" w:color="auto" w:sz="4" w:space="0"/>
              <w:bottom w:val="single" w:color="auto" w:sz="4" w:space="0"/>
              <w:right w:val="single" w:color="auto" w:sz="4" w:space="0"/>
            </w:tcBorders>
            <w:noWrap w:val="0"/>
            <w:vAlign w:val="center"/>
          </w:tcPr>
          <w:p w14:paraId="1327A54B">
            <w:pPr>
              <w:keepNext w:val="0"/>
              <w:keepLines w:val="0"/>
              <w:pageBreakBefore w:val="0"/>
              <w:kinsoku/>
              <w:wordWrap/>
              <w:overflowPunct/>
              <w:topLinePunct w:val="0"/>
              <w:bidi w:val="0"/>
              <w:spacing w:line="240" w:lineRule="auto"/>
              <w:jc w:val="center"/>
              <w:textAlignment w:val="auto"/>
              <w:rPr>
                <w:rFonts w:ascii="仿宋" w:hAnsi="仿宋" w:eastAsia="仿宋" w:cs="仿宋"/>
                <w:color w:val="auto"/>
                <w:sz w:val="24"/>
                <w:highlight w:val="none"/>
              </w:rPr>
            </w:pPr>
            <w:r>
              <w:rPr>
                <w:rFonts w:hint="eastAsia" w:ascii="仿宋" w:hAnsi="仿宋" w:eastAsia="仿宋" w:cs="仿宋"/>
                <w:color w:val="auto"/>
                <w:sz w:val="24"/>
                <w:highlight w:val="none"/>
              </w:rPr>
              <w:t>服务承诺</w:t>
            </w:r>
          </w:p>
        </w:tc>
        <w:tc>
          <w:tcPr>
            <w:tcW w:w="927" w:type="dxa"/>
            <w:tcBorders>
              <w:top w:val="single" w:color="auto" w:sz="4" w:space="0"/>
              <w:left w:val="single" w:color="auto" w:sz="4" w:space="0"/>
              <w:bottom w:val="single" w:color="auto" w:sz="4" w:space="0"/>
              <w:right w:val="single" w:color="auto" w:sz="4" w:space="0"/>
            </w:tcBorders>
            <w:noWrap w:val="0"/>
            <w:vAlign w:val="center"/>
          </w:tcPr>
          <w:p w14:paraId="090F0D07">
            <w:pPr>
              <w:keepNext w:val="0"/>
              <w:keepLines w:val="0"/>
              <w:pageBreakBefore w:val="0"/>
              <w:kinsoku/>
              <w:wordWrap/>
              <w:overflowPunct/>
              <w:topLinePunct w:val="0"/>
              <w:bidi w:val="0"/>
              <w:spacing w:line="240" w:lineRule="auto"/>
              <w:jc w:val="center"/>
              <w:textAlignment w:val="auto"/>
              <w:rPr>
                <w:rFonts w:ascii="仿宋" w:hAnsi="仿宋" w:eastAsia="仿宋" w:cs="仿宋"/>
                <w:color w:val="auto"/>
                <w:sz w:val="24"/>
                <w:highlight w:val="none"/>
              </w:rPr>
            </w:pPr>
            <w:r>
              <w:rPr>
                <w:rFonts w:hint="eastAsia" w:ascii="仿宋" w:hAnsi="仿宋" w:eastAsia="仿宋" w:cs="仿宋"/>
                <w:color w:val="auto"/>
                <w:sz w:val="24"/>
                <w:highlight w:val="none"/>
              </w:rPr>
              <w:t>8</w:t>
            </w:r>
          </w:p>
        </w:tc>
        <w:tc>
          <w:tcPr>
            <w:tcW w:w="7696" w:type="dxa"/>
            <w:tcBorders>
              <w:top w:val="single" w:color="auto" w:sz="4" w:space="0"/>
              <w:left w:val="single" w:color="auto" w:sz="4" w:space="0"/>
              <w:bottom w:val="single" w:color="auto" w:sz="4" w:space="0"/>
              <w:right w:val="single" w:color="auto" w:sz="4" w:space="0"/>
            </w:tcBorders>
            <w:noWrap w:val="0"/>
            <w:vAlign w:val="center"/>
          </w:tcPr>
          <w:p w14:paraId="014A7689">
            <w:pPr>
              <w:keepNext w:val="0"/>
              <w:keepLines w:val="0"/>
              <w:pageBreakBefore w:val="0"/>
              <w:widowControl/>
              <w:kinsoku/>
              <w:wordWrap/>
              <w:overflowPunct/>
              <w:topLinePunct w:val="0"/>
              <w:bidi w:val="0"/>
              <w:spacing w:line="240" w:lineRule="auto"/>
              <w:textAlignment w:val="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一、评审内容</w:t>
            </w:r>
          </w:p>
          <w:p w14:paraId="0DA2B434">
            <w:pPr>
              <w:keepNext w:val="0"/>
              <w:keepLines w:val="0"/>
              <w:pageBreakBefore w:val="0"/>
              <w:widowControl/>
              <w:kinsoku/>
              <w:wordWrap/>
              <w:overflowPunct/>
              <w:topLinePunct w:val="0"/>
              <w:bidi w:val="0"/>
              <w:spacing w:line="240" w:lineRule="auto"/>
              <w:textAlignment w:val="auto"/>
              <w:rPr>
                <w:rFonts w:ascii="仿宋" w:hAnsi="仿宋" w:eastAsia="仿宋" w:cs="仿宋"/>
                <w:color w:val="auto"/>
                <w:sz w:val="24"/>
                <w:highlight w:val="none"/>
              </w:rPr>
            </w:pPr>
            <w:r>
              <w:rPr>
                <w:rFonts w:hint="eastAsia" w:ascii="仿宋" w:hAnsi="仿宋" w:eastAsia="仿宋" w:cs="仿宋"/>
                <w:color w:val="auto"/>
                <w:sz w:val="24"/>
                <w:highlight w:val="none"/>
              </w:rPr>
              <w:t>根据本项目特点制定服务承诺，服务承诺内容包括：①对服务达到的质量标准、拟采取的措施做出服务承诺②对绿化养护、绿化区域内垃圾清运做出承诺③对配合</w:t>
            </w:r>
            <w:r>
              <w:rPr>
                <w:rFonts w:hint="eastAsia" w:ascii="仿宋" w:hAnsi="仿宋" w:eastAsia="仿宋" w:cs="仿宋"/>
                <w:color w:val="auto"/>
                <w:sz w:val="24"/>
                <w:highlight w:val="none"/>
                <w:lang w:val="en-US" w:eastAsia="zh-CN"/>
              </w:rPr>
              <w:t>采购人</w:t>
            </w:r>
            <w:r>
              <w:rPr>
                <w:rFonts w:hint="eastAsia" w:ascii="仿宋" w:hAnsi="仿宋" w:eastAsia="仿宋" w:cs="仿宋"/>
                <w:color w:val="auto"/>
                <w:sz w:val="24"/>
                <w:highlight w:val="none"/>
              </w:rPr>
              <w:t>重大活动做出服务承诺④接受采购人对所提供绿化养护服务的监督批评及意见的承诺。</w:t>
            </w:r>
          </w:p>
          <w:p w14:paraId="18E2BA6A">
            <w:pPr>
              <w:keepNext w:val="0"/>
              <w:keepLines w:val="0"/>
              <w:pageBreakBefore w:val="0"/>
              <w:widowControl/>
              <w:kinsoku/>
              <w:wordWrap/>
              <w:overflowPunct/>
              <w:topLinePunct w:val="0"/>
              <w:bidi w:val="0"/>
              <w:spacing w:line="240" w:lineRule="auto"/>
              <w:textAlignment w:val="auto"/>
              <w:rPr>
                <w:rFonts w:ascii="仿宋" w:hAnsi="仿宋" w:eastAsia="仿宋" w:cs="仿宋"/>
                <w:b/>
                <w:bCs/>
                <w:color w:val="auto"/>
                <w:sz w:val="24"/>
                <w:highlight w:val="none"/>
              </w:rPr>
            </w:pPr>
            <w:r>
              <w:rPr>
                <w:rFonts w:hint="eastAsia" w:ascii="仿宋" w:hAnsi="仿宋" w:eastAsia="仿宋" w:cs="仿宋"/>
                <w:b/>
                <w:bCs/>
                <w:color w:val="auto"/>
                <w:sz w:val="24"/>
                <w:highlight w:val="none"/>
              </w:rPr>
              <w:t>二、评审标准</w:t>
            </w:r>
          </w:p>
          <w:p w14:paraId="64BD997D">
            <w:pPr>
              <w:keepNext w:val="0"/>
              <w:keepLines w:val="0"/>
              <w:pageBreakBefore w:val="0"/>
              <w:widowControl/>
              <w:kinsoku/>
              <w:wordWrap/>
              <w:overflowPunct/>
              <w:topLinePunct w:val="0"/>
              <w:bidi w:val="0"/>
              <w:spacing w:line="240" w:lineRule="auto"/>
              <w:textAlignment w:val="auto"/>
              <w:rPr>
                <w:rFonts w:ascii="仿宋" w:hAnsi="仿宋" w:eastAsia="仿宋" w:cs="仿宋"/>
                <w:color w:val="auto"/>
                <w:sz w:val="24"/>
                <w:highlight w:val="none"/>
              </w:rPr>
            </w:pPr>
            <w:r>
              <w:rPr>
                <w:rFonts w:hint="eastAsia" w:ascii="仿宋" w:hAnsi="仿宋" w:eastAsia="仿宋" w:cs="仿宋"/>
                <w:color w:val="auto"/>
                <w:sz w:val="24"/>
                <w:highlight w:val="none"/>
              </w:rPr>
              <w:t>1、完整性：方案必须全面，对评审内容中的各项要求有详细描述；</w:t>
            </w:r>
          </w:p>
          <w:p w14:paraId="649B6CD1">
            <w:pPr>
              <w:keepNext w:val="0"/>
              <w:keepLines w:val="0"/>
              <w:pageBreakBefore w:val="0"/>
              <w:widowControl/>
              <w:kinsoku/>
              <w:wordWrap/>
              <w:overflowPunct/>
              <w:topLinePunct w:val="0"/>
              <w:bidi w:val="0"/>
              <w:spacing w:line="240" w:lineRule="auto"/>
              <w:textAlignment w:val="auto"/>
              <w:rPr>
                <w:rFonts w:ascii="仿宋" w:hAnsi="仿宋" w:eastAsia="仿宋" w:cs="仿宋"/>
                <w:color w:val="auto"/>
                <w:sz w:val="24"/>
                <w:highlight w:val="none"/>
              </w:rPr>
            </w:pPr>
            <w:r>
              <w:rPr>
                <w:rFonts w:hint="eastAsia" w:ascii="仿宋" w:hAnsi="仿宋" w:eastAsia="仿宋" w:cs="仿宋"/>
                <w:color w:val="auto"/>
                <w:sz w:val="24"/>
                <w:highlight w:val="none"/>
              </w:rPr>
              <w:t>2、落实性：切合本项目实际情况，提出责任明确、要求具体的方案。</w:t>
            </w:r>
          </w:p>
          <w:p w14:paraId="258030A0">
            <w:pPr>
              <w:keepNext w:val="0"/>
              <w:keepLines w:val="0"/>
              <w:pageBreakBefore w:val="0"/>
              <w:widowControl/>
              <w:kinsoku/>
              <w:wordWrap/>
              <w:overflowPunct/>
              <w:topLinePunct w:val="0"/>
              <w:bidi w:val="0"/>
              <w:spacing w:line="240" w:lineRule="auto"/>
              <w:textAlignment w:val="auto"/>
              <w:rPr>
                <w:rFonts w:ascii="仿宋" w:hAnsi="仿宋" w:eastAsia="仿宋" w:cs="仿宋"/>
                <w:b/>
                <w:bCs/>
                <w:color w:val="auto"/>
                <w:sz w:val="24"/>
                <w:highlight w:val="none"/>
              </w:rPr>
            </w:pPr>
            <w:r>
              <w:rPr>
                <w:rFonts w:hint="eastAsia" w:ascii="仿宋" w:hAnsi="仿宋" w:eastAsia="仿宋" w:cs="仿宋"/>
                <w:b/>
                <w:bCs/>
                <w:color w:val="auto"/>
                <w:sz w:val="24"/>
                <w:highlight w:val="none"/>
              </w:rPr>
              <w:t>三、赋分标准(满分8分）</w:t>
            </w:r>
          </w:p>
          <w:p w14:paraId="66738041">
            <w:pPr>
              <w:keepNext w:val="0"/>
              <w:keepLines w:val="0"/>
              <w:pageBreakBefore w:val="0"/>
              <w:widowControl/>
              <w:kinsoku/>
              <w:wordWrap/>
              <w:overflowPunct/>
              <w:topLinePunct w:val="0"/>
              <w:bidi w:val="0"/>
              <w:spacing w:line="240" w:lineRule="auto"/>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①对服务达到的质量标准、拟采取的措施做出服务承诺：每完全满足一个评审标准得1分，满分2分；</w:t>
            </w:r>
          </w:p>
          <w:p w14:paraId="5B56CB9B">
            <w:pPr>
              <w:keepNext w:val="0"/>
              <w:keepLines w:val="0"/>
              <w:pageBreakBefore w:val="0"/>
              <w:widowControl/>
              <w:kinsoku/>
              <w:wordWrap/>
              <w:overflowPunct/>
              <w:topLinePunct w:val="0"/>
              <w:bidi w:val="0"/>
              <w:spacing w:line="240" w:lineRule="auto"/>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②对绿化养护、绿化区域内垃圾清运做出承诺:每完全满足一个评审标准得1分，满分2分；</w:t>
            </w:r>
          </w:p>
          <w:p w14:paraId="718A4AC3">
            <w:pPr>
              <w:keepNext w:val="0"/>
              <w:keepLines w:val="0"/>
              <w:pageBreakBefore w:val="0"/>
              <w:widowControl/>
              <w:kinsoku/>
              <w:wordWrap/>
              <w:overflowPunct/>
              <w:topLinePunct w:val="0"/>
              <w:bidi w:val="0"/>
              <w:spacing w:line="240" w:lineRule="auto"/>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③对配合</w:t>
            </w:r>
            <w:r>
              <w:rPr>
                <w:rFonts w:hint="eastAsia" w:ascii="仿宋" w:hAnsi="仿宋" w:eastAsia="仿宋" w:cs="仿宋"/>
                <w:color w:val="auto"/>
                <w:sz w:val="24"/>
                <w:highlight w:val="none"/>
                <w:lang w:val="en-US" w:eastAsia="zh-CN"/>
              </w:rPr>
              <w:t>采购人</w:t>
            </w:r>
            <w:r>
              <w:rPr>
                <w:rFonts w:hint="eastAsia" w:ascii="仿宋" w:hAnsi="仿宋" w:eastAsia="仿宋" w:cs="仿宋"/>
                <w:color w:val="auto"/>
                <w:sz w:val="24"/>
                <w:highlight w:val="none"/>
              </w:rPr>
              <w:t>重大活动做出服务承诺:每完全满足一个评审标准得1分，满分2分；</w:t>
            </w:r>
          </w:p>
          <w:p w14:paraId="19D46898">
            <w:pPr>
              <w:keepNext w:val="0"/>
              <w:keepLines w:val="0"/>
              <w:pageBreakBefore w:val="0"/>
              <w:widowControl/>
              <w:kinsoku/>
              <w:wordWrap/>
              <w:overflowPunct/>
              <w:topLinePunct w:val="0"/>
              <w:bidi w:val="0"/>
              <w:spacing w:line="240" w:lineRule="auto"/>
              <w:textAlignment w:val="auto"/>
              <w:rPr>
                <w:rFonts w:ascii="Times New Roman" w:hAnsi="Times New Roman" w:eastAsia="宋体" w:cs="Times New Roman"/>
                <w:color w:val="auto"/>
                <w:highlight w:val="none"/>
              </w:rPr>
            </w:pPr>
            <w:r>
              <w:rPr>
                <w:rFonts w:hint="eastAsia" w:ascii="仿宋" w:hAnsi="仿宋" w:eastAsia="仿宋" w:cs="仿宋"/>
                <w:color w:val="auto"/>
                <w:sz w:val="24"/>
                <w:highlight w:val="none"/>
              </w:rPr>
              <w:t>④接受采购人对所提供绿化养护服务的监督批评及意见的承诺:每完全满足一个评审标准得1分，满分2分。</w:t>
            </w:r>
          </w:p>
        </w:tc>
      </w:tr>
    </w:tbl>
    <w:p w14:paraId="4B7CEA6E">
      <w:pPr>
        <w:keepNext w:val="0"/>
        <w:keepLines w:val="0"/>
        <w:pageBreakBefore w:val="0"/>
        <w:widowControl/>
        <w:numPr>
          <w:ilvl w:val="0"/>
          <w:numId w:val="0"/>
        </w:numPr>
        <w:kinsoku/>
        <w:wordWrap/>
        <w:overflowPunct/>
        <w:topLinePunct w:val="0"/>
        <w:autoSpaceDE/>
        <w:autoSpaceDN/>
        <w:bidi w:val="0"/>
        <w:adjustRightInd/>
        <w:snapToGrid/>
        <w:spacing w:line="360" w:lineRule="auto"/>
        <w:textAlignment w:val="auto"/>
        <w:rPr>
          <w:rFonts w:hint="eastAsia" w:ascii="华文仿宋" w:hAnsi="华文仿宋" w:eastAsia="华文仿宋" w:cs="华文仿宋"/>
          <w:b w:val="0"/>
          <w:bCs/>
          <w:sz w:val="28"/>
          <w:szCs w:val="28"/>
          <w:lang w:val="en-US" w:eastAsia="zh-CN"/>
        </w:rPr>
      </w:pPr>
    </w:p>
    <w:p w14:paraId="22779537">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华文仿宋" w:hAnsi="华文仿宋" w:eastAsia="华文仿宋" w:cs="华文仿宋"/>
          <w:b/>
          <w:bCs/>
          <w:sz w:val="28"/>
          <w:szCs w:val="28"/>
          <w:lang w:val="en-US" w:eastAsia="zh-CN"/>
        </w:rPr>
      </w:pPr>
      <w:r>
        <w:rPr>
          <w:rFonts w:hint="eastAsia" w:ascii="华文仿宋" w:hAnsi="华文仿宋" w:eastAsia="华文仿宋" w:cs="华文仿宋"/>
          <w:b/>
          <w:bCs/>
          <w:sz w:val="28"/>
          <w:szCs w:val="28"/>
          <w:lang w:val="en-US" w:eastAsia="zh-CN"/>
        </w:rPr>
        <w:t>二标段：校园环境卫生保洁</w:t>
      </w:r>
    </w:p>
    <w:tbl>
      <w:tblPr>
        <w:tblStyle w:val="29"/>
        <w:tblW w:w="91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2"/>
        <w:gridCol w:w="765"/>
        <w:gridCol w:w="7562"/>
      </w:tblGrid>
      <w:tr w14:paraId="66249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2" w:type="dxa"/>
            <w:tcBorders>
              <w:top w:val="single" w:color="auto" w:sz="4" w:space="0"/>
              <w:left w:val="single" w:color="auto" w:sz="4" w:space="0"/>
              <w:bottom w:val="single" w:color="auto" w:sz="4" w:space="0"/>
              <w:right w:val="single" w:color="auto" w:sz="4" w:space="0"/>
            </w:tcBorders>
            <w:noWrap w:val="0"/>
            <w:vAlign w:val="center"/>
          </w:tcPr>
          <w:p w14:paraId="10E4DD8E">
            <w:pPr>
              <w:spacing w:line="300" w:lineRule="exact"/>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名称</w:t>
            </w:r>
          </w:p>
        </w:tc>
        <w:tc>
          <w:tcPr>
            <w:tcW w:w="765" w:type="dxa"/>
            <w:tcBorders>
              <w:top w:val="single" w:color="auto" w:sz="4" w:space="0"/>
              <w:left w:val="single" w:color="auto" w:sz="4" w:space="0"/>
              <w:bottom w:val="single" w:color="auto" w:sz="4" w:space="0"/>
              <w:right w:val="single" w:color="auto" w:sz="4" w:space="0"/>
            </w:tcBorders>
            <w:noWrap w:val="0"/>
            <w:vAlign w:val="center"/>
          </w:tcPr>
          <w:p w14:paraId="1C9070F3">
            <w:pPr>
              <w:spacing w:line="300" w:lineRule="exact"/>
              <w:jc w:val="center"/>
              <w:rPr>
                <w:rFonts w:hint="eastAsia" w:ascii="仿宋" w:hAnsi="仿宋" w:eastAsia="仿宋" w:cs="仿宋"/>
                <w:b/>
                <w:bCs/>
                <w:color w:val="auto"/>
                <w:sz w:val="24"/>
                <w:szCs w:val="24"/>
              </w:rPr>
            </w:pPr>
            <w:r>
              <w:rPr>
                <w:rFonts w:hint="eastAsia" w:ascii="仿宋" w:hAnsi="仿宋" w:eastAsia="仿宋" w:cs="仿宋"/>
                <w:b/>
                <w:color w:val="auto"/>
                <w:sz w:val="24"/>
                <w:szCs w:val="24"/>
              </w:rPr>
              <w:t>分值</w:t>
            </w:r>
          </w:p>
        </w:tc>
        <w:tc>
          <w:tcPr>
            <w:tcW w:w="7562" w:type="dxa"/>
            <w:tcBorders>
              <w:top w:val="single" w:color="auto" w:sz="4" w:space="0"/>
              <w:left w:val="single" w:color="auto" w:sz="4" w:space="0"/>
              <w:bottom w:val="single" w:color="auto" w:sz="4" w:space="0"/>
              <w:right w:val="single" w:color="auto" w:sz="4" w:space="0"/>
            </w:tcBorders>
            <w:noWrap w:val="0"/>
            <w:vAlign w:val="center"/>
          </w:tcPr>
          <w:p w14:paraId="3B84E252">
            <w:pPr>
              <w:spacing w:line="320" w:lineRule="exact"/>
              <w:jc w:val="center"/>
              <w:rPr>
                <w:rFonts w:hint="eastAsia" w:ascii="仿宋" w:hAnsi="仿宋" w:eastAsia="仿宋" w:cs="仿宋"/>
                <w:bCs/>
                <w:color w:val="auto"/>
                <w:sz w:val="24"/>
                <w:szCs w:val="24"/>
              </w:rPr>
            </w:pPr>
            <w:r>
              <w:rPr>
                <w:rFonts w:hint="eastAsia" w:ascii="仿宋" w:hAnsi="仿宋" w:eastAsia="仿宋" w:cs="仿宋"/>
                <w:b/>
                <w:bCs/>
                <w:color w:val="auto"/>
                <w:sz w:val="24"/>
                <w:szCs w:val="24"/>
              </w:rPr>
              <w:t>评审要素</w:t>
            </w:r>
          </w:p>
        </w:tc>
      </w:tr>
      <w:tr w14:paraId="510216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812" w:type="dxa"/>
            <w:tcBorders>
              <w:top w:val="single" w:color="auto" w:sz="4" w:space="0"/>
              <w:left w:val="single" w:color="auto" w:sz="4" w:space="0"/>
              <w:bottom w:val="single" w:color="auto" w:sz="4" w:space="0"/>
              <w:right w:val="single" w:color="auto" w:sz="4" w:space="0"/>
            </w:tcBorders>
            <w:noWrap w:val="0"/>
            <w:vAlign w:val="center"/>
          </w:tcPr>
          <w:p w14:paraId="196F9E6E">
            <w:pPr>
              <w:keepNext w:val="0"/>
              <w:keepLines w:val="0"/>
              <w:pageBreakBefore w:val="0"/>
              <w:kinsoku/>
              <w:wordWrap/>
              <w:overflowPunct/>
              <w:topLinePunct w:val="0"/>
              <w:autoSpaceDE w:val="0"/>
              <w:autoSpaceDN w:val="0"/>
              <w:bidi w:val="0"/>
              <w:adjustRightInd w:val="0"/>
              <w:snapToGrid/>
              <w:spacing w:line="360" w:lineRule="exact"/>
              <w:jc w:val="center"/>
              <w:textAlignment w:val="auto"/>
              <w:rPr>
                <w:rFonts w:hint="eastAsia" w:ascii="仿宋" w:hAnsi="仿宋" w:eastAsia="仿宋" w:cs="仿宋"/>
                <w:bCs/>
                <w:color w:val="auto"/>
                <w:sz w:val="24"/>
                <w:szCs w:val="24"/>
              </w:rPr>
            </w:pPr>
            <w:r>
              <w:rPr>
                <w:rFonts w:hint="eastAsia" w:ascii="仿宋" w:hAnsi="仿宋" w:eastAsia="仿宋" w:cs="仿宋"/>
                <w:bCs/>
                <w:color w:val="auto"/>
                <w:sz w:val="24"/>
                <w:szCs w:val="24"/>
              </w:rPr>
              <w:t>投标报价</w:t>
            </w:r>
          </w:p>
        </w:tc>
        <w:tc>
          <w:tcPr>
            <w:tcW w:w="765" w:type="dxa"/>
            <w:tcBorders>
              <w:top w:val="single" w:color="auto" w:sz="4" w:space="0"/>
              <w:left w:val="single" w:color="auto" w:sz="4" w:space="0"/>
              <w:bottom w:val="single" w:color="auto" w:sz="4" w:space="0"/>
              <w:right w:val="single" w:color="auto" w:sz="4" w:space="0"/>
            </w:tcBorders>
            <w:noWrap w:val="0"/>
            <w:vAlign w:val="center"/>
          </w:tcPr>
          <w:p w14:paraId="3E93AAF5">
            <w:pPr>
              <w:keepNext w:val="0"/>
              <w:keepLines w:val="0"/>
              <w:pageBreakBefore w:val="0"/>
              <w:kinsoku/>
              <w:wordWrap/>
              <w:overflowPunct/>
              <w:topLinePunct w:val="0"/>
              <w:autoSpaceDE w:val="0"/>
              <w:autoSpaceDN w:val="0"/>
              <w:bidi w:val="0"/>
              <w:adjustRightInd w:val="0"/>
              <w:snapToGrid/>
              <w:spacing w:line="360" w:lineRule="exact"/>
              <w:jc w:val="center"/>
              <w:textAlignment w:val="auto"/>
              <w:rPr>
                <w:rFonts w:hint="eastAsia" w:ascii="仿宋" w:hAnsi="仿宋" w:eastAsia="仿宋" w:cs="仿宋"/>
                <w:color w:val="auto"/>
                <w:sz w:val="24"/>
                <w:szCs w:val="24"/>
                <w:lang w:val="en-US" w:eastAsia="zh-CN"/>
              </w:rPr>
            </w:pPr>
            <w:r>
              <w:rPr>
                <w:rFonts w:hint="eastAsia" w:ascii="仿宋" w:hAnsi="仿宋" w:eastAsia="仿宋" w:cs="仿宋"/>
                <w:bCs/>
                <w:color w:val="auto"/>
                <w:sz w:val="24"/>
                <w:szCs w:val="24"/>
                <w:lang w:val="en-US" w:eastAsia="zh-CN"/>
              </w:rPr>
              <w:t>30</w:t>
            </w:r>
          </w:p>
        </w:tc>
        <w:tc>
          <w:tcPr>
            <w:tcW w:w="7562" w:type="dxa"/>
            <w:tcBorders>
              <w:top w:val="single" w:color="auto" w:sz="4" w:space="0"/>
              <w:left w:val="single" w:color="auto" w:sz="4" w:space="0"/>
              <w:bottom w:val="single" w:color="auto" w:sz="4" w:space="0"/>
              <w:right w:val="single" w:color="auto" w:sz="4" w:space="0"/>
            </w:tcBorders>
            <w:noWrap w:val="0"/>
            <w:vAlign w:val="center"/>
          </w:tcPr>
          <w:p w14:paraId="00B91419">
            <w:pPr>
              <w:keepNext w:val="0"/>
              <w:keepLines w:val="0"/>
              <w:pageBreakBefore w:val="0"/>
              <w:widowControl/>
              <w:kinsoku/>
              <w:wordWrap/>
              <w:overflowPunct/>
              <w:topLinePunct w:val="0"/>
              <w:bidi w:val="0"/>
              <w:snapToGrid/>
              <w:spacing w:line="360" w:lineRule="exact"/>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bidi="ar"/>
              </w:rPr>
              <w:t>有效</w:t>
            </w:r>
            <w:r>
              <w:rPr>
                <w:rFonts w:hint="eastAsia" w:ascii="仿宋" w:hAnsi="仿宋" w:eastAsia="仿宋" w:cs="仿宋"/>
                <w:color w:val="auto"/>
                <w:kern w:val="0"/>
                <w:sz w:val="24"/>
                <w:szCs w:val="24"/>
                <w:lang w:val="en-US" w:eastAsia="zh-CN" w:bidi="ar"/>
              </w:rPr>
              <w:t>投标人</w:t>
            </w:r>
            <w:r>
              <w:rPr>
                <w:rFonts w:hint="eastAsia" w:ascii="仿宋" w:hAnsi="仿宋" w:eastAsia="仿宋" w:cs="仿宋"/>
                <w:color w:val="auto"/>
                <w:kern w:val="0"/>
                <w:sz w:val="24"/>
                <w:szCs w:val="24"/>
                <w:lang w:bidi="ar"/>
              </w:rPr>
              <w:t>的最低报价为基准价得</w:t>
            </w:r>
            <w:r>
              <w:rPr>
                <w:rFonts w:hint="eastAsia" w:ascii="仿宋" w:hAnsi="仿宋" w:eastAsia="仿宋" w:cs="仿宋"/>
                <w:color w:val="auto"/>
                <w:kern w:val="0"/>
                <w:sz w:val="24"/>
                <w:szCs w:val="24"/>
                <w:lang w:val="en-US" w:eastAsia="zh-CN" w:bidi="ar"/>
              </w:rPr>
              <w:t>30</w:t>
            </w:r>
            <w:r>
              <w:rPr>
                <w:rFonts w:hint="eastAsia" w:ascii="仿宋" w:hAnsi="仿宋" w:eastAsia="仿宋" w:cs="仿宋"/>
                <w:color w:val="auto"/>
                <w:kern w:val="0"/>
                <w:sz w:val="24"/>
                <w:szCs w:val="24"/>
                <w:lang w:bidi="ar"/>
              </w:rPr>
              <w:t>分，其他各投标人的报价得分按下列公式计算：</w:t>
            </w:r>
            <w:r>
              <w:rPr>
                <w:rFonts w:hint="eastAsia" w:ascii="仿宋" w:hAnsi="仿宋" w:eastAsia="仿宋" w:cs="仿宋"/>
                <w:color w:val="auto"/>
                <w:kern w:val="0"/>
                <w:sz w:val="24"/>
                <w:szCs w:val="24"/>
                <w:lang w:val="en-US" w:eastAsia="zh-CN" w:bidi="ar"/>
              </w:rPr>
              <w:t>报价得分=</w:t>
            </w:r>
            <w:r>
              <w:rPr>
                <w:rFonts w:hint="eastAsia" w:ascii="仿宋" w:hAnsi="仿宋" w:eastAsia="仿宋" w:cs="仿宋"/>
                <w:color w:val="auto"/>
                <w:kern w:val="0"/>
                <w:sz w:val="24"/>
                <w:szCs w:val="24"/>
                <w:lang w:bidi="ar"/>
              </w:rPr>
              <w:t>（基准价/投标报价）×</w:t>
            </w:r>
            <w:r>
              <w:rPr>
                <w:rFonts w:hint="eastAsia" w:ascii="仿宋" w:hAnsi="仿宋" w:eastAsia="仿宋" w:cs="仿宋"/>
                <w:color w:val="auto"/>
                <w:kern w:val="0"/>
                <w:sz w:val="24"/>
                <w:szCs w:val="24"/>
                <w:lang w:val="en-US" w:eastAsia="zh-CN" w:bidi="ar"/>
              </w:rPr>
              <w:t>30</w:t>
            </w:r>
            <w:r>
              <w:rPr>
                <w:rFonts w:hint="eastAsia" w:ascii="仿宋" w:hAnsi="仿宋" w:eastAsia="仿宋" w:cs="仿宋"/>
                <w:color w:val="auto"/>
                <w:kern w:val="0"/>
                <w:sz w:val="24"/>
                <w:szCs w:val="24"/>
                <w:lang w:bidi="ar"/>
              </w:rPr>
              <w:t>%×100。</w:t>
            </w:r>
          </w:p>
        </w:tc>
      </w:tr>
      <w:tr w14:paraId="7C7175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812" w:type="dxa"/>
            <w:tcBorders>
              <w:top w:val="single" w:color="auto" w:sz="4" w:space="0"/>
              <w:left w:val="single" w:color="auto" w:sz="4" w:space="0"/>
              <w:bottom w:val="single" w:color="auto" w:sz="4" w:space="0"/>
              <w:right w:val="single" w:color="auto" w:sz="4" w:space="0"/>
            </w:tcBorders>
            <w:noWrap w:val="0"/>
            <w:vAlign w:val="center"/>
          </w:tcPr>
          <w:p w14:paraId="2E02D12C">
            <w:pPr>
              <w:keepNext w:val="0"/>
              <w:keepLines w:val="0"/>
              <w:pageBreakBefore w:val="0"/>
              <w:kinsoku/>
              <w:wordWrap/>
              <w:overflowPunct/>
              <w:topLinePunct w:val="0"/>
              <w:bidi w:val="0"/>
              <w:snapToGrid/>
              <w:spacing w:line="36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业绩</w:t>
            </w:r>
          </w:p>
        </w:tc>
        <w:tc>
          <w:tcPr>
            <w:tcW w:w="765" w:type="dxa"/>
            <w:tcBorders>
              <w:top w:val="single" w:color="auto" w:sz="4" w:space="0"/>
              <w:left w:val="single" w:color="auto" w:sz="4" w:space="0"/>
              <w:bottom w:val="single" w:color="auto" w:sz="4" w:space="0"/>
              <w:right w:val="single" w:color="auto" w:sz="4" w:space="0"/>
            </w:tcBorders>
            <w:noWrap w:val="0"/>
            <w:vAlign w:val="center"/>
          </w:tcPr>
          <w:p w14:paraId="29C331D9">
            <w:pPr>
              <w:keepNext w:val="0"/>
              <w:keepLines w:val="0"/>
              <w:pageBreakBefore w:val="0"/>
              <w:kinsoku/>
              <w:wordWrap/>
              <w:overflowPunct/>
              <w:topLinePunct w:val="0"/>
              <w:bidi w:val="0"/>
              <w:snapToGrid/>
              <w:spacing w:line="360" w:lineRule="exact"/>
              <w:jc w:val="center"/>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4</w:t>
            </w:r>
          </w:p>
        </w:tc>
        <w:tc>
          <w:tcPr>
            <w:tcW w:w="7562" w:type="dxa"/>
            <w:tcBorders>
              <w:top w:val="single" w:color="auto" w:sz="4" w:space="0"/>
              <w:left w:val="single" w:color="auto" w:sz="4" w:space="0"/>
              <w:bottom w:val="single" w:color="auto" w:sz="4" w:space="0"/>
              <w:right w:val="single" w:color="auto" w:sz="4" w:space="0"/>
            </w:tcBorders>
            <w:noWrap w:val="0"/>
            <w:vAlign w:val="center"/>
          </w:tcPr>
          <w:p w14:paraId="697163BD">
            <w:pPr>
              <w:keepNext w:val="0"/>
              <w:keepLines w:val="0"/>
              <w:pageBreakBefore w:val="0"/>
              <w:widowControl/>
              <w:kinsoku/>
              <w:wordWrap/>
              <w:overflowPunct/>
              <w:topLinePunct w:val="0"/>
              <w:bidi w:val="0"/>
              <w:adjustRightInd w:val="0"/>
              <w:snapToGrid/>
              <w:spacing w:line="360" w:lineRule="exact"/>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提供202</w:t>
            </w: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rPr>
              <w:t>年1月1日以来类似项目业绩（以合同签订日期为准），每份合格业绩合同计</w:t>
            </w:r>
            <w:r>
              <w:rPr>
                <w:rFonts w:hint="eastAsia" w:ascii="仿宋" w:hAnsi="仿宋" w:eastAsia="仿宋" w:cs="仿宋"/>
                <w:color w:val="auto"/>
                <w:sz w:val="24"/>
                <w:szCs w:val="24"/>
                <w:lang w:val="en-US" w:eastAsia="zh-CN"/>
              </w:rPr>
              <w:t>1</w:t>
            </w:r>
            <w:r>
              <w:rPr>
                <w:rFonts w:hint="eastAsia" w:ascii="仿宋" w:hAnsi="仿宋" w:eastAsia="仿宋" w:cs="仿宋"/>
                <w:color w:val="auto"/>
                <w:sz w:val="24"/>
                <w:szCs w:val="24"/>
              </w:rPr>
              <w:t>分，满分</w:t>
            </w:r>
            <w:r>
              <w:rPr>
                <w:rFonts w:hint="eastAsia" w:ascii="仿宋" w:hAnsi="仿宋" w:eastAsia="仿宋" w:cs="仿宋"/>
                <w:color w:val="auto"/>
                <w:sz w:val="24"/>
                <w:szCs w:val="24"/>
                <w:lang w:val="en-US" w:eastAsia="zh-CN"/>
              </w:rPr>
              <w:t>4</w:t>
            </w:r>
            <w:r>
              <w:rPr>
                <w:rFonts w:hint="eastAsia" w:ascii="仿宋" w:hAnsi="仿宋" w:eastAsia="仿宋" w:cs="仿宋"/>
                <w:color w:val="auto"/>
                <w:sz w:val="24"/>
                <w:szCs w:val="24"/>
              </w:rPr>
              <w:t>分</w:t>
            </w:r>
            <w:r>
              <w:rPr>
                <w:rFonts w:hint="eastAsia" w:ascii="仿宋" w:hAnsi="仿宋" w:eastAsia="仿宋" w:cs="仿宋"/>
                <w:color w:val="auto"/>
                <w:sz w:val="24"/>
                <w:szCs w:val="24"/>
                <w:lang w:eastAsia="zh-CN"/>
              </w:rPr>
              <w:t>。</w:t>
            </w:r>
          </w:p>
        </w:tc>
      </w:tr>
      <w:tr w14:paraId="2336A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8" w:hRule="atLeast"/>
          <w:jc w:val="center"/>
        </w:trPr>
        <w:tc>
          <w:tcPr>
            <w:tcW w:w="812" w:type="dxa"/>
            <w:tcBorders>
              <w:top w:val="single" w:color="auto" w:sz="4" w:space="0"/>
              <w:left w:val="single" w:color="auto" w:sz="4" w:space="0"/>
              <w:bottom w:val="single" w:color="auto" w:sz="4" w:space="0"/>
              <w:right w:val="single" w:color="auto" w:sz="4" w:space="0"/>
            </w:tcBorders>
            <w:noWrap w:val="0"/>
            <w:vAlign w:val="center"/>
          </w:tcPr>
          <w:p w14:paraId="3D62683A">
            <w:pPr>
              <w:keepNext w:val="0"/>
              <w:keepLines w:val="0"/>
              <w:pageBreakBefore w:val="0"/>
              <w:kinsoku/>
              <w:wordWrap/>
              <w:overflowPunct/>
              <w:topLinePunct w:val="0"/>
              <w:bidi w:val="0"/>
              <w:snapToGrid/>
              <w:spacing w:line="36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人员配备</w:t>
            </w:r>
          </w:p>
        </w:tc>
        <w:tc>
          <w:tcPr>
            <w:tcW w:w="765" w:type="dxa"/>
            <w:tcBorders>
              <w:top w:val="single" w:color="auto" w:sz="4" w:space="0"/>
              <w:left w:val="single" w:color="auto" w:sz="4" w:space="0"/>
              <w:bottom w:val="single" w:color="auto" w:sz="4" w:space="0"/>
              <w:right w:val="single" w:color="auto" w:sz="4" w:space="0"/>
            </w:tcBorders>
            <w:noWrap w:val="0"/>
            <w:vAlign w:val="center"/>
          </w:tcPr>
          <w:p w14:paraId="493029C3">
            <w:pPr>
              <w:keepNext w:val="0"/>
              <w:keepLines w:val="0"/>
              <w:pageBreakBefore w:val="0"/>
              <w:kinsoku/>
              <w:wordWrap/>
              <w:overflowPunct/>
              <w:topLinePunct w:val="0"/>
              <w:bidi w:val="0"/>
              <w:snapToGrid/>
              <w:spacing w:line="360" w:lineRule="exact"/>
              <w:jc w:val="center"/>
              <w:textAlignment w:val="auto"/>
              <w:rPr>
                <w:rFonts w:hint="default" w:ascii="仿宋" w:hAnsi="仿宋" w:eastAsia="仿宋" w:cs="仿宋"/>
                <w:color w:val="auto"/>
                <w:kern w:val="2"/>
                <w:sz w:val="24"/>
                <w:szCs w:val="24"/>
                <w:highlight w:val="none"/>
                <w:lang w:eastAsia="zh-CN" w:bidi="ar-SA"/>
              </w:rPr>
            </w:pPr>
            <w:r>
              <w:rPr>
                <w:rFonts w:hint="eastAsia" w:ascii="仿宋" w:hAnsi="仿宋" w:eastAsia="仿宋" w:cs="仿宋"/>
                <w:color w:val="auto"/>
                <w:sz w:val="24"/>
                <w:szCs w:val="24"/>
                <w:highlight w:val="none"/>
                <w:lang w:val="en-US" w:eastAsia="zh-CN"/>
              </w:rPr>
              <w:t>7</w:t>
            </w:r>
          </w:p>
        </w:tc>
        <w:tc>
          <w:tcPr>
            <w:tcW w:w="7562" w:type="dxa"/>
            <w:tcBorders>
              <w:top w:val="single" w:color="auto" w:sz="4" w:space="0"/>
              <w:left w:val="single" w:color="auto" w:sz="4" w:space="0"/>
              <w:bottom w:val="single" w:color="auto" w:sz="4" w:space="0"/>
              <w:right w:val="single" w:color="auto" w:sz="4" w:space="0"/>
            </w:tcBorders>
            <w:noWrap w:val="0"/>
            <w:vAlign w:val="center"/>
          </w:tcPr>
          <w:p w14:paraId="44BE2E43">
            <w:pPr>
              <w:keepNext w:val="0"/>
              <w:keepLines w:val="0"/>
              <w:pageBreakBefore w:val="0"/>
              <w:widowControl/>
              <w:numPr>
                <w:ilvl w:val="0"/>
                <w:numId w:val="5"/>
              </w:numPr>
              <w:kinsoku/>
              <w:wordWrap/>
              <w:overflowPunct/>
              <w:topLinePunct w:val="0"/>
              <w:bidi w:val="0"/>
              <w:snapToGrid/>
              <w:spacing w:line="360" w:lineRule="exact"/>
              <w:jc w:val="both"/>
              <w:textAlignment w:val="auto"/>
              <w:rPr>
                <w:rStyle w:val="72"/>
                <w:rFonts w:hint="eastAsia" w:ascii="仿宋" w:hAnsi="仿宋" w:eastAsia="仿宋" w:cs="仿宋"/>
                <w:color w:val="auto"/>
                <w:sz w:val="24"/>
                <w:szCs w:val="24"/>
                <w:highlight w:val="none"/>
                <w:lang w:val="en-US" w:eastAsia="zh-CN"/>
              </w:rPr>
            </w:pPr>
            <w:r>
              <w:rPr>
                <w:rFonts w:hint="eastAsia" w:ascii="仿宋" w:hAnsi="仿宋" w:eastAsia="仿宋" w:cs="仿宋"/>
                <w:color w:val="auto"/>
                <w:kern w:val="2"/>
                <w:sz w:val="24"/>
                <w:szCs w:val="24"/>
                <w:highlight w:val="none"/>
                <w:lang w:val="en-US" w:eastAsia="zh-CN" w:bidi="ar-SA"/>
              </w:rPr>
              <w:t>项目经理</w:t>
            </w:r>
            <w:r>
              <w:rPr>
                <w:rStyle w:val="72"/>
                <w:rFonts w:hint="eastAsia" w:ascii="仿宋" w:hAnsi="仿宋" w:eastAsia="仿宋" w:cs="仿宋"/>
                <w:color w:val="auto"/>
                <w:sz w:val="24"/>
                <w:szCs w:val="24"/>
                <w:highlight w:val="none"/>
              </w:rPr>
              <w:t>具有</w:t>
            </w:r>
            <w:r>
              <w:rPr>
                <w:rStyle w:val="72"/>
                <w:rFonts w:hint="eastAsia" w:ascii="仿宋" w:hAnsi="仿宋" w:eastAsia="仿宋" w:cs="仿宋"/>
                <w:color w:val="auto"/>
                <w:sz w:val="24"/>
                <w:szCs w:val="24"/>
                <w:highlight w:val="none"/>
                <w:lang w:val="en-US" w:eastAsia="zh-CN"/>
              </w:rPr>
              <w:t>本科及以上学历的，</w:t>
            </w:r>
            <w:r>
              <w:rPr>
                <w:rStyle w:val="72"/>
                <w:rFonts w:hint="eastAsia" w:ascii="仿宋" w:hAnsi="仿宋" w:eastAsia="仿宋" w:cs="仿宋"/>
                <w:color w:val="auto"/>
                <w:sz w:val="24"/>
                <w:szCs w:val="24"/>
                <w:highlight w:val="none"/>
              </w:rPr>
              <w:t>得</w:t>
            </w:r>
            <w:r>
              <w:rPr>
                <w:rStyle w:val="72"/>
                <w:rFonts w:hint="eastAsia" w:ascii="仿宋" w:hAnsi="仿宋" w:eastAsia="仿宋" w:cs="仿宋"/>
                <w:color w:val="auto"/>
                <w:sz w:val="24"/>
                <w:szCs w:val="24"/>
                <w:highlight w:val="none"/>
                <w:lang w:val="en-US" w:eastAsia="zh-CN"/>
              </w:rPr>
              <w:t>2</w:t>
            </w:r>
            <w:r>
              <w:rPr>
                <w:rStyle w:val="72"/>
                <w:rFonts w:hint="eastAsia" w:ascii="仿宋" w:hAnsi="仿宋" w:eastAsia="仿宋" w:cs="仿宋"/>
                <w:color w:val="auto"/>
                <w:sz w:val="24"/>
                <w:szCs w:val="24"/>
                <w:highlight w:val="none"/>
              </w:rPr>
              <w:t>分</w:t>
            </w:r>
            <w:r>
              <w:rPr>
                <w:rStyle w:val="72"/>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lang w:val="en-US" w:eastAsia="zh-CN"/>
              </w:rPr>
              <w:t>项目主管</w:t>
            </w:r>
            <w:r>
              <w:rPr>
                <w:rStyle w:val="72"/>
                <w:rFonts w:hint="eastAsia" w:ascii="仿宋" w:hAnsi="仿宋" w:eastAsia="仿宋" w:cs="仿宋"/>
                <w:color w:val="auto"/>
                <w:sz w:val="24"/>
                <w:szCs w:val="24"/>
                <w:highlight w:val="none"/>
              </w:rPr>
              <w:t>具有</w:t>
            </w:r>
            <w:r>
              <w:rPr>
                <w:rStyle w:val="72"/>
                <w:rFonts w:hint="eastAsia" w:ascii="仿宋" w:hAnsi="仿宋" w:eastAsia="仿宋" w:cs="仿宋"/>
                <w:color w:val="auto"/>
                <w:sz w:val="24"/>
                <w:szCs w:val="24"/>
                <w:highlight w:val="none"/>
                <w:lang w:val="en-US" w:eastAsia="zh-CN"/>
              </w:rPr>
              <w:t>专科及以上学历的，</w:t>
            </w:r>
            <w:r>
              <w:rPr>
                <w:rStyle w:val="72"/>
                <w:rFonts w:hint="eastAsia" w:ascii="仿宋" w:hAnsi="仿宋" w:eastAsia="仿宋" w:cs="仿宋"/>
                <w:color w:val="auto"/>
                <w:sz w:val="24"/>
                <w:szCs w:val="24"/>
                <w:highlight w:val="none"/>
              </w:rPr>
              <w:t>得</w:t>
            </w:r>
            <w:r>
              <w:rPr>
                <w:rStyle w:val="72"/>
                <w:rFonts w:hint="eastAsia" w:ascii="仿宋" w:hAnsi="仿宋" w:eastAsia="仿宋" w:cs="仿宋"/>
                <w:color w:val="auto"/>
                <w:sz w:val="24"/>
                <w:szCs w:val="24"/>
                <w:highlight w:val="none"/>
                <w:lang w:val="en-US" w:eastAsia="zh-CN"/>
              </w:rPr>
              <w:t>1</w:t>
            </w:r>
            <w:r>
              <w:rPr>
                <w:rStyle w:val="72"/>
                <w:rFonts w:hint="eastAsia" w:ascii="仿宋" w:hAnsi="仿宋" w:eastAsia="仿宋" w:cs="仿宋"/>
                <w:color w:val="auto"/>
                <w:sz w:val="24"/>
                <w:szCs w:val="24"/>
                <w:highlight w:val="none"/>
              </w:rPr>
              <w:t>分</w:t>
            </w:r>
            <w:r>
              <w:rPr>
                <w:rStyle w:val="72"/>
                <w:rFonts w:hint="eastAsia" w:ascii="仿宋" w:hAnsi="仿宋" w:eastAsia="仿宋" w:cs="仿宋"/>
                <w:color w:val="auto"/>
                <w:sz w:val="24"/>
                <w:szCs w:val="24"/>
                <w:highlight w:val="none"/>
                <w:lang w:eastAsia="zh-CN"/>
              </w:rPr>
              <w:t>；</w:t>
            </w:r>
            <w:r>
              <w:rPr>
                <w:rStyle w:val="72"/>
                <w:rFonts w:hint="eastAsia" w:ascii="仿宋" w:hAnsi="仿宋" w:eastAsia="仿宋" w:cs="仿宋"/>
                <w:color w:val="auto"/>
                <w:sz w:val="24"/>
                <w:szCs w:val="24"/>
                <w:highlight w:val="none"/>
                <w:lang w:val="en-US" w:eastAsia="zh-CN"/>
              </w:rPr>
              <w:t>满分3分；</w:t>
            </w:r>
          </w:p>
          <w:p w14:paraId="7A8DDCF4">
            <w:pPr>
              <w:keepNext w:val="0"/>
              <w:keepLines w:val="0"/>
              <w:pageBreakBefore w:val="0"/>
              <w:widowControl/>
              <w:numPr>
                <w:ilvl w:val="0"/>
                <w:numId w:val="5"/>
              </w:numPr>
              <w:kinsoku/>
              <w:wordWrap/>
              <w:overflowPunct/>
              <w:topLinePunct w:val="0"/>
              <w:bidi w:val="0"/>
              <w:snapToGrid/>
              <w:spacing w:line="360" w:lineRule="exact"/>
              <w:jc w:val="both"/>
              <w:textAlignment w:val="auto"/>
              <w:rPr>
                <w:rStyle w:val="72"/>
                <w:rFonts w:hint="eastAsia" w:ascii="仿宋" w:hAnsi="仿宋" w:eastAsia="仿宋" w:cs="仿宋"/>
                <w:color w:val="auto"/>
                <w:sz w:val="24"/>
                <w:szCs w:val="24"/>
                <w:highlight w:val="none"/>
                <w:lang w:val="en-US" w:eastAsia="zh-CN"/>
              </w:rPr>
            </w:pPr>
            <w:r>
              <w:rPr>
                <w:rFonts w:hint="eastAsia" w:ascii="仿宋" w:hAnsi="仿宋" w:eastAsia="仿宋" w:cs="仿宋"/>
                <w:color w:val="auto"/>
                <w:kern w:val="2"/>
                <w:sz w:val="24"/>
                <w:szCs w:val="24"/>
                <w:highlight w:val="none"/>
                <w:lang w:val="en-US" w:eastAsia="zh-CN" w:bidi="ar-SA"/>
              </w:rPr>
              <w:t>项目经理</w:t>
            </w:r>
            <w:r>
              <w:rPr>
                <w:rStyle w:val="72"/>
                <w:rFonts w:hint="eastAsia" w:ascii="仿宋" w:hAnsi="仿宋" w:eastAsia="仿宋" w:cs="仿宋"/>
                <w:color w:val="auto"/>
                <w:sz w:val="24"/>
                <w:szCs w:val="24"/>
                <w:highlight w:val="none"/>
              </w:rPr>
              <w:t>具有</w:t>
            </w:r>
            <w:r>
              <w:rPr>
                <w:rStyle w:val="72"/>
                <w:rFonts w:hint="eastAsia" w:ascii="仿宋" w:hAnsi="仿宋" w:eastAsia="仿宋" w:cs="仿宋"/>
                <w:color w:val="auto"/>
                <w:sz w:val="24"/>
                <w:szCs w:val="24"/>
                <w:highlight w:val="none"/>
                <w:lang w:val="en-US" w:eastAsia="zh-CN"/>
              </w:rPr>
              <w:t>3年及以上相关物业管理经验的，得1分；</w:t>
            </w:r>
            <w:r>
              <w:rPr>
                <w:rFonts w:hint="eastAsia" w:ascii="仿宋" w:hAnsi="仿宋" w:eastAsia="仿宋" w:cs="仿宋"/>
                <w:color w:val="auto"/>
                <w:sz w:val="24"/>
                <w:szCs w:val="24"/>
                <w:highlight w:val="none"/>
                <w:lang w:val="en-US" w:eastAsia="zh-CN"/>
              </w:rPr>
              <w:t>项目主管</w:t>
            </w:r>
            <w:r>
              <w:rPr>
                <w:rStyle w:val="72"/>
                <w:rFonts w:hint="eastAsia" w:ascii="仿宋" w:hAnsi="仿宋" w:eastAsia="仿宋" w:cs="仿宋"/>
                <w:color w:val="auto"/>
                <w:sz w:val="24"/>
                <w:szCs w:val="24"/>
                <w:highlight w:val="none"/>
              </w:rPr>
              <w:t>具有</w:t>
            </w:r>
            <w:r>
              <w:rPr>
                <w:rStyle w:val="72"/>
                <w:rFonts w:hint="eastAsia" w:ascii="仿宋" w:hAnsi="仿宋" w:eastAsia="仿宋" w:cs="仿宋"/>
                <w:color w:val="auto"/>
                <w:sz w:val="24"/>
                <w:szCs w:val="24"/>
                <w:highlight w:val="none"/>
                <w:lang w:val="en-US" w:eastAsia="zh-CN"/>
              </w:rPr>
              <w:t>3年及以上相关物业管理经验的，</w:t>
            </w:r>
            <w:r>
              <w:rPr>
                <w:rStyle w:val="72"/>
                <w:rFonts w:hint="eastAsia" w:ascii="仿宋" w:hAnsi="仿宋" w:eastAsia="仿宋" w:cs="仿宋"/>
                <w:color w:val="auto"/>
                <w:sz w:val="24"/>
                <w:szCs w:val="24"/>
                <w:highlight w:val="none"/>
              </w:rPr>
              <w:t>得</w:t>
            </w:r>
            <w:r>
              <w:rPr>
                <w:rStyle w:val="72"/>
                <w:rFonts w:hint="eastAsia" w:ascii="仿宋" w:hAnsi="仿宋" w:eastAsia="仿宋" w:cs="仿宋"/>
                <w:color w:val="auto"/>
                <w:sz w:val="24"/>
                <w:szCs w:val="24"/>
                <w:highlight w:val="none"/>
                <w:lang w:val="en-US" w:eastAsia="zh-CN"/>
              </w:rPr>
              <w:t>1</w:t>
            </w:r>
            <w:r>
              <w:rPr>
                <w:rStyle w:val="72"/>
                <w:rFonts w:hint="eastAsia" w:ascii="仿宋" w:hAnsi="仿宋" w:eastAsia="仿宋" w:cs="仿宋"/>
                <w:color w:val="auto"/>
                <w:sz w:val="24"/>
                <w:szCs w:val="24"/>
                <w:highlight w:val="none"/>
              </w:rPr>
              <w:t>分</w:t>
            </w:r>
            <w:r>
              <w:rPr>
                <w:rStyle w:val="72"/>
                <w:rFonts w:hint="eastAsia" w:ascii="仿宋" w:hAnsi="仿宋" w:eastAsia="仿宋" w:cs="仿宋"/>
                <w:color w:val="auto"/>
                <w:sz w:val="24"/>
                <w:szCs w:val="24"/>
                <w:highlight w:val="none"/>
                <w:lang w:val="en-US" w:eastAsia="zh-CN"/>
              </w:rPr>
              <w:t>；满分2</w:t>
            </w:r>
            <w:r>
              <w:rPr>
                <w:rFonts w:hint="eastAsia" w:ascii="仿宋" w:hAnsi="仿宋" w:eastAsia="仿宋" w:cs="仿宋"/>
                <w:color w:val="auto"/>
                <w:sz w:val="24"/>
                <w:szCs w:val="24"/>
                <w:highlight w:val="none"/>
              </w:rPr>
              <w:t>分</w:t>
            </w:r>
            <w:r>
              <w:rPr>
                <w:rStyle w:val="72"/>
                <w:rFonts w:hint="eastAsia" w:ascii="仿宋" w:hAnsi="仿宋" w:eastAsia="仿宋" w:cs="仿宋"/>
                <w:color w:val="auto"/>
                <w:sz w:val="24"/>
                <w:szCs w:val="24"/>
                <w:highlight w:val="none"/>
              </w:rPr>
              <w:t>；</w:t>
            </w:r>
          </w:p>
          <w:p w14:paraId="3F3760E9">
            <w:pPr>
              <w:keepNext w:val="0"/>
              <w:keepLines w:val="0"/>
              <w:pageBreakBefore w:val="0"/>
              <w:widowControl/>
              <w:numPr>
                <w:ilvl w:val="0"/>
                <w:numId w:val="0"/>
              </w:numPr>
              <w:kinsoku/>
              <w:wordWrap/>
              <w:overflowPunct/>
              <w:topLinePunct w:val="0"/>
              <w:bidi w:val="0"/>
              <w:snapToGrid/>
              <w:spacing w:line="360" w:lineRule="exact"/>
              <w:jc w:val="both"/>
              <w:textAlignment w:val="auto"/>
              <w:rPr>
                <w:rFonts w:hint="eastAsia" w:ascii="仿宋" w:hAnsi="仿宋" w:eastAsia="仿宋" w:cs="仿宋"/>
                <w:color w:val="auto"/>
                <w:sz w:val="24"/>
                <w:szCs w:val="24"/>
                <w:highlight w:val="none"/>
              </w:rPr>
            </w:pPr>
            <w:r>
              <w:rPr>
                <w:rStyle w:val="72"/>
                <w:rFonts w:hint="eastAsia" w:ascii="仿宋" w:hAnsi="仿宋" w:eastAsia="仿宋" w:cs="仿宋"/>
                <w:color w:val="auto"/>
                <w:sz w:val="24"/>
                <w:szCs w:val="24"/>
                <w:highlight w:val="none"/>
                <w:lang w:val="en-US" w:eastAsia="zh-CN"/>
              </w:rPr>
              <w:t>3</w:t>
            </w:r>
            <w:r>
              <w:rPr>
                <w:rStyle w:val="72"/>
                <w:rFonts w:hint="eastAsia" w:ascii="仿宋" w:hAnsi="仿宋" w:eastAsia="仿宋" w:cs="仿宋"/>
                <w:color w:val="auto"/>
                <w:sz w:val="24"/>
                <w:szCs w:val="24"/>
                <w:highlight w:val="none"/>
              </w:rPr>
              <w:t>、针对本项目</w:t>
            </w:r>
            <w:r>
              <w:rPr>
                <w:rFonts w:hint="eastAsia" w:ascii="仿宋" w:hAnsi="仿宋" w:eastAsia="仿宋" w:cs="仿宋"/>
                <w:color w:val="auto"/>
                <w:sz w:val="24"/>
                <w:szCs w:val="24"/>
                <w:highlight w:val="none"/>
              </w:rPr>
              <w:t>提供人员配备及岗位职责，</w:t>
            </w:r>
            <w:r>
              <w:rPr>
                <w:rFonts w:hint="eastAsia" w:ascii="仿宋" w:hAnsi="仿宋" w:eastAsia="仿宋" w:cs="仿宋"/>
                <w:color w:val="auto"/>
                <w:sz w:val="24"/>
                <w:szCs w:val="24"/>
                <w:highlight w:val="none"/>
                <w:lang w:val="en-US" w:eastAsia="zh-CN"/>
              </w:rPr>
              <w:t>得1</w:t>
            </w:r>
            <w:r>
              <w:rPr>
                <w:rFonts w:hint="eastAsia" w:ascii="仿宋" w:hAnsi="仿宋" w:eastAsia="仿宋" w:cs="仿宋"/>
                <w:color w:val="auto"/>
                <w:sz w:val="24"/>
                <w:szCs w:val="24"/>
                <w:highlight w:val="none"/>
              </w:rPr>
              <w:t>分；</w:t>
            </w:r>
          </w:p>
          <w:p w14:paraId="1B770031">
            <w:pPr>
              <w:keepNext w:val="0"/>
              <w:keepLines w:val="0"/>
              <w:pageBreakBefore w:val="0"/>
              <w:widowControl/>
              <w:kinsoku/>
              <w:wordWrap/>
              <w:overflowPunct/>
              <w:topLinePunct w:val="0"/>
              <w:bidi w:val="0"/>
              <w:snapToGrid/>
              <w:spacing w:line="360" w:lineRule="exact"/>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、承诺服务人员因事、病不能工作的，及时请调其他服务人员补充，确保服务工作的正常进行，得</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分，无承诺不得分。</w:t>
            </w:r>
          </w:p>
        </w:tc>
      </w:tr>
      <w:tr w14:paraId="1821D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812" w:type="dxa"/>
            <w:tcBorders>
              <w:top w:val="single" w:color="auto" w:sz="4" w:space="0"/>
              <w:left w:val="single" w:color="auto" w:sz="4" w:space="0"/>
              <w:bottom w:val="single" w:color="auto" w:sz="4" w:space="0"/>
              <w:right w:val="single" w:color="auto" w:sz="4" w:space="0"/>
            </w:tcBorders>
            <w:noWrap w:val="0"/>
            <w:vAlign w:val="center"/>
          </w:tcPr>
          <w:p w14:paraId="3DE8E685">
            <w:pPr>
              <w:keepNext w:val="0"/>
              <w:keepLines w:val="0"/>
              <w:pageBreakBefore w:val="0"/>
              <w:widowControl/>
              <w:kinsoku/>
              <w:wordWrap/>
              <w:overflowPunct/>
              <w:topLinePunct w:val="0"/>
              <w:bidi w:val="0"/>
              <w:spacing w:line="240" w:lineRule="auto"/>
              <w:jc w:val="left"/>
              <w:textAlignment w:val="auto"/>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应急预案</w:t>
            </w:r>
          </w:p>
        </w:tc>
        <w:tc>
          <w:tcPr>
            <w:tcW w:w="765" w:type="dxa"/>
            <w:tcBorders>
              <w:top w:val="single" w:color="auto" w:sz="4" w:space="0"/>
              <w:left w:val="single" w:color="auto" w:sz="4" w:space="0"/>
              <w:bottom w:val="single" w:color="auto" w:sz="4" w:space="0"/>
              <w:right w:val="single" w:color="auto" w:sz="4" w:space="0"/>
            </w:tcBorders>
            <w:noWrap w:val="0"/>
            <w:vAlign w:val="center"/>
          </w:tcPr>
          <w:p w14:paraId="26B6A4B6">
            <w:pPr>
              <w:keepNext w:val="0"/>
              <w:keepLines w:val="0"/>
              <w:pageBreakBefore w:val="0"/>
              <w:widowControl/>
              <w:kinsoku/>
              <w:wordWrap/>
              <w:overflowPunct/>
              <w:topLinePunct w:val="0"/>
              <w:bidi w:val="0"/>
              <w:spacing w:line="240" w:lineRule="auto"/>
              <w:jc w:val="center"/>
              <w:textAlignment w:val="auto"/>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5</w:t>
            </w:r>
          </w:p>
        </w:tc>
        <w:tc>
          <w:tcPr>
            <w:tcW w:w="7562" w:type="dxa"/>
            <w:tcBorders>
              <w:top w:val="single" w:color="auto" w:sz="4" w:space="0"/>
              <w:left w:val="single" w:color="auto" w:sz="4" w:space="0"/>
              <w:bottom w:val="single" w:color="auto" w:sz="4" w:space="0"/>
              <w:right w:val="single" w:color="auto" w:sz="4" w:space="0"/>
            </w:tcBorders>
            <w:noWrap w:val="0"/>
            <w:vAlign w:val="center"/>
          </w:tcPr>
          <w:p w14:paraId="658B9BED">
            <w:pPr>
              <w:keepNext w:val="0"/>
              <w:keepLines w:val="0"/>
              <w:pageBreakBefore w:val="0"/>
              <w:widowControl/>
              <w:kinsoku/>
              <w:wordWrap/>
              <w:overflowPunct/>
              <w:topLinePunct w:val="0"/>
              <w:bidi w:val="0"/>
              <w:adjustRightInd/>
              <w:snapToGrid/>
              <w:spacing w:line="360" w:lineRule="exact"/>
              <w:textAlignment w:val="auto"/>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突然断电、断水</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恶劣天气应急</w:t>
            </w:r>
            <w:r>
              <w:rPr>
                <w:rFonts w:hint="eastAsia" w:ascii="仿宋" w:hAnsi="仿宋" w:eastAsia="仿宋" w:cs="仿宋"/>
                <w:color w:val="auto"/>
                <w:sz w:val="24"/>
                <w:szCs w:val="24"/>
                <w:highlight w:val="none"/>
                <w:lang w:eastAsia="zh-CN"/>
              </w:rPr>
              <w:t>预案：</w:t>
            </w:r>
            <w:r>
              <w:rPr>
                <w:rFonts w:hint="eastAsia" w:ascii="仿宋" w:hAnsi="仿宋" w:eastAsia="仿宋" w:cs="仿宋"/>
                <w:color w:val="auto"/>
                <w:kern w:val="0"/>
                <w:sz w:val="24"/>
                <w:szCs w:val="24"/>
                <w:highlight w:val="none"/>
                <w:lang w:val="en-US" w:eastAsia="zh-CN" w:bidi="ar"/>
              </w:rPr>
              <w:t>每提供一项得1分，满分3分，不提供不得分；</w:t>
            </w:r>
          </w:p>
          <w:p w14:paraId="176E470B">
            <w:pPr>
              <w:keepNext w:val="0"/>
              <w:keepLines w:val="0"/>
              <w:pageBreakBefore w:val="0"/>
              <w:widowControl/>
              <w:kinsoku/>
              <w:wordWrap/>
              <w:overflowPunct/>
              <w:topLinePunct w:val="0"/>
              <w:bidi w:val="0"/>
              <w:adjustRightInd/>
              <w:snapToGrid/>
              <w:spacing w:line="360" w:lineRule="exac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各类节假日、重大活动应急方案</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kern w:val="0"/>
                <w:sz w:val="24"/>
                <w:szCs w:val="24"/>
                <w:highlight w:val="none"/>
                <w:lang w:val="en-US" w:eastAsia="zh-CN" w:bidi="ar"/>
              </w:rPr>
              <w:t>每提供一项得1分，满分2分，不提供不得分</w:t>
            </w:r>
            <w:r>
              <w:rPr>
                <w:rFonts w:hint="eastAsia" w:ascii="仿宋" w:hAnsi="仿宋" w:eastAsia="仿宋" w:cs="仿宋"/>
                <w:color w:val="auto"/>
                <w:spacing w:val="-4"/>
                <w:sz w:val="24"/>
                <w:szCs w:val="24"/>
                <w:highlight w:val="none"/>
              </w:rPr>
              <w:t>。</w:t>
            </w:r>
          </w:p>
        </w:tc>
      </w:tr>
      <w:tr w14:paraId="065BC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 w:hRule="atLeast"/>
          <w:jc w:val="center"/>
        </w:trPr>
        <w:tc>
          <w:tcPr>
            <w:tcW w:w="812" w:type="dxa"/>
            <w:tcBorders>
              <w:top w:val="single" w:color="auto" w:sz="4" w:space="0"/>
              <w:left w:val="single" w:color="auto" w:sz="4" w:space="0"/>
              <w:bottom w:val="single" w:color="auto" w:sz="4" w:space="0"/>
              <w:right w:val="single" w:color="auto" w:sz="4" w:space="0"/>
            </w:tcBorders>
            <w:noWrap w:val="0"/>
            <w:vAlign w:val="center"/>
          </w:tcPr>
          <w:p w14:paraId="3595546C">
            <w:pPr>
              <w:keepNext w:val="0"/>
              <w:keepLines w:val="0"/>
              <w:pageBreakBefore w:val="0"/>
              <w:widowControl/>
              <w:kinsoku/>
              <w:wordWrap/>
              <w:overflowPunct/>
              <w:topLinePunct w:val="0"/>
              <w:bidi w:val="0"/>
              <w:spacing w:line="240" w:lineRule="auto"/>
              <w:jc w:val="left"/>
              <w:textAlignment w:val="auto"/>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环境消杀</w:t>
            </w:r>
          </w:p>
        </w:tc>
        <w:tc>
          <w:tcPr>
            <w:tcW w:w="765" w:type="dxa"/>
            <w:tcBorders>
              <w:top w:val="single" w:color="auto" w:sz="4" w:space="0"/>
              <w:left w:val="single" w:color="auto" w:sz="4" w:space="0"/>
              <w:bottom w:val="single" w:color="auto" w:sz="4" w:space="0"/>
              <w:right w:val="single" w:color="auto" w:sz="4" w:space="0"/>
            </w:tcBorders>
            <w:noWrap w:val="0"/>
            <w:vAlign w:val="center"/>
          </w:tcPr>
          <w:p w14:paraId="141D45F3">
            <w:pPr>
              <w:keepNext w:val="0"/>
              <w:keepLines w:val="0"/>
              <w:pageBreakBefore w:val="0"/>
              <w:widowControl/>
              <w:kinsoku/>
              <w:wordWrap/>
              <w:overflowPunct/>
              <w:topLinePunct w:val="0"/>
              <w:bidi w:val="0"/>
              <w:spacing w:line="240" w:lineRule="auto"/>
              <w:jc w:val="center"/>
              <w:textAlignment w:val="auto"/>
              <w:rPr>
                <w:rFonts w:hint="default"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2</w:t>
            </w:r>
          </w:p>
        </w:tc>
        <w:tc>
          <w:tcPr>
            <w:tcW w:w="7562" w:type="dxa"/>
            <w:tcBorders>
              <w:top w:val="single" w:color="auto" w:sz="4" w:space="0"/>
              <w:left w:val="single" w:color="auto" w:sz="4" w:space="0"/>
              <w:bottom w:val="single" w:color="auto" w:sz="4" w:space="0"/>
              <w:right w:val="single" w:color="auto" w:sz="4" w:space="0"/>
            </w:tcBorders>
            <w:noWrap w:val="0"/>
            <w:vAlign w:val="center"/>
          </w:tcPr>
          <w:p w14:paraId="43F286EE">
            <w:pPr>
              <w:keepNext w:val="0"/>
              <w:keepLines w:val="0"/>
              <w:pageBreakBefore w:val="0"/>
              <w:widowControl/>
              <w:kinsoku/>
              <w:wordWrap/>
              <w:overflowPunct/>
              <w:topLinePunct w:val="0"/>
              <w:bidi w:val="0"/>
              <w:adjustRightInd/>
              <w:snapToGrid/>
              <w:spacing w:line="360" w:lineRule="exact"/>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kern w:val="0"/>
                <w:sz w:val="24"/>
                <w:szCs w:val="24"/>
                <w:highlight w:val="none"/>
                <w:lang w:val="en-US" w:eastAsia="zh-CN" w:bidi="ar"/>
              </w:rPr>
              <w:t>投标人须结合本项目物业服务实际提供消杀方案，包括以下内容：</w:t>
            </w:r>
            <w:r>
              <w:rPr>
                <w:rFonts w:hint="eastAsia" w:ascii="仿宋" w:hAnsi="仿宋" w:eastAsia="仿宋" w:cs="仿宋"/>
                <w:color w:val="auto"/>
                <w:sz w:val="24"/>
                <w:szCs w:val="24"/>
                <w:highlight w:val="none"/>
              </w:rPr>
              <w:t>①</w:t>
            </w:r>
            <w:r>
              <w:rPr>
                <w:rFonts w:hint="eastAsia" w:ascii="仿宋" w:hAnsi="仿宋" w:eastAsia="仿宋" w:cs="仿宋"/>
                <w:color w:val="auto"/>
                <w:sz w:val="24"/>
                <w:szCs w:val="24"/>
                <w:highlight w:val="none"/>
                <w:lang w:val="en-US" w:eastAsia="zh-CN"/>
              </w:rPr>
              <w:t>垃圾压缩站日常消杀方案；</w:t>
            </w:r>
            <w:r>
              <w:rPr>
                <w:rFonts w:hint="eastAsia" w:ascii="仿宋" w:hAnsi="仿宋" w:eastAsia="仿宋" w:cs="仿宋"/>
                <w:color w:val="auto"/>
                <w:sz w:val="24"/>
                <w:szCs w:val="24"/>
                <w:highlight w:val="none"/>
              </w:rPr>
              <w:t>②</w:t>
            </w:r>
            <w:r>
              <w:rPr>
                <w:rFonts w:hint="eastAsia" w:ascii="仿宋" w:hAnsi="仿宋" w:eastAsia="仿宋" w:cs="仿宋"/>
                <w:color w:val="auto"/>
                <w:sz w:val="24"/>
                <w:szCs w:val="24"/>
                <w:highlight w:val="none"/>
                <w:lang w:val="en-US" w:eastAsia="zh-CN"/>
              </w:rPr>
              <w:t>公共电梯消杀方案；</w:t>
            </w:r>
            <w:r>
              <w:rPr>
                <w:rFonts w:hint="eastAsia" w:ascii="仿宋" w:hAnsi="仿宋" w:eastAsia="仿宋" w:cs="仿宋"/>
                <w:color w:val="auto"/>
                <w:kern w:val="0"/>
                <w:sz w:val="24"/>
                <w:szCs w:val="24"/>
                <w:highlight w:val="none"/>
                <w:lang w:val="en-US" w:eastAsia="zh-CN" w:bidi="ar"/>
              </w:rPr>
              <w:t>每提供一项得1分，满分2分，不提供不得分</w:t>
            </w:r>
            <w:r>
              <w:rPr>
                <w:rFonts w:hint="eastAsia" w:ascii="仿宋" w:hAnsi="仿宋" w:eastAsia="仿宋" w:cs="仿宋"/>
                <w:color w:val="auto"/>
                <w:sz w:val="24"/>
                <w:szCs w:val="24"/>
                <w:highlight w:val="none"/>
                <w:lang w:val="en-US" w:eastAsia="zh-CN"/>
              </w:rPr>
              <w:t>。</w:t>
            </w:r>
          </w:p>
        </w:tc>
      </w:tr>
      <w:tr w14:paraId="14F4A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7" w:hRule="atLeast"/>
          <w:jc w:val="center"/>
        </w:trPr>
        <w:tc>
          <w:tcPr>
            <w:tcW w:w="812" w:type="dxa"/>
            <w:tcBorders>
              <w:top w:val="single" w:color="auto" w:sz="4" w:space="0"/>
              <w:left w:val="single" w:color="auto" w:sz="4" w:space="0"/>
              <w:bottom w:val="single" w:color="auto" w:sz="4" w:space="0"/>
              <w:right w:val="single" w:color="auto" w:sz="4" w:space="0"/>
            </w:tcBorders>
            <w:noWrap w:val="0"/>
            <w:vAlign w:val="center"/>
          </w:tcPr>
          <w:p w14:paraId="03EDF912">
            <w:pPr>
              <w:keepNext w:val="0"/>
              <w:keepLines w:val="0"/>
              <w:widowControl/>
              <w:suppressLineNumbers w:val="0"/>
              <w:jc w:val="left"/>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节能</w:t>
            </w:r>
          </w:p>
          <w:p w14:paraId="0321F801">
            <w:pPr>
              <w:keepNext w:val="0"/>
              <w:keepLines w:val="0"/>
              <w:widowControl/>
              <w:suppressLineNumbers w:val="0"/>
              <w:jc w:val="left"/>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降耗</w:t>
            </w:r>
          </w:p>
          <w:p w14:paraId="7642BD2E">
            <w:pPr>
              <w:keepNext w:val="0"/>
              <w:keepLines w:val="0"/>
              <w:widowControl/>
              <w:suppressLineNumbers w:val="0"/>
              <w:jc w:val="left"/>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方案</w:t>
            </w:r>
          </w:p>
        </w:tc>
        <w:tc>
          <w:tcPr>
            <w:tcW w:w="765" w:type="dxa"/>
            <w:tcBorders>
              <w:top w:val="single" w:color="auto" w:sz="4" w:space="0"/>
              <w:left w:val="single" w:color="auto" w:sz="4" w:space="0"/>
              <w:bottom w:val="single" w:color="auto" w:sz="4" w:space="0"/>
              <w:right w:val="single" w:color="auto" w:sz="4" w:space="0"/>
            </w:tcBorders>
            <w:noWrap w:val="0"/>
            <w:vAlign w:val="center"/>
          </w:tcPr>
          <w:p w14:paraId="6ADFC072">
            <w:pPr>
              <w:keepNext w:val="0"/>
              <w:keepLines w:val="0"/>
              <w:pageBreakBefore w:val="0"/>
              <w:widowControl/>
              <w:kinsoku/>
              <w:wordWrap/>
              <w:overflowPunct/>
              <w:topLinePunct w:val="0"/>
              <w:bidi w:val="0"/>
              <w:spacing w:line="240" w:lineRule="auto"/>
              <w:jc w:val="center"/>
              <w:textAlignment w:val="auto"/>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4</w:t>
            </w:r>
          </w:p>
        </w:tc>
        <w:tc>
          <w:tcPr>
            <w:tcW w:w="7562" w:type="dxa"/>
            <w:tcBorders>
              <w:top w:val="single" w:color="auto" w:sz="4" w:space="0"/>
              <w:left w:val="single" w:color="auto" w:sz="4" w:space="0"/>
              <w:bottom w:val="single" w:color="auto" w:sz="4" w:space="0"/>
              <w:right w:val="single" w:color="auto" w:sz="4" w:space="0"/>
            </w:tcBorders>
            <w:noWrap w:val="0"/>
            <w:vAlign w:val="center"/>
          </w:tcPr>
          <w:p w14:paraId="12E6F740">
            <w:pPr>
              <w:keepNext w:val="0"/>
              <w:keepLines w:val="0"/>
              <w:pageBreakBefore w:val="0"/>
              <w:widowControl/>
              <w:suppressLineNumbers w:val="0"/>
              <w:kinsoku/>
              <w:wordWrap/>
              <w:overflowPunct/>
              <w:topLinePunct w:val="0"/>
              <w:bidi w:val="0"/>
              <w:adjustRightInd/>
              <w:snapToGrid/>
              <w:spacing w:line="360" w:lineRule="exact"/>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
              </w:rPr>
              <w:t>投标人须结合本项目物业服务实际提供节能降耗专项管理制度，方案需包括以下内容：</w:t>
            </w:r>
            <w:r>
              <w:rPr>
                <w:rFonts w:hint="eastAsia" w:ascii="仿宋" w:hAnsi="仿宋" w:eastAsia="仿宋" w:cs="仿宋"/>
                <w:color w:val="auto"/>
                <w:sz w:val="24"/>
                <w:szCs w:val="24"/>
                <w:highlight w:val="none"/>
              </w:rPr>
              <w:t>①</w:t>
            </w:r>
            <w:r>
              <w:rPr>
                <w:rFonts w:hint="eastAsia" w:ascii="仿宋" w:hAnsi="仿宋" w:eastAsia="仿宋" w:cs="仿宋"/>
                <w:color w:val="auto"/>
                <w:kern w:val="0"/>
                <w:sz w:val="24"/>
                <w:szCs w:val="24"/>
                <w:highlight w:val="none"/>
                <w:lang w:val="en-US" w:eastAsia="zh-CN" w:bidi="ar"/>
              </w:rPr>
              <w:t>水电能耗管控制度；</w:t>
            </w:r>
            <w:r>
              <w:rPr>
                <w:rFonts w:hint="eastAsia" w:ascii="仿宋" w:hAnsi="仿宋" w:eastAsia="仿宋" w:cs="仿宋"/>
                <w:color w:val="auto"/>
                <w:sz w:val="24"/>
                <w:szCs w:val="24"/>
                <w:highlight w:val="none"/>
              </w:rPr>
              <w:t>②</w:t>
            </w:r>
            <w:r>
              <w:rPr>
                <w:rFonts w:hint="eastAsia" w:ascii="仿宋" w:hAnsi="仿宋" w:eastAsia="仿宋" w:cs="仿宋"/>
                <w:color w:val="auto"/>
                <w:kern w:val="0"/>
                <w:sz w:val="24"/>
                <w:szCs w:val="24"/>
                <w:highlight w:val="none"/>
                <w:lang w:val="en-US" w:eastAsia="zh-CN" w:bidi="ar"/>
              </w:rPr>
              <w:t>设施设备节能制度；</w:t>
            </w:r>
            <w:r>
              <w:rPr>
                <w:rFonts w:hint="eastAsia" w:ascii="仿宋" w:hAnsi="仿宋" w:eastAsia="仿宋" w:cs="仿宋"/>
                <w:color w:val="auto"/>
                <w:sz w:val="24"/>
                <w:szCs w:val="24"/>
                <w:highlight w:val="none"/>
              </w:rPr>
              <w:t>③</w:t>
            </w:r>
            <w:r>
              <w:rPr>
                <w:rFonts w:hint="eastAsia" w:ascii="仿宋" w:hAnsi="仿宋" w:eastAsia="仿宋" w:cs="仿宋"/>
                <w:color w:val="auto"/>
                <w:kern w:val="0"/>
                <w:sz w:val="24"/>
                <w:szCs w:val="24"/>
                <w:highlight w:val="none"/>
                <w:lang w:val="en-US" w:eastAsia="zh-CN" w:bidi="ar"/>
              </w:rPr>
              <w:t>耗材物资节约制度；</w:t>
            </w:r>
            <w:r>
              <w:rPr>
                <w:rFonts w:hint="eastAsia" w:ascii="仿宋" w:hAnsi="仿宋" w:eastAsia="仿宋" w:cs="仿宋"/>
                <w:color w:val="auto"/>
                <w:kern w:val="0"/>
                <w:sz w:val="24"/>
                <w:szCs w:val="24"/>
              </w:rPr>
              <w:t>④</w:t>
            </w:r>
            <w:r>
              <w:rPr>
                <w:rFonts w:hint="eastAsia" w:ascii="仿宋" w:hAnsi="仿宋" w:eastAsia="仿宋" w:cs="仿宋"/>
                <w:color w:val="auto"/>
                <w:kern w:val="0"/>
                <w:sz w:val="24"/>
                <w:szCs w:val="24"/>
                <w:highlight w:val="none"/>
                <w:lang w:val="en-US" w:eastAsia="zh-CN" w:bidi="ar"/>
              </w:rPr>
              <w:t>节能宣传培训制度；每提供一项得1分，满分4分，不提供不得分。</w:t>
            </w:r>
          </w:p>
        </w:tc>
      </w:tr>
      <w:tr w14:paraId="48357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6" w:hRule="atLeast"/>
          <w:jc w:val="center"/>
        </w:trPr>
        <w:tc>
          <w:tcPr>
            <w:tcW w:w="812" w:type="dxa"/>
            <w:tcBorders>
              <w:top w:val="single" w:color="auto" w:sz="4" w:space="0"/>
              <w:left w:val="single" w:color="auto" w:sz="4" w:space="0"/>
              <w:bottom w:val="single" w:color="auto" w:sz="4" w:space="0"/>
              <w:right w:val="single" w:color="auto" w:sz="4" w:space="0"/>
            </w:tcBorders>
            <w:noWrap w:val="0"/>
            <w:vAlign w:val="center"/>
          </w:tcPr>
          <w:p w14:paraId="570D5D6A">
            <w:pPr>
              <w:keepNext w:val="0"/>
              <w:keepLines w:val="0"/>
              <w:pageBreakBefore w:val="0"/>
              <w:widowControl/>
              <w:kinsoku/>
              <w:wordWrap/>
              <w:overflowPunct/>
              <w:topLinePunct w:val="0"/>
              <w:bidi w:val="0"/>
              <w:spacing w:line="240" w:lineRule="auto"/>
              <w:jc w:val="left"/>
              <w:textAlignment w:val="auto"/>
              <w:rPr>
                <w:rFonts w:hint="eastAsia" w:ascii="仿宋" w:hAnsi="仿宋" w:eastAsia="仿宋" w:cs="仿宋"/>
                <w:color w:val="auto"/>
                <w:kern w:val="0"/>
                <w:sz w:val="24"/>
                <w:szCs w:val="24"/>
                <w:highlight w:val="none"/>
                <w:lang w:bidi="ar"/>
              </w:rPr>
            </w:pPr>
            <w:r>
              <w:rPr>
                <w:rFonts w:hint="eastAsia" w:ascii="仿宋" w:hAnsi="仿宋" w:eastAsia="仿宋" w:cs="仿宋"/>
                <w:color w:val="auto"/>
                <w:kern w:val="0"/>
                <w:sz w:val="24"/>
                <w:szCs w:val="24"/>
                <w:highlight w:val="none"/>
                <w:lang w:val="en-US" w:eastAsia="zh-CN" w:bidi="ar"/>
              </w:rPr>
              <w:t>培训考核</w:t>
            </w:r>
          </w:p>
          <w:p w14:paraId="57F1E7A5">
            <w:pPr>
              <w:keepNext w:val="0"/>
              <w:keepLines w:val="0"/>
              <w:pageBreakBefore w:val="0"/>
              <w:widowControl/>
              <w:kinsoku/>
              <w:wordWrap/>
              <w:overflowPunct/>
              <w:topLinePunct w:val="0"/>
              <w:bidi w:val="0"/>
              <w:spacing w:line="240" w:lineRule="auto"/>
              <w:jc w:val="left"/>
              <w:textAlignment w:val="auto"/>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方案</w:t>
            </w:r>
          </w:p>
        </w:tc>
        <w:tc>
          <w:tcPr>
            <w:tcW w:w="765" w:type="dxa"/>
            <w:tcBorders>
              <w:top w:val="single" w:color="auto" w:sz="4" w:space="0"/>
              <w:left w:val="single" w:color="auto" w:sz="4" w:space="0"/>
              <w:bottom w:val="single" w:color="auto" w:sz="4" w:space="0"/>
              <w:right w:val="single" w:color="auto" w:sz="4" w:space="0"/>
            </w:tcBorders>
            <w:noWrap w:val="0"/>
            <w:vAlign w:val="center"/>
          </w:tcPr>
          <w:p w14:paraId="43FEEDEE">
            <w:pPr>
              <w:keepNext w:val="0"/>
              <w:keepLines w:val="0"/>
              <w:pageBreakBefore w:val="0"/>
              <w:widowControl/>
              <w:kinsoku/>
              <w:wordWrap/>
              <w:overflowPunct/>
              <w:topLinePunct w:val="0"/>
              <w:bidi w:val="0"/>
              <w:spacing w:line="240" w:lineRule="auto"/>
              <w:jc w:val="center"/>
              <w:textAlignment w:val="auto"/>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5</w:t>
            </w:r>
          </w:p>
        </w:tc>
        <w:tc>
          <w:tcPr>
            <w:tcW w:w="7562" w:type="dxa"/>
            <w:tcBorders>
              <w:top w:val="single" w:color="auto" w:sz="4" w:space="0"/>
              <w:left w:val="single" w:color="auto" w:sz="4" w:space="0"/>
              <w:bottom w:val="single" w:color="auto" w:sz="4" w:space="0"/>
              <w:right w:val="single" w:color="auto" w:sz="4" w:space="0"/>
            </w:tcBorders>
            <w:noWrap w:val="0"/>
            <w:vAlign w:val="center"/>
          </w:tcPr>
          <w:p w14:paraId="30A101C1">
            <w:pPr>
              <w:keepNext w:val="0"/>
              <w:keepLines w:val="0"/>
              <w:pageBreakBefore w:val="0"/>
              <w:widowControl/>
              <w:kinsoku/>
              <w:wordWrap/>
              <w:overflowPunct/>
              <w:topLinePunct w:val="0"/>
              <w:bidi w:val="0"/>
              <w:adjustRightInd/>
              <w:snapToGrid/>
              <w:spacing w:line="360" w:lineRule="exac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针对本项目制定培训方案，方案包括：①工作程序与标准②管理层培训方案③员工培训方案</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kern w:val="0"/>
                <w:sz w:val="24"/>
                <w:szCs w:val="24"/>
                <w:highlight w:val="none"/>
                <w:lang w:val="en-US" w:eastAsia="zh-CN" w:bidi="ar"/>
              </w:rPr>
              <w:t>每提供一项得1分，满分3分，不提供不得分；</w:t>
            </w:r>
          </w:p>
          <w:p w14:paraId="52ACB815">
            <w:pPr>
              <w:keepNext w:val="0"/>
              <w:keepLines w:val="0"/>
              <w:pageBreakBefore w:val="0"/>
              <w:widowControl/>
              <w:kinsoku/>
              <w:wordWrap/>
              <w:overflowPunct/>
              <w:topLinePunct w:val="0"/>
              <w:bidi w:val="0"/>
              <w:adjustRightInd/>
              <w:snapToGrid/>
              <w:spacing w:line="360" w:lineRule="exact"/>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针对本项目制定</w:t>
            </w:r>
            <w:r>
              <w:rPr>
                <w:rFonts w:hint="eastAsia" w:ascii="仿宋" w:hAnsi="仿宋" w:eastAsia="仿宋" w:cs="仿宋"/>
                <w:color w:val="auto"/>
                <w:sz w:val="24"/>
                <w:szCs w:val="24"/>
                <w:highlight w:val="none"/>
                <w:lang w:eastAsia="zh-CN"/>
              </w:rPr>
              <w:t>考核</w:t>
            </w:r>
            <w:r>
              <w:rPr>
                <w:rFonts w:hint="eastAsia" w:ascii="仿宋" w:hAnsi="仿宋" w:eastAsia="仿宋" w:cs="仿宋"/>
                <w:color w:val="auto"/>
                <w:sz w:val="24"/>
                <w:szCs w:val="24"/>
                <w:highlight w:val="none"/>
              </w:rPr>
              <w:t>方案，方案包括：①管理层</w:t>
            </w:r>
            <w:r>
              <w:rPr>
                <w:rFonts w:hint="eastAsia" w:ascii="仿宋" w:hAnsi="仿宋" w:eastAsia="仿宋" w:cs="仿宋"/>
                <w:color w:val="auto"/>
                <w:sz w:val="24"/>
                <w:szCs w:val="24"/>
                <w:highlight w:val="none"/>
                <w:lang w:eastAsia="zh-CN"/>
              </w:rPr>
              <w:t>考核</w:t>
            </w:r>
            <w:r>
              <w:rPr>
                <w:rFonts w:hint="eastAsia" w:ascii="仿宋" w:hAnsi="仿宋" w:eastAsia="仿宋" w:cs="仿宋"/>
                <w:color w:val="auto"/>
                <w:sz w:val="24"/>
                <w:szCs w:val="24"/>
                <w:highlight w:val="none"/>
              </w:rPr>
              <w:t>方案②员工</w:t>
            </w:r>
            <w:r>
              <w:rPr>
                <w:rFonts w:hint="eastAsia" w:ascii="仿宋" w:hAnsi="仿宋" w:eastAsia="仿宋" w:cs="仿宋"/>
                <w:color w:val="auto"/>
                <w:sz w:val="24"/>
                <w:szCs w:val="24"/>
                <w:highlight w:val="none"/>
                <w:lang w:eastAsia="zh-CN"/>
              </w:rPr>
              <w:t>考核</w:t>
            </w:r>
            <w:r>
              <w:rPr>
                <w:rFonts w:hint="eastAsia" w:ascii="仿宋" w:hAnsi="仿宋" w:eastAsia="仿宋" w:cs="仿宋"/>
                <w:color w:val="auto"/>
                <w:sz w:val="24"/>
                <w:szCs w:val="24"/>
                <w:highlight w:val="none"/>
              </w:rPr>
              <w:t>方案</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kern w:val="0"/>
                <w:sz w:val="24"/>
                <w:szCs w:val="24"/>
                <w:highlight w:val="none"/>
                <w:lang w:val="en-US" w:eastAsia="zh-CN" w:bidi="ar"/>
              </w:rPr>
              <w:t>每提供一项得1分，满分2分，不提供不得分。</w:t>
            </w:r>
          </w:p>
        </w:tc>
      </w:tr>
      <w:tr w14:paraId="4381C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812" w:type="dxa"/>
            <w:tcBorders>
              <w:top w:val="single" w:color="auto" w:sz="4" w:space="0"/>
              <w:left w:val="single" w:color="auto" w:sz="4" w:space="0"/>
              <w:bottom w:val="single" w:color="auto" w:sz="4" w:space="0"/>
              <w:right w:val="single" w:color="auto" w:sz="4" w:space="0"/>
            </w:tcBorders>
            <w:noWrap w:val="0"/>
            <w:vAlign w:val="center"/>
          </w:tcPr>
          <w:p w14:paraId="44D13931">
            <w:pPr>
              <w:keepNext w:val="0"/>
              <w:keepLines w:val="0"/>
              <w:pageBreakBefore w:val="0"/>
              <w:kinsoku/>
              <w:wordWrap/>
              <w:overflowPunct/>
              <w:topLinePunct w:val="0"/>
              <w:bidi w:val="0"/>
              <w:snapToGrid/>
              <w:spacing w:line="240" w:lineRule="auto"/>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设备配置</w:t>
            </w:r>
          </w:p>
        </w:tc>
        <w:tc>
          <w:tcPr>
            <w:tcW w:w="765" w:type="dxa"/>
            <w:tcBorders>
              <w:top w:val="single" w:color="auto" w:sz="4" w:space="0"/>
              <w:left w:val="single" w:color="auto" w:sz="4" w:space="0"/>
              <w:bottom w:val="single" w:color="auto" w:sz="4" w:space="0"/>
              <w:right w:val="single" w:color="auto" w:sz="4" w:space="0"/>
            </w:tcBorders>
            <w:noWrap w:val="0"/>
            <w:vAlign w:val="center"/>
          </w:tcPr>
          <w:p w14:paraId="421B0CBA">
            <w:pPr>
              <w:keepNext w:val="0"/>
              <w:keepLines w:val="0"/>
              <w:pageBreakBefore w:val="0"/>
              <w:kinsoku/>
              <w:wordWrap/>
              <w:overflowPunct/>
              <w:topLinePunct w:val="0"/>
              <w:bidi w:val="0"/>
              <w:snapToGrid/>
              <w:spacing w:line="240" w:lineRule="auto"/>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3</w:t>
            </w:r>
          </w:p>
        </w:tc>
        <w:tc>
          <w:tcPr>
            <w:tcW w:w="7562" w:type="dxa"/>
            <w:tcBorders>
              <w:top w:val="single" w:color="auto" w:sz="4" w:space="0"/>
              <w:left w:val="single" w:color="auto" w:sz="4" w:space="0"/>
              <w:bottom w:val="single" w:color="auto" w:sz="4" w:space="0"/>
              <w:right w:val="single" w:color="auto" w:sz="4" w:space="0"/>
            </w:tcBorders>
            <w:noWrap w:val="0"/>
            <w:vAlign w:val="center"/>
          </w:tcPr>
          <w:p w14:paraId="664737FF">
            <w:pPr>
              <w:keepNext w:val="0"/>
              <w:keepLines w:val="0"/>
              <w:pageBreakBefore w:val="0"/>
              <w:kinsoku/>
              <w:wordWrap/>
              <w:overflowPunct/>
              <w:topLinePunct w:val="0"/>
              <w:bidi w:val="0"/>
              <w:adjustRightInd/>
              <w:snapToGrid/>
              <w:spacing w:line="360" w:lineRule="exact"/>
              <w:jc w:val="both"/>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自有（或租赁）满足本项目需求的保洁设备，包括：垃圾压缩清运汽车、电动保洁三轮车、驾驶式扫地车。每提供一类设备的发票（或租赁合同）得1分，最高得3分。</w:t>
            </w:r>
          </w:p>
        </w:tc>
      </w:tr>
      <w:tr w14:paraId="7E3C69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2" w:type="dxa"/>
            <w:tcBorders>
              <w:top w:val="single" w:color="auto" w:sz="4" w:space="0"/>
              <w:left w:val="single" w:color="auto" w:sz="4" w:space="0"/>
              <w:bottom w:val="single" w:color="auto" w:sz="4" w:space="0"/>
              <w:right w:val="single" w:color="auto" w:sz="4" w:space="0"/>
            </w:tcBorders>
            <w:noWrap w:val="0"/>
            <w:vAlign w:val="center"/>
          </w:tcPr>
          <w:p w14:paraId="1A0C5330">
            <w:pPr>
              <w:spacing w:line="3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环境卫生保洁方案</w:t>
            </w:r>
          </w:p>
        </w:tc>
        <w:tc>
          <w:tcPr>
            <w:tcW w:w="765" w:type="dxa"/>
            <w:tcBorders>
              <w:top w:val="single" w:color="auto" w:sz="4" w:space="0"/>
              <w:left w:val="single" w:color="auto" w:sz="4" w:space="0"/>
              <w:bottom w:val="single" w:color="auto" w:sz="4" w:space="0"/>
              <w:right w:val="single" w:color="auto" w:sz="4" w:space="0"/>
            </w:tcBorders>
            <w:noWrap w:val="0"/>
            <w:vAlign w:val="center"/>
          </w:tcPr>
          <w:p w14:paraId="0D717BE5">
            <w:pPr>
              <w:spacing w:line="300" w:lineRule="exact"/>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15</w:t>
            </w:r>
          </w:p>
        </w:tc>
        <w:tc>
          <w:tcPr>
            <w:tcW w:w="7562" w:type="dxa"/>
            <w:tcBorders>
              <w:top w:val="single" w:color="auto" w:sz="4" w:space="0"/>
              <w:left w:val="single" w:color="auto" w:sz="4" w:space="0"/>
              <w:bottom w:val="single" w:color="auto" w:sz="4" w:space="0"/>
              <w:right w:val="single" w:color="auto" w:sz="4" w:space="0"/>
            </w:tcBorders>
            <w:noWrap w:val="0"/>
            <w:vAlign w:val="center"/>
          </w:tcPr>
          <w:p w14:paraId="03D1B5DE">
            <w:pPr>
              <w:keepNext w:val="0"/>
              <w:keepLines w:val="0"/>
              <w:pageBreakBefore w:val="0"/>
              <w:widowControl/>
              <w:kinsoku/>
              <w:wordWrap/>
              <w:overflowPunct/>
              <w:topLinePunct w:val="0"/>
              <w:bidi w:val="0"/>
              <w:adjustRightInd/>
              <w:snapToGrid/>
              <w:spacing w:line="360" w:lineRule="exact"/>
              <w:textAlignment w:val="auto"/>
              <w:rPr>
                <w:rFonts w:hint="eastAsia" w:ascii="仿宋" w:hAnsi="仿宋" w:eastAsia="仿宋" w:cs="仿宋"/>
                <w:color w:val="auto"/>
                <w:kern w:val="0"/>
                <w:sz w:val="24"/>
                <w:szCs w:val="24"/>
              </w:rPr>
            </w:pPr>
            <w:r>
              <w:rPr>
                <w:rFonts w:hint="eastAsia" w:ascii="仿宋" w:hAnsi="仿宋" w:eastAsia="仿宋" w:cs="仿宋"/>
                <w:b/>
                <w:bCs/>
                <w:color w:val="auto"/>
                <w:kern w:val="0"/>
                <w:sz w:val="24"/>
                <w:szCs w:val="24"/>
              </w:rPr>
              <w:t>一、评审内容</w:t>
            </w:r>
          </w:p>
          <w:p w14:paraId="70615688">
            <w:pPr>
              <w:keepNext w:val="0"/>
              <w:keepLines w:val="0"/>
              <w:pageBreakBefore w:val="0"/>
              <w:widowControl/>
              <w:kinsoku/>
              <w:wordWrap/>
              <w:overflowPunct/>
              <w:topLinePunct w:val="0"/>
              <w:bidi w:val="0"/>
              <w:adjustRightInd/>
              <w:snapToGrid/>
              <w:spacing w:line="360" w:lineRule="exact"/>
              <w:textAlignment w:val="auto"/>
              <w:rPr>
                <w:rFonts w:hint="eastAsia" w:ascii="仿宋" w:hAnsi="仿宋" w:eastAsia="仿宋" w:cs="仿宋"/>
                <w:color w:val="auto"/>
                <w:kern w:val="0"/>
                <w:sz w:val="24"/>
                <w:szCs w:val="24"/>
                <w:lang w:eastAsia="zh-CN"/>
              </w:rPr>
            </w:pPr>
            <w:r>
              <w:rPr>
                <w:rFonts w:hint="eastAsia" w:ascii="仿宋" w:hAnsi="仿宋" w:eastAsia="仿宋" w:cs="仿宋"/>
                <w:color w:val="auto"/>
                <w:kern w:val="0"/>
                <w:sz w:val="24"/>
                <w:szCs w:val="24"/>
              </w:rPr>
              <w:t>针对本项目服务范围提出保洁服务方案，方案内容包括：①保洁工作计划②保洁规范流程③保洁工作标准④垃圾清运⑤</w:t>
            </w:r>
            <w:r>
              <w:rPr>
                <w:rFonts w:hint="eastAsia" w:ascii="仿宋" w:hAnsi="仿宋" w:eastAsia="仿宋" w:cs="仿宋"/>
                <w:color w:val="auto"/>
                <w:kern w:val="0"/>
                <w:sz w:val="24"/>
                <w:szCs w:val="24"/>
                <w:lang w:eastAsia="zh-CN"/>
              </w:rPr>
              <w:t>服务质量考核。</w:t>
            </w:r>
          </w:p>
          <w:p w14:paraId="2C400D32">
            <w:pPr>
              <w:keepNext w:val="0"/>
              <w:keepLines w:val="0"/>
              <w:pageBreakBefore w:val="0"/>
              <w:widowControl/>
              <w:kinsoku/>
              <w:wordWrap/>
              <w:overflowPunct/>
              <w:topLinePunct w:val="0"/>
              <w:bidi w:val="0"/>
              <w:adjustRightInd/>
              <w:snapToGrid/>
              <w:spacing w:line="360" w:lineRule="exact"/>
              <w:textAlignment w:val="auto"/>
              <w:rPr>
                <w:rFonts w:hint="eastAsia" w:ascii="仿宋" w:hAnsi="仿宋" w:eastAsia="仿宋" w:cs="仿宋"/>
                <w:b/>
                <w:bCs/>
                <w:color w:val="auto"/>
                <w:kern w:val="0"/>
                <w:sz w:val="24"/>
                <w:szCs w:val="24"/>
              </w:rPr>
            </w:pPr>
            <w:r>
              <w:rPr>
                <w:rFonts w:hint="eastAsia" w:ascii="仿宋" w:hAnsi="仿宋" w:eastAsia="仿宋" w:cs="仿宋"/>
                <w:b/>
                <w:bCs/>
                <w:color w:val="auto"/>
                <w:kern w:val="0"/>
                <w:sz w:val="24"/>
                <w:szCs w:val="24"/>
              </w:rPr>
              <w:t>二、评审标准</w:t>
            </w:r>
          </w:p>
          <w:p w14:paraId="30521F3A">
            <w:pPr>
              <w:keepNext w:val="0"/>
              <w:keepLines w:val="0"/>
              <w:pageBreakBefore w:val="0"/>
              <w:widowControl/>
              <w:kinsoku/>
              <w:wordWrap/>
              <w:overflowPunct/>
              <w:topLinePunct w:val="0"/>
              <w:bidi w:val="0"/>
              <w:adjustRightInd/>
              <w:snapToGrid/>
              <w:spacing w:line="360" w:lineRule="exact"/>
              <w:textAlignment w:val="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1、完整性：方案必须全面，对评审内容中的各项要求有详细描述；</w:t>
            </w:r>
          </w:p>
          <w:p w14:paraId="4EBDBA1D">
            <w:pPr>
              <w:keepNext w:val="0"/>
              <w:keepLines w:val="0"/>
              <w:pageBreakBefore w:val="0"/>
              <w:widowControl/>
              <w:kinsoku/>
              <w:wordWrap/>
              <w:overflowPunct/>
              <w:topLinePunct w:val="0"/>
              <w:bidi w:val="0"/>
              <w:adjustRightInd/>
              <w:snapToGrid/>
              <w:spacing w:line="360" w:lineRule="exact"/>
              <w:textAlignment w:val="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2、可实施性：切合本项目实际情况，提出步骤清晰、合理的方案；</w:t>
            </w:r>
          </w:p>
          <w:p w14:paraId="30A9ED55">
            <w:pPr>
              <w:keepNext w:val="0"/>
              <w:keepLines w:val="0"/>
              <w:pageBreakBefore w:val="0"/>
              <w:widowControl/>
              <w:kinsoku/>
              <w:wordWrap/>
              <w:overflowPunct/>
              <w:topLinePunct w:val="0"/>
              <w:bidi w:val="0"/>
              <w:adjustRightInd/>
              <w:snapToGrid/>
              <w:spacing w:line="360" w:lineRule="exact"/>
              <w:textAlignment w:val="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3、针对性：方案能够紧扣项目实际情况，内容科学合理。</w:t>
            </w:r>
          </w:p>
          <w:p w14:paraId="16F6ABCF">
            <w:pPr>
              <w:keepNext w:val="0"/>
              <w:keepLines w:val="0"/>
              <w:pageBreakBefore w:val="0"/>
              <w:widowControl/>
              <w:kinsoku/>
              <w:wordWrap/>
              <w:overflowPunct/>
              <w:topLinePunct w:val="0"/>
              <w:bidi w:val="0"/>
              <w:adjustRightInd/>
              <w:snapToGrid/>
              <w:spacing w:line="360" w:lineRule="exact"/>
              <w:textAlignment w:val="auto"/>
              <w:rPr>
                <w:rFonts w:hint="eastAsia" w:ascii="仿宋" w:hAnsi="仿宋" w:eastAsia="仿宋" w:cs="仿宋"/>
                <w:b/>
                <w:bCs/>
                <w:color w:val="auto"/>
                <w:kern w:val="0"/>
                <w:sz w:val="24"/>
                <w:szCs w:val="24"/>
              </w:rPr>
            </w:pPr>
            <w:r>
              <w:rPr>
                <w:rFonts w:hint="eastAsia" w:ascii="仿宋" w:hAnsi="仿宋" w:eastAsia="仿宋" w:cs="仿宋"/>
                <w:b/>
                <w:bCs/>
                <w:color w:val="auto"/>
                <w:kern w:val="0"/>
                <w:sz w:val="24"/>
                <w:szCs w:val="24"/>
              </w:rPr>
              <w:t>三、赋分标准（满分</w:t>
            </w:r>
            <w:r>
              <w:rPr>
                <w:rFonts w:hint="eastAsia" w:ascii="仿宋" w:hAnsi="仿宋" w:eastAsia="仿宋" w:cs="仿宋"/>
                <w:b/>
                <w:bCs/>
                <w:color w:val="auto"/>
                <w:kern w:val="0"/>
                <w:sz w:val="24"/>
                <w:szCs w:val="24"/>
                <w:lang w:val="en-US" w:eastAsia="zh-CN"/>
              </w:rPr>
              <w:t>15</w:t>
            </w:r>
            <w:r>
              <w:rPr>
                <w:rFonts w:hint="eastAsia" w:ascii="仿宋" w:hAnsi="仿宋" w:eastAsia="仿宋" w:cs="仿宋"/>
                <w:b/>
                <w:bCs/>
                <w:color w:val="auto"/>
                <w:kern w:val="0"/>
                <w:sz w:val="24"/>
                <w:szCs w:val="24"/>
              </w:rPr>
              <w:t>分）</w:t>
            </w:r>
          </w:p>
          <w:p w14:paraId="453517DF">
            <w:pPr>
              <w:keepNext w:val="0"/>
              <w:keepLines w:val="0"/>
              <w:pageBreakBefore w:val="0"/>
              <w:widowControl/>
              <w:kinsoku/>
              <w:wordWrap/>
              <w:overflowPunct/>
              <w:topLinePunct w:val="0"/>
              <w:bidi w:val="0"/>
              <w:adjustRightInd/>
              <w:snapToGrid/>
              <w:spacing w:line="360" w:lineRule="exact"/>
              <w:textAlignment w:val="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①保洁工作计划：每完全满足一个评审标准得1分，满分3分</w:t>
            </w:r>
            <w:bookmarkStart w:id="822" w:name="_GoBack"/>
            <w:bookmarkEnd w:id="822"/>
            <w:r>
              <w:rPr>
                <w:rFonts w:hint="eastAsia" w:ascii="仿宋" w:hAnsi="仿宋" w:eastAsia="仿宋" w:cs="仿宋"/>
                <w:color w:val="auto"/>
                <w:kern w:val="0"/>
                <w:sz w:val="24"/>
                <w:szCs w:val="24"/>
              </w:rPr>
              <w:t>；</w:t>
            </w:r>
          </w:p>
          <w:p w14:paraId="793B697D">
            <w:pPr>
              <w:keepNext w:val="0"/>
              <w:keepLines w:val="0"/>
              <w:pageBreakBefore w:val="0"/>
              <w:widowControl/>
              <w:kinsoku/>
              <w:wordWrap/>
              <w:overflowPunct/>
              <w:topLinePunct w:val="0"/>
              <w:bidi w:val="0"/>
              <w:adjustRightInd/>
              <w:snapToGrid/>
              <w:spacing w:line="360" w:lineRule="exact"/>
              <w:textAlignment w:val="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②保洁规范流程：每完全满足一个评审标准得1分，满分3分；</w:t>
            </w:r>
          </w:p>
          <w:p w14:paraId="09E5210C">
            <w:pPr>
              <w:keepNext w:val="0"/>
              <w:keepLines w:val="0"/>
              <w:pageBreakBefore w:val="0"/>
              <w:widowControl/>
              <w:kinsoku/>
              <w:wordWrap/>
              <w:overflowPunct/>
              <w:topLinePunct w:val="0"/>
              <w:bidi w:val="0"/>
              <w:adjustRightInd/>
              <w:snapToGrid/>
              <w:spacing w:line="360" w:lineRule="exact"/>
              <w:textAlignment w:val="auto"/>
              <w:rPr>
                <w:rFonts w:hint="eastAsia" w:ascii="仿宋" w:hAnsi="仿宋" w:eastAsia="仿宋" w:cs="仿宋"/>
                <w:color w:val="auto"/>
                <w:kern w:val="0"/>
                <w:sz w:val="24"/>
                <w:szCs w:val="24"/>
                <w:lang w:eastAsia="zh-CN"/>
              </w:rPr>
            </w:pPr>
            <w:r>
              <w:rPr>
                <w:rFonts w:hint="eastAsia" w:ascii="仿宋" w:hAnsi="仿宋" w:eastAsia="仿宋" w:cs="仿宋"/>
                <w:color w:val="auto"/>
                <w:kern w:val="0"/>
                <w:sz w:val="24"/>
                <w:szCs w:val="24"/>
              </w:rPr>
              <w:t>③保洁工作标准：每完全满足一个评审标准得1分，满分3分</w:t>
            </w:r>
            <w:r>
              <w:rPr>
                <w:rFonts w:hint="eastAsia" w:ascii="仿宋" w:hAnsi="仿宋" w:eastAsia="仿宋" w:cs="仿宋"/>
                <w:color w:val="auto"/>
                <w:kern w:val="0"/>
                <w:sz w:val="24"/>
                <w:szCs w:val="24"/>
                <w:lang w:val="en-US" w:eastAsia="zh-CN"/>
              </w:rPr>
              <w:t>；</w:t>
            </w:r>
          </w:p>
          <w:p w14:paraId="44EE01B8">
            <w:pPr>
              <w:keepNext w:val="0"/>
              <w:keepLines w:val="0"/>
              <w:pageBreakBefore w:val="0"/>
              <w:widowControl/>
              <w:kinsoku/>
              <w:wordWrap/>
              <w:overflowPunct/>
              <w:topLinePunct w:val="0"/>
              <w:bidi w:val="0"/>
              <w:adjustRightInd/>
              <w:snapToGrid/>
              <w:spacing w:line="360" w:lineRule="exact"/>
              <w:textAlignment w:val="auto"/>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rPr>
              <w:t>④垃圾清运</w:t>
            </w:r>
            <w:r>
              <w:rPr>
                <w:rFonts w:hint="eastAsia" w:ascii="仿宋" w:hAnsi="仿宋" w:eastAsia="仿宋" w:cs="仿宋"/>
                <w:color w:val="auto"/>
                <w:kern w:val="0"/>
                <w:sz w:val="24"/>
                <w:szCs w:val="24"/>
                <w:lang w:eastAsia="zh-CN"/>
              </w:rPr>
              <w:t>：</w:t>
            </w:r>
            <w:r>
              <w:rPr>
                <w:rFonts w:hint="eastAsia" w:ascii="仿宋" w:hAnsi="仿宋" w:eastAsia="仿宋" w:cs="仿宋"/>
                <w:color w:val="auto"/>
                <w:kern w:val="0"/>
                <w:sz w:val="24"/>
                <w:szCs w:val="24"/>
              </w:rPr>
              <w:t>每完全满足一个评审标准得1分，满分3分</w:t>
            </w:r>
            <w:r>
              <w:rPr>
                <w:rFonts w:hint="eastAsia" w:ascii="仿宋" w:hAnsi="仿宋" w:eastAsia="仿宋" w:cs="仿宋"/>
                <w:color w:val="auto"/>
                <w:kern w:val="0"/>
                <w:sz w:val="24"/>
                <w:szCs w:val="24"/>
                <w:lang w:val="en-US" w:eastAsia="zh-CN"/>
              </w:rPr>
              <w:t>；</w:t>
            </w:r>
          </w:p>
          <w:p w14:paraId="091E5E0A">
            <w:pPr>
              <w:keepNext w:val="0"/>
              <w:keepLines w:val="0"/>
              <w:pageBreakBefore w:val="0"/>
              <w:widowControl/>
              <w:kinsoku/>
              <w:wordWrap/>
              <w:overflowPunct/>
              <w:topLinePunct w:val="0"/>
              <w:bidi w:val="0"/>
              <w:adjustRightInd/>
              <w:snapToGrid/>
              <w:spacing w:line="360" w:lineRule="exac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rPr>
              <w:t>⑤</w:t>
            </w:r>
            <w:r>
              <w:rPr>
                <w:rFonts w:hint="eastAsia" w:ascii="仿宋" w:hAnsi="仿宋" w:eastAsia="仿宋" w:cs="仿宋"/>
                <w:color w:val="auto"/>
                <w:kern w:val="0"/>
                <w:sz w:val="24"/>
                <w:szCs w:val="24"/>
                <w:lang w:eastAsia="zh-CN"/>
              </w:rPr>
              <w:t>服务质量考核：</w:t>
            </w:r>
            <w:r>
              <w:rPr>
                <w:rFonts w:hint="eastAsia" w:ascii="仿宋" w:hAnsi="仿宋" w:eastAsia="仿宋" w:cs="仿宋"/>
                <w:color w:val="auto"/>
                <w:kern w:val="0"/>
                <w:sz w:val="24"/>
                <w:szCs w:val="24"/>
              </w:rPr>
              <w:t>每完全满足一个评审标准得1分，满分3分。</w:t>
            </w:r>
          </w:p>
        </w:tc>
      </w:tr>
      <w:tr w14:paraId="7DC46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2" w:type="dxa"/>
            <w:tcBorders>
              <w:top w:val="single" w:color="auto" w:sz="4" w:space="0"/>
              <w:left w:val="single" w:color="auto" w:sz="4" w:space="0"/>
              <w:bottom w:val="single" w:color="auto" w:sz="4" w:space="0"/>
              <w:right w:val="single" w:color="auto" w:sz="4" w:space="0"/>
            </w:tcBorders>
            <w:noWrap w:val="0"/>
            <w:vAlign w:val="center"/>
          </w:tcPr>
          <w:p w14:paraId="7B5DC21B">
            <w:pPr>
              <w:spacing w:line="3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管理制度</w:t>
            </w:r>
          </w:p>
        </w:tc>
        <w:tc>
          <w:tcPr>
            <w:tcW w:w="765" w:type="dxa"/>
            <w:tcBorders>
              <w:top w:val="single" w:color="auto" w:sz="4" w:space="0"/>
              <w:left w:val="single" w:color="auto" w:sz="4" w:space="0"/>
              <w:bottom w:val="single" w:color="auto" w:sz="4" w:space="0"/>
              <w:right w:val="single" w:color="auto" w:sz="4" w:space="0"/>
            </w:tcBorders>
            <w:noWrap w:val="0"/>
            <w:vAlign w:val="center"/>
          </w:tcPr>
          <w:p w14:paraId="2580D04C">
            <w:pPr>
              <w:spacing w:line="3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9</w:t>
            </w:r>
          </w:p>
        </w:tc>
        <w:tc>
          <w:tcPr>
            <w:tcW w:w="7562" w:type="dxa"/>
            <w:tcBorders>
              <w:top w:val="single" w:color="auto" w:sz="4" w:space="0"/>
              <w:left w:val="single" w:color="auto" w:sz="4" w:space="0"/>
              <w:bottom w:val="single" w:color="auto" w:sz="4" w:space="0"/>
              <w:right w:val="single" w:color="auto" w:sz="4" w:space="0"/>
            </w:tcBorders>
            <w:noWrap w:val="0"/>
            <w:vAlign w:val="top"/>
          </w:tcPr>
          <w:p w14:paraId="5870E828">
            <w:pPr>
              <w:keepNext w:val="0"/>
              <w:keepLines w:val="0"/>
              <w:pageBreakBefore w:val="0"/>
              <w:widowControl/>
              <w:kinsoku/>
              <w:wordWrap/>
              <w:overflowPunct/>
              <w:topLinePunct w:val="0"/>
              <w:bidi w:val="0"/>
              <w:adjustRightInd/>
              <w:snapToGrid/>
              <w:spacing w:line="360" w:lineRule="exact"/>
              <w:jc w:val="left"/>
              <w:textAlignment w:val="auto"/>
              <w:rPr>
                <w:rFonts w:hint="eastAsia" w:ascii="仿宋" w:hAnsi="仿宋" w:eastAsia="仿宋" w:cs="仿宋"/>
                <w:color w:val="auto"/>
                <w:sz w:val="24"/>
                <w:szCs w:val="24"/>
              </w:rPr>
            </w:pPr>
            <w:r>
              <w:rPr>
                <w:rFonts w:hint="eastAsia" w:ascii="仿宋" w:hAnsi="仿宋" w:eastAsia="仿宋" w:cs="仿宋"/>
                <w:b/>
                <w:color w:val="auto"/>
                <w:sz w:val="24"/>
                <w:szCs w:val="24"/>
              </w:rPr>
              <w:t>一、评审内容</w:t>
            </w:r>
          </w:p>
          <w:p w14:paraId="1E30C481">
            <w:pPr>
              <w:keepNext w:val="0"/>
              <w:keepLines w:val="0"/>
              <w:pageBreakBefore w:val="0"/>
              <w:widowControl/>
              <w:kinsoku/>
              <w:wordWrap/>
              <w:overflowPunct/>
              <w:topLinePunct w:val="0"/>
              <w:bidi w:val="0"/>
              <w:adjustRightInd/>
              <w:snapToGrid/>
              <w:spacing w:line="360" w:lineRule="exact"/>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投标人</w:t>
            </w:r>
            <w:r>
              <w:rPr>
                <w:rFonts w:hint="eastAsia" w:ascii="仿宋" w:hAnsi="仿宋" w:eastAsia="仿宋" w:cs="仿宋"/>
                <w:color w:val="auto"/>
                <w:sz w:val="24"/>
                <w:szCs w:val="24"/>
              </w:rPr>
              <w:t>针对本项目具有良好的管理制度，</w:t>
            </w:r>
            <w:r>
              <w:rPr>
                <w:rFonts w:hint="eastAsia" w:ascii="仿宋" w:hAnsi="仿宋" w:eastAsia="仿宋" w:cs="仿宋"/>
                <w:color w:val="auto"/>
                <w:kern w:val="0"/>
                <w:sz w:val="24"/>
                <w:szCs w:val="24"/>
              </w:rPr>
              <w:t>制度</w:t>
            </w:r>
            <w:r>
              <w:rPr>
                <w:rFonts w:hint="eastAsia" w:ascii="仿宋" w:hAnsi="仿宋" w:eastAsia="仿宋" w:cs="仿宋"/>
                <w:bCs/>
                <w:color w:val="auto"/>
                <w:sz w:val="24"/>
                <w:szCs w:val="24"/>
              </w:rPr>
              <w:t>包含</w:t>
            </w:r>
            <w:r>
              <w:rPr>
                <w:rFonts w:hint="eastAsia" w:ascii="仿宋" w:hAnsi="仿宋" w:eastAsia="仿宋" w:cs="仿宋"/>
                <w:color w:val="auto"/>
                <w:sz w:val="24"/>
                <w:szCs w:val="24"/>
              </w:rPr>
              <w:t>：</w:t>
            </w:r>
            <w:r>
              <w:rPr>
                <w:rFonts w:hint="eastAsia" w:ascii="仿宋" w:hAnsi="仿宋" w:eastAsia="仿宋" w:cs="仿宋"/>
                <w:color w:val="auto"/>
                <w:kern w:val="0"/>
                <w:sz w:val="24"/>
                <w:szCs w:val="24"/>
              </w:rPr>
              <w:t>①公司各项管理制度：具有公司各项管理制度及保洁业务流程②</w:t>
            </w:r>
            <w:r>
              <w:rPr>
                <w:rFonts w:hint="eastAsia" w:ascii="仿宋" w:hAnsi="仿宋" w:eastAsia="仿宋" w:cs="仿宋"/>
                <w:color w:val="auto"/>
                <w:sz w:val="24"/>
                <w:szCs w:val="24"/>
              </w:rPr>
              <w:t>内控制度：具有人事、财务及档案管理制度</w:t>
            </w:r>
            <w:r>
              <w:rPr>
                <w:rFonts w:hint="eastAsia" w:ascii="仿宋" w:hAnsi="仿宋" w:eastAsia="仿宋" w:cs="仿宋"/>
                <w:color w:val="auto"/>
                <w:kern w:val="0"/>
                <w:sz w:val="24"/>
                <w:szCs w:val="24"/>
              </w:rPr>
              <w:t>③</w:t>
            </w:r>
            <w:r>
              <w:rPr>
                <w:rFonts w:hint="eastAsia" w:ascii="仿宋" w:hAnsi="仿宋" w:eastAsia="仿宋" w:cs="仿宋"/>
                <w:color w:val="auto"/>
                <w:sz w:val="24"/>
                <w:szCs w:val="24"/>
              </w:rPr>
              <w:t>人员管理制度：具有员工行为规范、仪容仪表及礼仪标准制度。</w:t>
            </w:r>
          </w:p>
          <w:p w14:paraId="42513017">
            <w:pPr>
              <w:keepNext w:val="0"/>
              <w:keepLines w:val="0"/>
              <w:pageBreakBefore w:val="0"/>
              <w:widowControl/>
              <w:kinsoku/>
              <w:wordWrap/>
              <w:overflowPunct/>
              <w:topLinePunct w:val="0"/>
              <w:bidi w:val="0"/>
              <w:adjustRightInd/>
              <w:snapToGrid/>
              <w:spacing w:line="360" w:lineRule="exact"/>
              <w:jc w:val="left"/>
              <w:textAlignment w:val="auto"/>
              <w:rPr>
                <w:rFonts w:hint="eastAsia" w:ascii="仿宋" w:hAnsi="仿宋" w:eastAsia="仿宋" w:cs="仿宋"/>
                <w:b/>
                <w:bCs/>
                <w:color w:val="auto"/>
                <w:sz w:val="24"/>
                <w:szCs w:val="24"/>
              </w:rPr>
            </w:pPr>
            <w:r>
              <w:rPr>
                <w:rFonts w:hint="eastAsia" w:ascii="仿宋" w:hAnsi="仿宋" w:eastAsia="仿宋" w:cs="仿宋"/>
                <w:b/>
                <w:bCs/>
                <w:color w:val="auto"/>
                <w:sz w:val="24"/>
                <w:szCs w:val="24"/>
              </w:rPr>
              <w:t>二、评审标准</w:t>
            </w:r>
          </w:p>
          <w:p w14:paraId="2D237DD1">
            <w:pPr>
              <w:keepNext w:val="0"/>
              <w:keepLines w:val="0"/>
              <w:pageBreakBefore w:val="0"/>
              <w:widowControl/>
              <w:tabs>
                <w:tab w:val="left" w:pos="547"/>
              </w:tabs>
              <w:kinsoku/>
              <w:wordWrap/>
              <w:overflowPunct/>
              <w:topLinePunct w:val="0"/>
              <w:autoSpaceDE w:val="0"/>
              <w:autoSpaceDN w:val="0"/>
              <w:bidi w:val="0"/>
              <w:adjustRightInd/>
              <w:snapToGrid/>
              <w:spacing w:line="360" w:lineRule="exact"/>
              <w:textAlignment w:val="auto"/>
              <w:rPr>
                <w:rFonts w:hint="eastAsia" w:ascii="仿宋" w:hAnsi="仿宋" w:eastAsia="仿宋" w:cs="仿宋"/>
                <w:bCs/>
                <w:color w:val="auto"/>
                <w:sz w:val="24"/>
                <w:szCs w:val="24"/>
              </w:rPr>
            </w:pPr>
            <w:r>
              <w:rPr>
                <w:rFonts w:hint="eastAsia" w:ascii="仿宋" w:hAnsi="仿宋" w:eastAsia="仿宋" w:cs="仿宋"/>
                <w:bCs/>
                <w:color w:val="auto"/>
                <w:sz w:val="24"/>
                <w:szCs w:val="24"/>
              </w:rPr>
              <w:t>1、完整性：方案必须全面，对评审内容中的各项要求有详细描述；</w:t>
            </w:r>
          </w:p>
          <w:p w14:paraId="02F21DF2">
            <w:pPr>
              <w:keepNext w:val="0"/>
              <w:keepLines w:val="0"/>
              <w:pageBreakBefore w:val="0"/>
              <w:widowControl/>
              <w:tabs>
                <w:tab w:val="left" w:pos="547"/>
              </w:tabs>
              <w:kinsoku/>
              <w:wordWrap/>
              <w:overflowPunct/>
              <w:topLinePunct w:val="0"/>
              <w:autoSpaceDE w:val="0"/>
              <w:autoSpaceDN w:val="0"/>
              <w:bidi w:val="0"/>
              <w:adjustRightInd/>
              <w:snapToGrid/>
              <w:spacing w:line="360" w:lineRule="exact"/>
              <w:textAlignment w:val="auto"/>
              <w:rPr>
                <w:rFonts w:hint="eastAsia" w:ascii="仿宋" w:hAnsi="仿宋" w:eastAsia="仿宋" w:cs="仿宋"/>
                <w:bCs/>
                <w:color w:val="auto"/>
                <w:sz w:val="24"/>
                <w:szCs w:val="24"/>
              </w:rPr>
            </w:pPr>
            <w:r>
              <w:rPr>
                <w:rFonts w:hint="eastAsia" w:ascii="仿宋" w:hAnsi="仿宋" w:eastAsia="仿宋" w:cs="仿宋"/>
                <w:bCs/>
                <w:color w:val="auto"/>
                <w:sz w:val="24"/>
                <w:szCs w:val="24"/>
              </w:rPr>
              <w:t>2、落实性：切合项目具体情况，提出责任明确、要求具体的方案；</w:t>
            </w:r>
          </w:p>
          <w:p w14:paraId="2F2E5691">
            <w:pPr>
              <w:keepNext w:val="0"/>
              <w:keepLines w:val="0"/>
              <w:pageBreakBefore w:val="0"/>
              <w:widowControl/>
              <w:tabs>
                <w:tab w:val="left" w:pos="547"/>
              </w:tabs>
              <w:kinsoku/>
              <w:wordWrap/>
              <w:overflowPunct/>
              <w:topLinePunct w:val="0"/>
              <w:autoSpaceDE w:val="0"/>
              <w:autoSpaceDN w:val="0"/>
              <w:bidi w:val="0"/>
              <w:adjustRightInd/>
              <w:snapToGrid/>
              <w:spacing w:line="360" w:lineRule="exact"/>
              <w:textAlignment w:val="auto"/>
              <w:rPr>
                <w:rFonts w:hint="eastAsia" w:ascii="仿宋" w:hAnsi="仿宋" w:eastAsia="仿宋" w:cs="仿宋"/>
                <w:bCs/>
                <w:color w:val="auto"/>
                <w:sz w:val="24"/>
                <w:szCs w:val="24"/>
              </w:rPr>
            </w:pPr>
            <w:r>
              <w:rPr>
                <w:rFonts w:hint="eastAsia" w:ascii="仿宋" w:hAnsi="仿宋" w:eastAsia="仿宋" w:cs="仿宋"/>
                <w:bCs/>
                <w:color w:val="auto"/>
                <w:sz w:val="24"/>
                <w:szCs w:val="24"/>
              </w:rPr>
              <w:t>3、针对性：方案能够紧扣项目实际情况，内容科学合理。</w:t>
            </w:r>
          </w:p>
          <w:p w14:paraId="2264CB3B">
            <w:pPr>
              <w:keepNext w:val="0"/>
              <w:keepLines w:val="0"/>
              <w:pageBreakBefore w:val="0"/>
              <w:widowControl/>
              <w:kinsoku/>
              <w:wordWrap/>
              <w:overflowPunct/>
              <w:topLinePunct w:val="0"/>
              <w:bidi w:val="0"/>
              <w:adjustRightInd/>
              <w:snapToGrid/>
              <w:spacing w:line="360" w:lineRule="exact"/>
              <w:textAlignment w:val="auto"/>
              <w:rPr>
                <w:rFonts w:hint="eastAsia" w:ascii="仿宋" w:hAnsi="仿宋" w:eastAsia="仿宋" w:cs="仿宋"/>
                <w:b/>
                <w:bCs/>
                <w:color w:val="auto"/>
                <w:sz w:val="24"/>
                <w:szCs w:val="24"/>
              </w:rPr>
            </w:pPr>
            <w:r>
              <w:rPr>
                <w:rFonts w:hint="eastAsia" w:ascii="仿宋" w:hAnsi="仿宋" w:eastAsia="仿宋" w:cs="仿宋"/>
                <w:b/>
                <w:bCs/>
                <w:color w:val="auto"/>
                <w:sz w:val="24"/>
                <w:szCs w:val="24"/>
              </w:rPr>
              <w:t>三、赋分标准</w:t>
            </w:r>
            <w:r>
              <w:rPr>
                <w:rFonts w:hint="eastAsia" w:ascii="仿宋" w:hAnsi="仿宋" w:eastAsia="仿宋" w:cs="仿宋"/>
                <w:b/>
                <w:bCs/>
                <w:color w:val="auto"/>
                <w:kern w:val="0"/>
                <w:sz w:val="24"/>
                <w:szCs w:val="24"/>
              </w:rPr>
              <w:t>（满分9分）</w:t>
            </w:r>
          </w:p>
          <w:p w14:paraId="449AB0D7">
            <w:pPr>
              <w:keepNext w:val="0"/>
              <w:keepLines w:val="0"/>
              <w:pageBreakBefore w:val="0"/>
              <w:widowControl/>
              <w:kinsoku/>
              <w:wordWrap/>
              <w:overflowPunct/>
              <w:topLinePunct w:val="0"/>
              <w:bidi w:val="0"/>
              <w:adjustRightInd/>
              <w:snapToGrid/>
              <w:spacing w:line="360" w:lineRule="exac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①</w:t>
            </w:r>
            <w:r>
              <w:rPr>
                <w:rFonts w:hint="eastAsia" w:ascii="仿宋" w:hAnsi="仿宋" w:eastAsia="仿宋" w:cs="仿宋"/>
                <w:color w:val="auto"/>
                <w:kern w:val="0"/>
                <w:sz w:val="24"/>
                <w:szCs w:val="24"/>
              </w:rPr>
              <w:t>公司各项管理制度</w:t>
            </w:r>
            <w:r>
              <w:rPr>
                <w:rFonts w:hint="eastAsia" w:ascii="仿宋" w:hAnsi="仿宋" w:eastAsia="仿宋" w:cs="仿宋"/>
                <w:color w:val="auto"/>
                <w:sz w:val="24"/>
                <w:szCs w:val="24"/>
              </w:rPr>
              <w:t>：每完全满足一个评审标准得1分，满分3分；</w:t>
            </w:r>
          </w:p>
          <w:p w14:paraId="32B8AE0A">
            <w:pPr>
              <w:keepNext w:val="0"/>
              <w:keepLines w:val="0"/>
              <w:pageBreakBefore w:val="0"/>
              <w:tabs>
                <w:tab w:val="left" w:pos="547"/>
              </w:tabs>
              <w:kinsoku/>
              <w:wordWrap/>
              <w:overflowPunct/>
              <w:topLinePunct w:val="0"/>
              <w:autoSpaceDE w:val="0"/>
              <w:autoSpaceDN w:val="0"/>
              <w:bidi w:val="0"/>
              <w:adjustRightInd/>
              <w:snapToGrid/>
              <w:spacing w:line="360" w:lineRule="exac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②内控制度：每完全满足一个评审标准得1分，满分3分；</w:t>
            </w:r>
          </w:p>
          <w:p w14:paraId="24F7E46B">
            <w:pPr>
              <w:keepNext w:val="0"/>
              <w:keepLines w:val="0"/>
              <w:pageBreakBefore w:val="0"/>
              <w:tabs>
                <w:tab w:val="left" w:pos="547"/>
              </w:tabs>
              <w:kinsoku/>
              <w:wordWrap/>
              <w:overflowPunct/>
              <w:topLinePunct w:val="0"/>
              <w:autoSpaceDE w:val="0"/>
              <w:autoSpaceDN w:val="0"/>
              <w:bidi w:val="0"/>
              <w:adjustRightInd/>
              <w:snapToGrid/>
              <w:spacing w:line="360" w:lineRule="exac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③人员管理制度：每完全满足一个评审标准得1分，满分3分。</w:t>
            </w:r>
          </w:p>
        </w:tc>
      </w:tr>
      <w:tr w14:paraId="142D2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2" w:type="dxa"/>
            <w:tcBorders>
              <w:top w:val="single" w:color="auto" w:sz="4" w:space="0"/>
              <w:left w:val="single" w:color="auto" w:sz="4" w:space="0"/>
              <w:bottom w:val="single" w:color="auto" w:sz="4" w:space="0"/>
              <w:right w:val="single" w:color="auto" w:sz="4" w:space="0"/>
            </w:tcBorders>
            <w:noWrap w:val="0"/>
            <w:vAlign w:val="center"/>
          </w:tcPr>
          <w:p w14:paraId="07B465FE">
            <w:pPr>
              <w:spacing w:line="3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保障措施</w:t>
            </w:r>
          </w:p>
        </w:tc>
        <w:tc>
          <w:tcPr>
            <w:tcW w:w="765" w:type="dxa"/>
            <w:tcBorders>
              <w:top w:val="single" w:color="auto" w:sz="4" w:space="0"/>
              <w:left w:val="single" w:color="auto" w:sz="4" w:space="0"/>
              <w:bottom w:val="single" w:color="auto" w:sz="4" w:space="0"/>
              <w:right w:val="single" w:color="auto" w:sz="4" w:space="0"/>
            </w:tcBorders>
            <w:noWrap w:val="0"/>
            <w:vAlign w:val="center"/>
          </w:tcPr>
          <w:p w14:paraId="1BEB85FA">
            <w:pPr>
              <w:spacing w:line="300" w:lineRule="exact"/>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4</w:t>
            </w:r>
          </w:p>
        </w:tc>
        <w:tc>
          <w:tcPr>
            <w:tcW w:w="7562" w:type="dxa"/>
            <w:tcBorders>
              <w:top w:val="single" w:color="auto" w:sz="4" w:space="0"/>
              <w:left w:val="single" w:color="auto" w:sz="4" w:space="0"/>
              <w:bottom w:val="single" w:color="auto" w:sz="4" w:space="0"/>
              <w:right w:val="single" w:color="auto" w:sz="4" w:space="0"/>
            </w:tcBorders>
            <w:noWrap w:val="0"/>
            <w:vAlign w:val="top"/>
          </w:tcPr>
          <w:p w14:paraId="31D71B06">
            <w:pPr>
              <w:keepNext w:val="0"/>
              <w:keepLines w:val="0"/>
              <w:pageBreakBefore w:val="0"/>
              <w:widowControl/>
              <w:kinsoku/>
              <w:wordWrap/>
              <w:overflowPunct/>
              <w:topLinePunct w:val="0"/>
              <w:bidi w:val="0"/>
              <w:adjustRightInd/>
              <w:snapToGrid/>
              <w:spacing w:line="360" w:lineRule="exact"/>
              <w:textAlignment w:val="auto"/>
              <w:rPr>
                <w:rFonts w:hint="eastAsia" w:ascii="仿宋" w:hAnsi="仿宋" w:eastAsia="仿宋" w:cs="仿宋"/>
                <w:b/>
                <w:bCs/>
                <w:color w:val="auto"/>
                <w:sz w:val="24"/>
                <w:szCs w:val="24"/>
              </w:rPr>
            </w:pPr>
            <w:r>
              <w:rPr>
                <w:rFonts w:hint="eastAsia" w:ascii="仿宋" w:hAnsi="仿宋" w:eastAsia="仿宋" w:cs="仿宋"/>
                <w:b/>
                <w:bCs/>
                <w:color w:val="auto"/>
                <w:sz w:val="24"/>
                <w:szCs w:val="24"/>
              </w:rPr>
              <w:t>一、评审内容</w:t>
            </w:r>
          </w:p>
          <w:p w14:paraId="13E67D69">
            <w:pPr>
              <w:keepNext w:val="0"/>
              <w:keepLines w:val="0"/>
              <w:pageBreakBefore w:val="0"/>
              <w:widowControl/>
              <w:kinsoku/>
              <w:wordWrap/>
              <w:overflowPunct/>
              <w:topLinePunct w:val="0"/>
              <w:bidi w:val="0"/>
              <w:adjustRightInd/>
              <w:snapToGrid/>
              <w:spacing w:line="360" w:lineRule="exac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根据本项目特点制定保障措施，</w:t>
            </w:r>
            <w:r>
              <w:rPr>
                <w:rFonts w:hint="eastAsia" w:ascii="仿宋" w:hAnsi="仿宋" w:eastAsia="仿宋" w:cs="仿宋"/>
                <w:bCs/>
                <w:color w:val="auto"/>
                <w:sz w:val="24"/>
                <w:szCs w:val="24"/>
              </w:rPr>
              <w:t>措施</w:t>
            </w:r>
            <w:r>
              <w:rPr>
                <w:rFonts w:hint="eastAsia" w:ascii="仿宋" w:hAnsi="仿宋" w:eastAsia="仿宋" w:cs="仿宋"/>
                <w:color w:val="auto"/>
                <w:sz w:val="24"/>
                <w:szCs w:val="24"/>
              </w:rPr>
              <w:t>包括：①对服务质量有具体的</w:t>
            </w:r>
            <w:r>
              <w:rPr>
                <w:rFonts w:hint="eastAsia" w:ascii="仿宋" w:hAnsi="仿宋" w:eastAsia="仿宋" w:cs="仿宋"/>
                <w:color w:val="auto"/>
                <w:sz w:val="24"/>
                <w:szCs w:val="24"/>
                <w:lang w:eastAsia="zh-CN"/>
              </w:rPr>
              <w:t>保障措施</w:t>
            </w:r>
            <w:r>
              <w:rPr>
                <w:rFonts w:hint="eastAsia" w:ascii="仿宋" w:hAnsi="仿宋" w:eastAsia="仿宋" w:cs="仿宋"/>
                <w:color w:val="auto"/>
                <w:sz w:val="24"/>
                <w:szCs w:val="24"/>
              </w:rPr>
              <w:t>②</w:t>
            </w:r>
            <w:r>
              <w:rPr>
                <w:rFonts w:hint="eastAsia" w:ascii="仿宋" w:hAnsi="仿宋" w:eastAsia="仿宋" w:cs="仿宋"/>
                <w:color w:val="auto"/>
                <w:sz w:val="24"/>
                <w:szCs w:val="24"/>
                <w:lang w:eastAsia="zh-CN"/>
              </w:rPr>
              <w:t>对</w:t>
            </w:r>
            <w:r>
              <w:rPr>
                <w:rFonts w:hint="eastAsia" w:ascii="仿宋" w:hAnsi="仿宋" w:eastAsia="仿宋" w:cs="仿宋"/>
                <w:color w:val="auto"/>
                <w:sz w:val="24"/>
                <w:szCs w:val="24"/>
              </w:rPr>
              <w:t>安全文明作业保障措施。</w:t>
            </w:r>
          </w:p>
          <w:p w14:paraId="48ACEC9C">
            <w:pPr>
              <w:keepNext w:val="0"/>
              <w:keepLines w:val="0"/>
              <w:pageBreakBefore w:val="0"/>
              <w:kinsoku/>
              <w:wordWrap/>
              <w:overflowPunct/>
              <w:topLinePunct w:val="0"/>
              <w:bidi w:val="0"/>
              <w:adjustRightInd/>
              <w:snapToGrid/>
              <w:spacing w:line="360" w:lineRule="exact"/>
              <w:textAlignment w:val="auto"/>
              <w:rPr>
                <w:rFonts w:hint="eastAsia" w:ascii="仿宋" w:hAnsi="仿宋" w:eastAsia="仿宋" w:cs="仿宋"/>
                <w:b/>
                <w:bCs/>
                <w:color w:val="auto"/>
                <w:kern w:val="0"/>
                <w:sz w:val="24"/>
                <w:szCs w:val="24"/>
              </w:rPr>
            </w:pPr>
            <w:r>
              <w:rPr>
                <w:rFonts w:hint="eastAsia" w:ascii="仿宋" w:hAnsi="仿宋" w:eastAsia="仿宋" w:cs="仿宋"/>
                <w:b/>
                <w:bCs/>
                <w:color w:val="auto"/>
                <w:kern w:val="0"/>
                <w:sz w:val="24"/>
                <w:szCs w:val="24"/>
              </w:rPr>
              <w:t>二、评审标准</w:t>
            </w:r>
          </w:p>
          <w:p w14:paraId="56CFA39F">
            <w:pPr>
              <w:keepNext w:val="0"/>
              <w:keepLines w:val="0"/>
              <w:pageBreakBefore w:val="0"/>
              <w:widowControl/>
              <w:kinsoku/>
              <w:wordWrap/>
              <w:overflowPunct/>
              <w:topLinePunct w:val="0"/>
              <w:bidi w:val="0"/>
              <w:adjustRightInd/>
              <w:snapToGrid/>
              <w:spacing w:line="360" w:lineRule="exact"/>
              <w:textAlignment w:val="auto"/>
              <w:rPr>
                <w:rFonts w:hint="eastAsia" w:ascii="仿宋" w:hAnsi="仿宋" w:eastAsia="仿宋" w:cs="仿宋"/>
                <w:bCs/>
                <w:color w:val="auto"/>
                <w:sz w:val="24"/>
                <w:szCs w:val="24"/>
              </w:rPr>
            </w:pPr>
            <w:r>
              <w:rPr>
                <w:rFonts w:hint="eastAsia" w:ascii="仿宋" w:hAnsi="仿宋" w:eastAsia="仿宋" w:cs="仿宋"/>
                <w:bCs/>
                <w:color w:val="auto"/>
                <w:sz w:val="24"/>
                <w:szCs w:val="24"/>
              </w:rPr>
              <w:t>1、完整性：方案必须全面，对评审内容中的各项要求有详细描述；</w:t>
            </w:r>
          </w:p>
          <w:p w14:paraId="37582BF8">
            <w:pPr>
              <w:keepNext w:val="0"/>
              <w:keepLines w:val="0"/>
              <w:pageBreakBefore w:val="0"/>
              <w:widowControl/>
              <w:kinsoku/>
              <w:wordWrap/>
              <w:overflowPunct/>
              <w:topLinePunct w:val="0"/>
              <w:bidi w:val="0"/>
              <w:adjustRightInd/>
              <w:snapToGrid/>
              <w:spacing w:line="360" w:lineRule="exact"/>
              <w:textAlignment w:val="auto"/>
              <w:rPr>
                <w:rFonts w:hint="eastAsia" w:ascii="仿宋" w:hAnsi="仿宋" w:eastAsia="仿宋" w:cs="仿宋"/>
                <w:bCs/>
                <w:color w:val="auto"/>
                <w:sz w:val="24"/>
                <w:szCs w:val="24"/>
              </w:rPr>
            </w:pPr>
            <w:r>
              <w:rPr>
                <w:rFonts w:hint="eastAsia" w:ascii="仿宋" w:hAnsi="仿宋" w:eastAsia="仿宋" w:cs="仿宋"/>
                <w:color w:val="auto"/>
                <w:sz w:val="24"/>
                <w:szCs w:val="24"/>
              </w:rPr>
              <w:t>2、落实性：切合本项目实际情况，</w:t>
            </w:r>
            <w:r>
              <w:rPr>
                <w:rFonts w:hint="eastAsia" w:ascii="仿宋" w:hAnsi="仿宋" w:eastAsia="仿宋" w:cs="仿宋"/>
                <w:bCs/>
                <w:color w:val="auto"/>
                <w:sz w:val="24"/>
                <w:szCs w:val="24"/>
              </w:rPr>
              <w:t>提出责任明确、要求具体的方案。</w:t>
            </w:r>
          </w:p>
          <w:p w14:paraId="467B8991">
            <w:pPr>
              <w:keepNext w:val="0"/>
              <w:keepLines w:val="0"/>
              <w:pageBreakBefore w:val="0"/>
              <w:widowControl/>
              <w:kinsoku/>
              <w:wordWrap/>
              <w:overflowPunct/>
              <w:topLinePunct w:val="0"/>
              <w:bidi w:val="0"/>
              <w:adjustRightInd/>
              <w:snapToGrid/>
              <w:spacing w:line="360" w:lineRule="exact"/>
              <w:textAlignment w:val="auto"/>
              <w:rPr>
                <w:rFonts w:hint="eastAsia" w:ascii="仿宋" w:hAnsi="仿宋" w:eastAsia="仿宋" w:cs="仿宋"/>
                <w:b/>
                <w:bCs/>
                <w:color w:val="auto"/>
                <w:sz w:val="24"/>
                <w:szCs w:val="24"/>
              </w:rPr>
            </w:pPr>
            <w:r>
              <w:rPr>
                <w:rFonts w:hint="eastAsia" w:ascii="仿宋" w:hAnsi="仿宋" w:eastAsia="仿宋" w:cs="仿宋"/>
                <w:b/>
                <w:bCs/>
                <w:color w:val="auto"/>
                <w:sz w:val="24"/>
                <w:szCs w:val="24"/>
              </w:rPr>
              <w:t>三、赋分标准(满分</w:t>
            </w:r>
            <w:r>
              <w:rPr>
                <w:rFonts w:hint="eastAsia" w:ascii="仿宋" w:hAnsi="仿宋" w:eastAsia="仿宋" w:cs="仿宋"/>
                <w:b/>
                <w:bCs/>
                <w:color w:val="auto"/>
                <w:sz w:val="24"/>
                <w:szCs w:val="24"/>
                <w:lang w:val="en-US" w:eastAsia="zh-CN"/>
              </w:rPr>
              <w:t>4</w:t>
            </w:r>
            <w:r>
              <w:rPr>
                <w:rFonts w:hint="eastAsia" w:ascii="仿宋" w:hAnsi="仿宋" w:eastAsia="仿宋" w:cs="仿宋"/>
                <w:b/>
                <w:bCs/>
                <w:color w:val="auto"/>
                <w:sz w:val="24"/>
                <w:szCs w:val="24"/>
              </w:rPr>
              <w:t>分）</w:t>
            </w:r>
          </w:p>
          <w:p w14:paraId="6FAF0770">
            <w:pPr>
              <w:keepNext w:val="0"/>
              <w:keepLines w:val="0"/>
              <w:pageBreakBefore w:val="0"/>
              <w:widowControl/>
              <w:kinsoku/>
              <w:wordWrap/>
              <w:overflowPunct/>
              <w:topLinePunct w:val="0"/>
              <w:bidi w:val="0"/>
              <w:adjustRightInd/>
              <w:snapToGrid/>
              <w:spacing w:line="36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rPr>
              <w:t>①对服务质量有具体的</w:t>
            </w:r>
            <w:r>
              <w:rPr>
                <w:rFonts w:hint="eastAsia" w:ascii="仿宋" w:hAnsi="仿宋" w:eastAsia="仿宋" w:cs="仿宋"/>
                <w:color w:val="auto"/>
                <w:sz w:val="24"/>
                <w:szCs w:val="24"/>
                <w:lang w:eastAsia="zh-CN"/>
              </w:rPr>
              <w:t>保障措施</w:t>
            </w:r>
            <w:r>
              <w:rPr>
                <w:rFonts w:hint="eastAsia" w:ascii="仿宋" w:hAnsi="仿宋" w:eastAsia="仿宋" w:cs="仿宋"/>
                <w:color w:val="auto"/>
                <w:sz w:val="24"/>
                <w:szCs w:val="24"/>
                <w:highlight w:val="none"/>
              </w:rPr>
              <w:t>：每完全满足一个评审标准得</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分，满分</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w:t>
            </w:r>
          </w:p>
          <w:p w14:paraId="18525D76">
            <w:pPr>
              <w:keepNext w:val="0"/>
              <w:keepLines w:val="0"/>
              <w:pageBreakBefore w:val="0"/>
              <w:widowControl/>
              <w:kinsoku/>
              <w:wordWrap/>
              <w:overflowPunct/>
              <w:topLinePunct w:val="0"/>
              <w:bidi w:val="0"/>
              <w:adjustRightInd/>
              <w:snapToGrid/>
              <w:spacing w:line="360" w:lineRule="exact"/>
              <w:textAlignment w:val="auto"/>
              <w:rPr>
                <w:rFonts w:hint="eastAsia" w:ascii="仿宋" w:hAnsi="仿宋" w:eastAsia="仿宋" w:cs="仿宋"/>
                <w:color w:val="auto"/>
                <w:sz w:val="24"/>
                <w:szCs w:val="24"/>
              </w:rPr>
            </w:pPr>
            <w:r>
              <w:rPr>
                <w:rFonts w:hint="eastAsia" w:ascii="仿宋" w:hAnsi="仿宋" w:eastAsia="仿宋" w:cs="仿宋"/>
                <w:color w:val="auto"/>
                <w:sz w:val="24"/>
                <w:szCs w:val="24"/>
                <w:highlight w:val="none"/>
              </w:rPr>
              <w:t>②</w:t>
            </w:r>
            <w:r>
              <w:rPr>
                <w:rFonts w:hint="eastAsia" w:ascii="仿宋" w:hAnsi="仿宋" w:eastAsia="仿宋" w:cs="仿宋"/>
                <w:color w:val="auto"/>
                <w:sz w:val="24"/>
                <w:szCs w:val="24"/>
                <w:lang w:eastAsia="zh-CN"/>
              </w:rPr>
              <w:t>对</w:t>
            </w:r>
            <w:r>
              <w:rPr>
                <w:rFonts w:hint="eastAsia" w:ascii="仿宋" w:hAnsi="仿宋" w:eastAsia="仿宋" w:cs="仿宋"/>
                <w:color w:val="auto"/>
                <w:sz w:val="24"/>
                <w:szCs w:val="24"/>
              </w:rPr>
              <w:t>安全文明作业保障措施</w:t>
            </w:r>
            <w:r>
              <w:rPr>
                <w:rFonts w:hint="eastAsia" w:ascii="仿宋" w:hAnsi="仿宋" w:eastAsia="仿宋" w:cs="仿宋"/>
                <w:color w:val="auto"/>
                <w:sz w:val="24"/>
                <w:szCs w:val="24"/>
                <w:highlight w:val="none"/>
              </w:rPr>
              <w:t>:每完全满足一个评审标准得</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分，满分</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w:t>
            </w:r>
          </w:p>
        </w:tc>
      </w:tr>
      <w:tr w14:paraId="5AE1F5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2" w:type="dxa"/>
            <w:tcBorders>
              <w:top w:val="single" w:color="auto" w:sz="4" w:space="0"/>
              <w:left w:val="single" w:color="auto" w:sz="4" w:space="0"/>
              <w:bottom w:val="single" w:color="auto" w:sz="4" w:space="0"/>
              <w:right w:val="single" w:color="auto" w:sz="4" w:space="0"/>
            </w:tcBorders>
            <w:noWrap w:val="0"/>
            <w:vAlign w:val="center"/>
          </w:tcPr>
          <w:p w14:paraId="3107A964">
            <w:pPr>
              <w:spacing w:line="3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反馈机制</w:t>
            </w:r>
          </w:p>
        </w:tc>
        <w:tc>
          <w:tcPr>
            <w:tcW w:w="765" w:type="dxa"/>
            <w:tcBorders>
              <w:top w:val="single" w:color="auto" w:sz="4" w:space="0"/>
              <w:left w:val="single" w:color="auto" w:sz="4" w:space="0"/>
              <w:bottom w:val="single" w:color="auto" w:sz="4" w:space="0"/>
              <w:right w:val="single" w:color="auto" w:sz="4" w:space="0"/>
            </w:tcBorders>
            <w:noWrap w:val="0"/>
            <w:vAlign w:val="center"/>
          </w:tcPr>
          <w:p w14:paraId="1A2D5E14">
            <w:pPr>
              <w:spacing w:line="300" w:lineRule="exact"/>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4</w:t>
            </w:r>
          </w:p>
        </w:tc>
        <w:tc>
          <w:tcPr>
            <w:tcW w:w="7562" w:type="dxa"/>
            <w:tcBorders>
              <w:top w:val="single" w:color="auto" w:sz="4" w:space="0"/>
              <w:left w:val="single" w:color="auto" w:sz="4" w:space="0"/>
              <w:bottom w:val="single" w:color="auto" w:sz="4" w:space="0"/>
              <w:right w:val="single" w:color="auto" w:sz="4" w:space="0"/>
            </w:tcBorders>
            <w:noWrap w:val="0"/>
            <w:vAlign w:val="top"/>
          </w:tcPr>
          <w:p w14:paraId="731D1644">
            <w:pPr>
              <w:keepNext w:val="0"/>
              <w:keepLines w:val="0"/>
              <w:pageBreakBefore w:val="0"/>
              <w:widowControl/>
              <w:kinsoku/>
              <w:wordWrap/>
              <w:overflowPunct/>
              <w:topLinePunct w:val="0"/>
              <w:bidi w:val="0"/>
              <w:adjustRightInd/>
              <w:snapToGrid/>
              <w:spacing w:line="360" w:lineRule="exact"/>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一、评审内容</w:t>
            </w:r>
          </w:p>
          <w:p w14:paraId="4CDDBC35">
            <w:pPr>
              <w:keepNext w:val="0"/>
              <w:keepLines w:val="0"/>
              <w:pageBreakBefore w:val="0"/>
              <w:widowControl/>
              <w:kinsoku/>
              <w:wordWrap/>
              <w:overflowPunct/>
              <w:topLinePunct w:val="0"/>
              <w:bidi w:val="0"/>
              <w:adjustRightInd/>
              <w:snapToGrid/>
              <w:spacing w:line="36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根据本项目特点制定反馈机制，反馈机制内容包括：①有定期回访服务对象相关负责人的安排方案②有意见反馈机制。</w:t>
            </w:r>
          </w:p>
          <w:p w14:paraId="5A5879F2">
            <w:pPr>
              <w:keepNext w:val="0"/>
              <w:keepLines w:val="0"/>
              <w:pageBreakBefore w:val="0"/>
              <w:kinsoku/>
              <w:wordWrap/>
              <w:overflowPunct/>
              <w:topLinePunct w:val="0"/>
              <w:bidi w:val="0"/>
              <w:adjustRightInd/>
              <w:snapToGrid/>
              <w:spacing w:line="360" w:lineRule="exact"/>
              <w:textAlignment w:val="auto"/>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二、评审标准</w:t>
            </w:r>
          </w:p>
          <w:p w14:paraId="7CDDB8A5">
            <w:pPr>
              <w:keepNext w:val="0"/>
              <w:keepLines w:val="0"/>
              <w:pageBreakBefore w:val="0"/>
              <w:widowControl/>
              <w:kinsoku/>
              <w:wordWrap/>
              <w:overflowPunct/>
              <w:topLinePunct w:val="0"/>
              <w:bidi w:val="0"/>
              <w:adjustRightInd/>
              <w:snapToGrid/>
              <w:spacing w:line="360" w:lineRule="exac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1、完整性：方案必须全面，对评审内容中的各项要求有详细描述；</w:t>
            </w:r>
          </w:p>
          <w:p w14:paraId="7A90CCC0">
            <w:pPr>
              <w:keepNext w:val="0"/>
              <w:keepLines w:val="0"/>
              <w:pageBreakBefore w:val="0"/>
              <w:widowControl/>
              <w:kinsoku/>
              <w:wordWrap/>
              <w:overflowPunct/>
              <w:topLinePunct w:val="0"/>
              <w:bidi w:val="0"/>
              <w:adjustRightInd/>
              <w:snapToGrid/>
              <w:spacing w:line="360" w:lineRule="exact"/>
              <w:textAlignment w:val="auto"/>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2、落实性：切合本项目实际情况，</w:t>
            </w:r>
            <w:r>
              <w:rPr>
                <w:rFonts w:hint="eastAsia" w:ascii="仿宋" w:hAnsi="仿宋" w:eastAsia="仿宋" w:cs="仿宋"/>
                <w:bCs/>
                <w:color w:val="auto"/>
                <w:sz w:val="24"/>
                <w:szCs w:val="24"/>
                <w:highlight w:val="none"/>
              </w:rPr>
              <w:t>提出责任明确、要求具体的方案。</w:t>
            </w:r>
          </w:p>
          <w:p w14:paraId="091B1E77">
            <w:pPr>
              <w:keepNext w:val="0"/>
              <w:keepLines w:val="0"/>
              <w:pageBreakBefore w:val="0"/>
              <w:widowControl/>
              <w:kinsoku/>
              <w:wordWrap/>
              <w:overflowPunct/>
              <w:topLinePunct w:val="0"/>
              <w:bidi w:val="0"/>
              <w:adjustRightInd/>
              <w:snapToGrid/>
              <w:spacing w:line="360" w:lineRule="exact"/>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三、赋分标准(满分</w:t>
            </w:r>
            <w:r>
              <w:rPr>
                <w:rFonts w:hint="eastAsia" w:ascii="仿宋" w:hAnsi="仿宋" w:eastAsia="仿宋" w:cs="仿宋"/>
                <w:b/>
                <w:bCs/>
                <w:color w:val="auto"/>
                <w:sz w:val="24"/>
                <w:szCs w:val="24"/>
                <w:highlight w:val="none"/>
                <w:lang w:val="en-US" w:eastAsia="zh-CN"/>
              </w:rPr>
              <w:t>4</w:t>
            </w:r>
            <w:r>
              <w:rPr>
                <w:rFonts w:hint="eastAsia" w:ascii="仿宋" w:hAnsi="仿宋" w:eastAsia="仿宋" w:cs="仿宋"/>
                <w:b/>
                <w:bCs/>
                <w:color w:val="auto"/>
                <w:sz w:val="24"/>
                <w:szCs w:val="24"/>
                <w:highlight w:val="none"/>
              </w:rPr>
              <w:t>分）</w:t>
            </w:r>
          </w:p>
          <w:p w14:paraId="0413673D">
            <w:pPr>
              <w:keepNext w:val="0"/>
              <w:keepLines w:val="0"/>
              <w:pageBreakBefore w:val="0"/>
              <w:widowControl/>
              <w:kinsoku/>
              <w:wordWrap/>
              <w:overflowPunct/>
              <w:topLinePunct w:val="0"/>
              <w:bidi w:val="0"/>
              <w:adjustRightInd/>
              <w:snapToGrid/>
              <w:spacing w:line="36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①有定期回访服务对象相关负责人的安排方案：每完全满足一个评审标准得</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分，满分</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w:t>
            </w:r>
          </w:p>
          <w:p w14:paraId="0A2D069C">
            <w:pPr>
              <w:keepNext w:val="0"/>
              <w:keepLines w:val="0"/>
              <w:pageBreakBefore w:val="0"/>
              <w:widowControl/>
              <w:kinsoku/>
              <w:wordWrap/>
              <w:overflowPunct/>
              <w:topLinePunct w:val="0"/>
              <w:bidi w:val="0"/>
              <w:adjustRightInd/>
              <w:snapToGrid/>
              <w:spacing w:line="36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②有意见反馈机制:每完全满足一个评审标准得</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分，满分</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w:t>
            </w:r>
          </w:p>
        </w:tc>
      </w:tr>
      <w:tr w14:paraId="0FD7C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2" w:type="dxa"/>
            <w:tcBorders>
              <w:top w:val="single" w:color="auto" w:sz="4" w:space="0"/>
              <w:left w:val="single" w:color="auto" w:sz="4" w:space="0"/>
              <w:bottom w:val="single" w:color="auto" w:sz="4" w:space="0"/>
              <w:right w:val="single" w:color="auto" w:sz="4" w:space="0"/>
            </w:tcBorders>
            <w:noWrap w:val="0"/>
            <w:vAlign w:val="center"/>
          </w:tcPr>
          <w:p w14:paraId="497B0A15">
            <w:pPr>
              <w:spacing w:line="3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服务承诺</w:t>
            </w:r>
          </w:p>
        </w:tc>
        <w:tc>
          <w:tcPr>
            <w:tcW w:w="765" w:type="dxa"/>
            <w:tcBorders>
              <w:top w:val="single" w:color="auto" w:sz="4" w:space="0"/>
              <w:left w:val="single" w:color="auto" w:sz="4" w:space="0"/>
              <w:bottom w:val="single" w:color="auto" w:sz="4" w:space="0"/>
              <w:right w:val="single" w:color="auto" w:sz="4" w:space="0"/>
            </w:tcBorders>
            <w:noWrap w:val="0"/>
            <w:vAlign w:val="center"/>
          </w:tcPr>
          <w:p w14:paraId="29CA3B20">
            <w:pPr>
              <w:spacing w:line="3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8</w:t>
            </w:r>
          </w:p>
        </w:tc>
        <w:tc>
          <w:tcPr>
            <w:tcW w:w="7562" w:type="dxa"/>
            <w:tcBorders>
              <w:top w:val="single" w:color="auto" w:sz="4" w:space="0"/>
              <w:left w:val="single" w:color="auto" w:sz="4" w:space="0"/>
              <w:bottom w:val="single" w:color="auto" w:sz="4" w:space="0"/>
              <w:right w:val="single" w:color="auto" w:sz="4" w:space="0"/>
            </w:tcBorders>
            <w:noWrap w:val="0"/>
            <w:vAlign w:val="top"/>
          </w:tcPr>
          <w:p w14:paraId="70D61A14">
            <w:pPr>
              <w:keepNext w:val="0"/>
              <w:keepLines w:val="0"/>
              <w:pageBreakBefore w:val="0"/>
              <w:widowControl/>
              <w:kinsoku/>
              <w:wordWrap/>
              <w:overflowPunct/>
              <w:topLinePunct w:val="0"/>
              <w:bidi w:val="0"/>
              <w:adjustRightInd/>
              <w:snapToGrid/>
              <w:spacing w:line="360" w:lineRule="exact"/>
              <w:textAlignment w:val="auto"/>
              <w:rPr>
                <w:rFonts w:hint="eastAsia" w:ascii="仿宋" w:hAnsi="仿宋" w:eastAsia="仿宋" w:cs="仿宋"/>
                <w:b/>
                <w:bCs/>
                <w:color w:val="auto"/>
                <w:sz w:val="24"/>
                <w:szCs w:val="24"/>
              </w:rPr>
            </w:pPr>
            <w:r>
              <w:rPr>
                <w:rFonts w:hint="eastAsia" w:ascii="仿宋" w:hAnsi="仿宋" w:eastAsia="仿宋" w:cs="仿宋"/>
                <w:b/>
                <w:bCs/>
                <w:color w:val="auto"/>
                <w:sz w:val="24"/>
                <w:szCs w:val="24"/>
              </w:rPr>
              <w:t>一、评审内容</w:t>
            </w:r>
          </w:p>
          <w:p w14:paraId="237668F0">
            <w:pPr>
              <w:keepNext w:val="0"/>
              <w:keepLines w:val="0"/>
              <w:pageBreakBefore w:val="0"/>
              <w:widowControl/>
              <w:kinsoku/>
              <w:wordWrap/>
              <w:overflowPunct/>
              <w:topLinePunct w:val="0"/>
              <w:bidi w:val="0"/>
              <w:adjustRightInd/>
              <w:snapToGrid/>
              <w:spacing w:line="360" w:lineRule="exac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根据本项目特点制定服务承诺，服务承诺内容包括：①对服务达到的质量标准、拟采取的措施做出的服务承诺②对卫生保洁、生活垃圾清运以及</w:t>
            </w:r>
            <w:r>
              <w:rPr>
                <w:rFonts w:hint="eastAsia" w:ascii="仿宋" w:hAnsi="仿宋" w:eastAsia="仿宋" w:cs="仿宋"/>
                <w:color w:val="auto"/>
                <w:sz w:val="24"/>
                <w:szCs w:val="24"/>
                <w:lang w:eastAsia="zh-CN"/>
              </w:rPr>
              <w:t>服务</w:t>
            </w:r>
            <w:r>
              <w:rPr>
                <w:rFonts w:hint="eastAsia" w:ascii="仿宋" w:hAnsi="仿宋" w:eastAsia="仿宋" w:cs="仿宋"/>
                <w:color w:val="auto"/>
                <w:sz w:val="24"/>
                <w:szCs w:val="24"/>
              </w:rPr>
              <w:t>区域内环境设施设备的维护管理做出的承诺③对配合</w:t>
            </w:r>
            <w:r>
              <w:rPr>
                <w:rFonts w:hint="eastAsia" w:ascii="仿宋" w:hAnsi="仿宋" w:eastAsia="仿宋" w:cs="仿宋"/>
                <w:color w:val="auto"/>
                <w:sz w:val="24"/>
                <w:szCs w:val="24"/>
                <w:lang w:val="en-US" w:eastAsia="zh-CN"/>
              </w:rPr>
              <w:t>采购人</w:t>
            </w:r>
            <w:r>
              <w:rPr>
                <w:rFonts w:hint="eastAsia" w:ascii="仿宋" w:hAnsi="仿宋" w:eastAsia="仿宋" w:cs="仿宋"/>
                <w:color w:val="auto"/>
                <w:sz w:val="24"/>
                <w:szCs w:val="24"/>
              </w:rPr>
              <w:t>重大活动做出的服务承诺④接受采购人对所提供物业服务的监督批评及意见的承诺。</w:t>
            </w:r>
          </w:p>
          <w:p w14:paraId="75974B27">
            <w:pPr>
              <w:keepNext w:val="0"/>
              <w:keepLines w:val="0"/>
              <w:pageBreakBefore w:val="0"/>
              <w:widowControl/>
              <w:kinsoku/>
              <w:wordWrap/>
              <w:overflowPunct/>
              <w:topLinePunct w:val="0"/>
              <w:bidi w:val="0"/>
              <w:adjustRightInd/>
              <w:snapToGrid/>
              <w:spacing w:line="360" w:lineRule="exact"/>
              <w:textAlignment w:val="auto"/>
              <w:rPr>
                <w:rFonts w:hint="eastAsia" w:ascii="仿宋" w:hAnsi="仿宋" w:eastAsia="仿宋" w:cs="仿宋"/>
                <w:b/>
                <w:bCs/>
                <w:color w:val="auto"/>
                <w:sz w:val="24"/>
                <w:szCs w:val="24"/>
              </w:rPr>
            </w:pPr>
            <w:r>
              <w:rPr>
                <w:rFonts w:hint="eastAsia" w:ascii="仿宋" w:hAnsi="仿宋" w:eastAsia="仿宋" w:cs="仿宋"/>
                <w:b/>
                <w:bCs/>
                <w:color w:val="auto"/>
                <w:sz w:val="24"/>
                <w:szCs w:val="24"/>
              </w:rPr>
              <w:t>二、评审标准</w:t>
            </w:r>
          </w:p>
          <w:p w14:paraId="15B83818">
            <w:pPr>
              <w:keepNext w:val="0"/>
              <w:keepLines w:val="0"/>
              <w:pageBreakBefore w:val="0"/>
              <w:widowControl/>
              <w:kinsoku/>
              <w:wordWrap/>
              <w:overflowPunct/>
              <w:topLinePunct w:val="0"/>
              <w:bidi w:val="0"/>
              <w:adjustRightInd/>
              <w:snapToGrid/>
              <w:spacing w:line="360" w:lineRule="exac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1、完整性：方案必须全面，对评审内容中的各项要求有详细描述；</w:t>
            </w:r>
          </w:p>
          <w:p w14:paraId="2D407AC1">
            <w:pPr>
              <w:keepNext w:val="0"/>
              <w:keepLines w:val="0"/>
              <w:pageBreakBefore w:val="0"/>
              <w:widowControl/>
              <w:kinsoku/>
              <w:wordWrap/>
              <w:overflowPunct/>
              <w:topLinePunct w:val="0"/>
              <w:bidi w:val="0"/>
              <w:adjustRightInd/>
              <w:snapToGrid/>
              <w:spacing w:line="360" w:lineRule="exac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2、落实性：切合本项目实际情况，提出责任明确、要求具体的方案。</w:t>
            </w:r>
          </w:p>
          <w:p w14:paraId="588E280C">
            <w:pPr>
              <w:keepNext w:val="0"/>
              <w:keepLines w:val="0"/>
              <w:pageBreakBefore w:val="0"/>
              <w:widowControl/>
              <w:kinsoku/>
              <w:wordWrap/>
              <w:overflowPunct/>
              <w:topLinePunct w:val="0"/>
              <w:bidi w:val="0"/>
              <w:adjustRightInd/>
              <w:snapToGrid/>
              <w:spacing w:line="360" w:lineRule="exact"/>
              <w:textAlignment w:val="auto"/>
              <w:rPr>
                <w:rFonts w:hint="eastAsia" w:ascii="仿宋" w:hAnsi="仿宋" w:eastAsia="仿宋" w:cs="仿宋"/>
                <w:b/>
                <w:bCs/>
                <w:color w:val="auto"/>
                <w:sz w:val="24"/>
                <w:szCs w:val="24"/>
              </w:rPr>
            </w:pPr>
            <w:r>
              <w:rPr>
                <w:rFonts w:hint="eastAsia" w:ascii="仿宋" w:hAnsi="仿宋" w:eastAsia="仿宋" w:cs="仿宋"/>
                <w:b/>
                <w:bCs/>
                <w:color w:val="auto"/>
                <w:sz w:val="24"/>
                <w:szCs w:val="24"/>
              </w:rPr>
              <w:t>三、赋分标准(满分8分）</w:t>
            </w:r>
          </w:p>
          <w:p w14:paraId="12D00C7A">
            <w:pPr>
              <w:keepNext w:val="0"/>
              <w:keepLines w:val="0"/>
              <w:pageBreakBefore w:val="0"/>
              <w:widowControl/>
              <w:kinsoku/>
              <w:wordWrap/>
              <w:overflowPunct/>
              <w:topLinePunct w:val="0"/>
              <w:bidi w:val="0"/>
              <w:adjustRightInd/>
              <w:snapToGrid/>
              <w:spacing w:line="360" w:lineRule="exac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①对服务达到的质量标准、拟采取的措施做出的服务承诺：每完全满足一个评审标准得1分，满分2分；</w:t>
            </w:r>
          </w:p>
          <w:p w14:paraId="4818BCAA">
            <w:pPr>
              <w:keepNext w:val="0"/>
              <w:keepLines w:val="0"/>
              <w:pageBreakBefore w:val="0"/>
              <w:widowControl/>
              <w:kinsoku/>
              <w:wordWrap/>
              <w:overflowPunct/>
              <w:topLinePunct w:val="0"/>
              <w:bidi w:val="0"/>
              <w:adjustRightInd/>
              <w:snapToGrid/>
              <w:spacing w:line="360" w:lineRule="exac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②对卫生保洁、生活垃圾清运以及</w:t>
            </w:r>
            <w:r>
              <w:rPr>
                <w:rFonts w:hint="eastAsia" w:ascii="仿宋" w:hAnsi="仿宋" w:eastAsia="仿宋" w:cs="仿宋"/>
                <w:color w:val="auto"/>
                <w:sz w:val="24"/>
                <w:szCs w:val="24"/>
                <w:lang w:eastAsia="zh-CN"/>
              </w:rPr>
              <w:t>服务</w:t>
            </w:r>
            <w:r>
              <w:rPr>
                <w:rFonts w:hint="eastAsia" w:ascii="仿宋" w:hAnsi="仿宋" w:eastAsia="仿宋" w:cs="仿宋"/>
                <w:color w:val="auto"/>
                <w:sz w:val="24"/>
                <w:szCs w:val="24"/>
              </w:rPr>
              <w:t>区域内环境设施设备的维护管理做出的承诺:每完全满足一个评审标准得1分，满分2分；</w:t>
            </w:r>
          </w:p>
          <w:p w14:paraId="5410A464">
            <w:pPr>
              <w:keepNext w:val="0"/>
              <w:keepLines w:val="0"/>
              <w:pageBreakBefore w:val="0"/>
              <w:widowControl/>
              <w:kinsoku/>
              <w:wordWrap/>
              <w:overflowPunct/>
              <w:topLinePunct w:val="0"/>
              <w:bidi w:val="0"/>
              <w:adjustRightInd/>
              <w:snapToGrid/>
              <w:spacing w:line="360" w:lineRule="exac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③对配合</w:t>
            </w:r>
            <w:r>
              <w:rPr>
                <w:rFonts w:hint="eastAsia" w:ascii="仿宋" w:hAnsi="仿宋" w:eastAsia="仿宋" w:cs="仿宋"/>
                <w:color w:val="auto"/>
                <w:sz w:val="24"/>
                <w:szCs w:val="24"/>
                <w:lang w:val="en-US" w:eastAsia="zh-CN"/>
              </w:rPr>
              <w:t>采购人</w:t>
            </w:r>
            <w:r>
              <w:rPr>
                <w:rFonts w:hint="eastAsia" w:ascii="仿宋" w:hAnsi="仿宋" w:eastAsia="仿宋" w:cs="仿宋"/>
                <w:color w:val="auto"/>
                <w:sz w:val="24"/>
                <w:szCs w:val="24"/>
              </w:rPr>
              <w:t>重大活动做出的服务承诺:每完全满足一个评审标准得1分，满分2分；</w:t>
            </w:r>
          </w:p>
          <w:p w14:paraId="6271EAC1">
            <w:pPr>
              <w:keepNext w:val="0"/>
              <w:keepLines w:val="0"/>
              <w:pageBreakBefore w:val="0"/>
              <w:widowControl/>
              <w:kinsoku/>
              <w:wordWrap/>
              <w:overflowPunct/>
              <w:topLinePunct w:val="0"/>
              <w:bidi w:val="0"/>
              <w:adjustRightInd/>
              <w:snapToGrid/>
              <w:spacing w:line="360" w:lineRule="exac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④接受采购人对所提供物业服务的监督批评及意见的承诺:每完全满足一个评审标准得1分，满分2分。</w:t>
            </w:r>
          </w:p>
        </w:tc>
      </w:tr>
    </w:tbl>
    <w:p w14:paraId="2DCCDF70">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华文仿宋" w:hAnsi="华文仿宋" w:eastAsia="华文仿宋" w:cs="华文仿宋"/>
          <w:b/>
          <w:bCs/>
          <w:sz w:val="28"/>
          <w:szCs w:val="28"/>
          <w:lang w:val="en-US" w:eastAsia="zh-CN"/>
        </w:rPr>
      </w:pPr>
    </w:p>
    <w:p w14:paraId="39DEBF81">
      <w:pPr>
        <w:pStyle w:val="17"/>
        <w:rPr>
          <w:rFonts w:hint="eastAsia"/>
        </w:rPr>
      </w:pPr>
    </w:p>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p w14:paraId="51535A63">
      <w:pPr>
        <w:keepNext w:val="0"/>
        <w:keepLines w:val="0"/>
        <w:pageBreakBefore/>
        <w:widowControl/>
        <w:numPr>
          <w:ilvl w:val="0"/>
          <w:numId w:val="6"/>
        </w:numPr>
        <w:kinsoku/>
        <w:wordWrap/>
        <w:overflowPunct/>
        <w:topLinePunct w:val="0"/>
        <w:autoSpaceDE/>
        <w:autoSpaceDN/>
        <w:bidi w:val="0"/>
        <w:adjustRightInd/>
        <w:snapToGrid/>
        <w:spacing w:line="240" w:lineRule="auto"/>
        <w:jc w:val="center"/>
        <w:textAlignment w:val="auto"/>
        <w:outlineLvl w:val="0"/>
        <w:rPr>
          <w:rFonts w:hint="eastAsia" w:ascii="黑体" w:hAnsi="黑体" w:eastAsia="黑体" w:cs="黑体"/>
          <w:color w:val="auto"/>
          <w:sz w:val="32"/>
          <w:szCs w:val="32"/>
        </w:rPr>
      </w:pPr>
      <w:bookmarkStart w:id="536" w:name="_Toc21122"/>
      <w:bookmarkStart w:id="537" w:name="_Toc31266"/>
      <w:bookmarkStart w:id="538" w:name="_Toc8978"/>
      <w:bookmarkStart w:id="539" w:name="_Toc14437"/>
      <w:bookmarkStart w:id="540" w:name="_Toc15480"/>
      <w:bookmarkStart w:id="541" w:name="_Toc22019"/>
      <w:bookmarkStart w:id="542" w:name="_Toc20880"/>
      <w:r>
        <w:rPr>
          <w:rFonts w:hint="eastAsia" w:ascii="黑体" w:hAnsi="黑体" w:eastAsia="黑体" w:cs="黑体"/>
          <w:color w:val="auto"/>
          <w:sz w:val="32"/>
          <w:szCs w:val="32"/>
        </w:rPr>
        <w:t xml:space="preserve"> 招标内容及采购要求</w:t>
      </w:r>
    </w:p>
    <w:p w14:paraId="6780BF01">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283" w:firstLineChars="100"/>
        <w:textAlignment w:val="auto"/>
        <w:rPr>
          <w:rFonts w:hint="eastAsia" w:ascii="华文仿宋" w:hAnsi="华文仿宋" w:eastAsia="华文仿宋" w:cs="华文仿宋"/>
          <w:b/>
          <w:sz w:val="28"/>
          <w:szCs w:val="28"/>
          <w:lang w:val="en-US" w:eastAsia="zh-CN"/>
        </w:rPr>
      </w:pPr>
    </w:p>
    <w:p w14:paraId="0DDA3768">
      <w:pPr>
        <w:keepNext w:val="0"/>
        <w:keepLines w:val="0"/>
        <w:pageBreakBefore w:val="0"/>
        <w:widowControl/>
        <w:numPr>
          <w:ilvl w:val="0"/>
          <w:numId w:val="0"/>
        </w:numPr>
        <w:kinsoku/>
        <w:wordWrap/>
        <w:overflowPunct/>
        <w:topLinePunct w:val="0"/>
        <w:autoSpaceDE/>
        <w:autoSpaceDN/>
        <w:bidi w:val="0"/>
        <w:adjustRightInd/>
        <w:snapToGrid/>
        <w:spacing w:line="560" w:lineRule="exact"/>
        <w:ind w:firstLine="283" w:firstLineChars="100"/>
        <w:textAlignment w:val="auto"/>
        <w:rPr>
          <w:rFonts w:hint="eastAsia" w:ascii="华文仿宋" w:hAnsi="华文仿宋" w:eastAsia="华文仿宋" w:cs="华文仿宋"/>
          <w:b/>
          <w:sz w:val="28"/>
          <w:szCs w:val="28"/>
          <w:lang w:eastAsia="zh-CN"/>
        </w:rPr>
      </w:pPr>
      <w:r>
        <w:rPr>
          <w:rFonts w:hint="eastAsia" w:ascii="华文仿宋" w:hAnsi="华文仿宋" w:eastAsia="华文仿宋" w:cs="华文仿宋"/>
          <w:b/>
          <w:sz w:val="28"/>
          <w:szCs w:val="28"/>
          <w:lang w:val="en-US" w:eastAsia="zh-CN"/>
        </w:rPr>
        <w:t>一标段</w:t>
      </w:r>
      <w:r>
        <w:rPr>
          <w:rFonts w:hint="eastAsia" w:ascii="华文仿宋" w:hAnsi="华文仿宋" w:eastAsia="华文仿宋" w:cs="华文仿宋"/>
          <w:b/>
          <w:sz w:val="28"/>
          <w:szCs w:val="28"/>
        </w:rPr>
        <w:t xml:space="preserve">采购项目详细的技术参数及要求 </w:t>
      </w:r>
      <w:r>
        <w:rPr>
          <w:rFonts w:hint="eastAsia" w:ascii="华文仿宋" w:hAnsi="华文仿宋" w:eastAsia="华文仿宋" w:cs="华文仿宋"/>
          <w:b/>
          <w:sz w:val="28"/>
          <w:szCs w:val="28"/>
          <w:lang w:eastAsia="zh-CN"/>
        </w:rPr>
        <w:t>：</w:t>
      </w:r>
    </w:p>
    <w:p w14:paraId="3B26EA56">
      <w:pPr>
        <w:spacing w:line="480" w:lineRule="exact"/>
        <w:ind w:firstLine="566" w:firstLineChars="200"/>
        <w:rPr>
          <w:rFonts w:hint="eastAsia" w:ascii="华文仿宋" w:hAnsi="华文仿宋" w:cs="华文仿宋"/>
          <w:color w:val="auto"/>
          <w:lang w:val="en-US" w:eastAsia="zh-CN"/>
        </w:rPr>
      </w:pPr>
      <w:r>
        <w:rPr>
          <w:rFonts w:hint="eastAsia" w:ascii="华文仿宋" w:hAnsi="华文仿宋" w:cs="华文仿宋"/>
          <w:color w:val="auto"/>
          <w:lang w:val="en-US" w:eastAsia="zh-CN"/>
        </w:rPr>
        <w:t>一、技术参数</w:t>
      </w:r>
    </w:p>
    <w:p w14:paraId="4B82E899">
      <w:pPr>
        <w:spacing w:line="480" w:lineRule="exact"/>
        <w:ind w:firstLine="566" w:firstLineChars="200"/>
        <w:rPr>
          <w:rFonts w:hint="eastAsia" w:ascii="华文仿宋" w:hAnsi="华文仿宋" w:cs="华文仿宋"/>
          <w:color w:val="auto"/>
          <w:lang w:val="zh-CN"/>
        </w:rPr>
      </w:pPr>
      <w:r>
        <w:rPr>
          <w:rFonts w:hint="eastAsia" w:ascii="华文仿宋" w:hAnsi="华文仿宋" w:cs="华文仿宋"/>
          <w:color w:val="auto"/>
          <w:lang w:val="zh-CN"/>
        </w:rPr>
        <w:t>养护</w:t>
      </w:r>
      <w:r>
        <w:rPr>
          <w:rFonts w:hint="eastAsia" w:ascii="华文仿宋" w:hAnsi="华文仿宋" w:cs="华文仿宋"/>
          <w:color w:val="auto"/>
        </w:rPr>
        <w:t>工作的主要</w:t>
      </w:r>
      <w:r>
        <w:rPr>
          <w:rFonts w:hint="eastAsia" w:ascii="华文仿宋" w:hAnsi="华文仿宋" w:cs="华文仿宋"/>
          <w:color w:val="auto"/>
          <w:lang w:val="zh-CN"/>
        </w:rPr>
        <w:t>内容：包括院本部</w:t>
      </w:r>
      <w:r>
        <w:rPr>
          <w:rFonts w:hint="eastAsia" w:ascii="华文仿宋" w:hAnsi="华文仿宋" w:cs="华文仿宋"/>
          <w:color w:val="auto"/>
        </w:rPr>
        <w:t>所有绿化区域内的乔木4858株、灌木3224株、绿篱711平方米、色带18061.9平方米、草坪140940.1平方米的</w:t>
      </w:r>
      <w:r>
        <w:rPr>
          <w:rFonts w:hint="eastAsia" w:ascii="华文仿宋" w:hAnsi="华文仿宋" w:cs="华文仿宋"/>
          <w:color w:val="auto"/>
          <w:lang w:val="zh-CN"/>
        </w:rPr>
        <w:t>浇水（</w:t>
      </w:r>
      <w:r>
        <w:rPr>
          <w:rFonts w:hint="eastAsia" w:ascii="华文仿宋" w:hAnsi="华文仿宋" w:cs="华文仿宋"/>
          <w:color w:val="auto"/>
        </w:rPr>
        <w:t>水源</w:t>
      </w:r>
      <w:r>
        <w:rPr>
          <w:rFonts w:hint="eastAsia" w:ascii="华文仿宋" w:hAnsi="华文仿宋" w:cs="华文仿宋"/>
          <w:color w:val="auto"/>
          <w:lang w:eastAsia="zh-CN"/>
        </w:rPr>
        <w:t>由</w:t>
      </w:r>
      <w:r>
        <w:rPr>
          <w:rFonts w:hint="eastAsia" w:ascii="华文仿宋" w:hAnsi="华文仿宋" w:cs="华文仿宋"/>
          <w:color w:val="auto"/>
        </w:rPr>
        <w:t>承包方自行解决</w:t>
      </w:r>
      <w:r>
        <w:rPr>
          <w:rFonts w:hint="eastAsia" w:ascii="华文仿宋" w:hAnsi="华文仿宋" w:cs="华文仿宋"/>
          <w:color w:val="auto"/>
          <w:lang w:val="zh-CN"/>
        </w:rPr>
        <w:t>）、开穴覆土、修剪、施肥、除草、抹芽、病虫害防治、扶正</w:t>
      </w:r>
      <w:r>
        <w:rPr>
          <w:rFonts w:hint="eastAsia" w:ascii="华文仿宋" w:hAnsi="华文仿宋" w:cs="华文仿宋"/>
          <w:color w:val="auto"/>
        </w:rPr>
        <w:t>；对所有养护区域内树木进行排查，对死亡的乔木、灌木、绿篱、色带、草坪由养护服务单位进行补植(所需费用合同中约定）；所有绿化区域内日常卫生保洁；节假日在重点区域由养护服务单位摆放草花、日常管护、摆放完后垃圾清理等工作内容</w:t>
      </w:r>
      <w:r>
        <w:rPr>
          <w:rFonts w:hint="eastAsia" w:ascii="华文仿宋" w:hAnsi="华文仿宋" w:cs="华文仿宋"/>
          <w:color w:val="auto"/>
          <w:lang w:val="zh-CN"/>
        </w:rPr>
        <w:t>。</w:t>
      </w:r>
    </w:p>
    <w:p w14:paraId="27A04CE3">
      <w:pPr>
        <w:spacing w:line="480" w:lineRule="exact"/>
        <w:ind w:firstLine="566" w:firstLineChars="200"/>
        <w:rPr>
          <w:rFonts w:hint="eastAsia" w:ascii="华文仿宋" w:hAnsi="华文仿宋" w:cs="华文仿宋"/>
          <w:color w:val="auto"/>
          <w:lang w:val="zh-CN"/>
        </w:rPr>
      </w:pPr>
      <w:r>
        <w:rPr>
          <w:rFonts w:hint="eastAsia" w:ascii="华文仿宋" w:hAnsi="华文仿宋" w:cs="华文仿宋"/>
          <w:color w:val="auto"/>
          <w:lang w:val="en-US" w:eastAsia="zh-CN"/>
        </w:rPr>
        <w:t>1.</w:t>
      </w:r>
      <w:r>
        <w:rPr>
          <w:rFonts w:hint="eastAsia" w:ascii="华文仿宋" w:hAnsi="华文仿宋" w:cs="华文仿宋"/>
          <w:color w:val="auto"/>
          <w:lang w:val="zh-CN"/>
        </w:rPr>
        <w:t>养护人员配置及工具</w:t>
      </w:r>
    </w:p>
    <w:p w14:paraId="7E909947">
      <w:pPr>
        <w:spacing w:line="480" w:lineRule="exact"/>
        <w:ind w:firstLine="566" w:firstLineChars="200"/>
        <w:rPr>
          <w:rFonts w:hint="eastAsia" w:ascii="华文仿宋" w:hAnsi="华文仿宋" w:cs="华文仿宋"/>
          <w:color w:val="auto"/>
          <w:lang w:val="en-US" w:eastAsia="zh-CN"/>
        </w:rPr>
      </w:pPr>
      <w:r>
        <w:rPr>
          <w:rFonts w:hint="eastAsia" w:ascii="华文仿宋" w:hAnsi="华文仿宋" w:cs="华文仿宋"/>
          <w:color w:val="auto"/>
          <w:lang w:eastAsia="zh-CN"/>
        </w:rPr>
        <w:t>（</w:t>
      </w:r>
      <w:r>
        <w:rPr>
          <w:rFonts w:hint="eastAsia" w:ascii="华文仿宋" w:hAnsi="华文仿宋" w:cs="华文仿宋"/>
          <w:color w:val="auto"/>
        </w:rPr>
        <w:t>1</w:t>
      </w:r>
      <w:r>
        <w:rPr>
          <w:rFonts w:hint="eastAsia" w:ascii="华文仿宋" w:hAnsi="华文仿宋" w:cs="华文仿宋"/>
          <w:color w:val="auto"/>
          <w:lang w:eastAsia="zh-CN"/>
        </w:rPr>
        <w:t>）</w:t>
      </w:r>
      <w:r>
        <w:rPr>
          <w:rFonts w:hint="eastAsia" w:ascii="华文仿宋" w:hAnsi="华文仿宋" w:cs="华文仿宋"/>
          <w:color w:val="auto"/>
          <w:lang w:val="en-US" w:eastAsia="zh-CN"/>
        </w:rPr>
        <w:t>投标人</w:t>
      </w:r>
      <w:r>
        <w:rPr>
          <w:rFonts w:hint="eastAsia" w:ascii="华文仿宋" w:hAnsi="华文仿宋" w:cs="华文仿宋"/>
          <w:color w:val="auto"/>
        </w:rPr>
        <w:t>须指派1名</w:t>
      </w:r>
      <w:r>
        <w:rPr>
          <w:rFonts w:hint="eastAsia" w:ascii="华文仿宋" w:hAnsi="华文仿宋" w:cs="华文仿宋"/>
          <w:color w:val="auto"/>
          <w:lang w:val="en-US" w:eastAsia="zh-CN"/>
        </w:rPr>
        <w:t>项目负责人</w:t>
      </w:r>
      <w:r>
        <w:rPr>
          <w:rFonts w:hint="eastAsia" w:ascii="华文仿宋" w:hAnsi="华文仿宋" w:cs="华文仿宋"/>
          <w:color w:val="auto"/>
        </w:rPr>
        <w:t>，</w:t>
      </w:r>
      <w:r>
        <w:rPr>
          <w:rFonts w:hint="eastAsia" w:ascii="华文仿宋" w:hAnsi="华文仿宋" w:cs="华文仿宋"/>
          <w:color w:val="auto"/>
          <w:lang w:val="en-US" w:eastAsia="zh-CN"/>
        </w:rPr>
        <w:t>做</w:t>
      </w:r>
      <w:r>
        <w:rPr>
          <w:rFonts w:hint="eastAsia" w:ascii="华文仿宋" w:hAnsi="华文仿宋" w:cs="华文仿宋"/>
          <w:color w:val="auto"/>
        </w:rPr>
        <w:t>好管理工作，从业人员不得少于</w:t>
      </w:r>
      <w:r>
        <w:rPr>
          <w:rFonts w:hint="eastAsia" w:ascii="华文仿宋" w:hAnsi="华文仿宋" w:cs="华文仿宋"/>
          <w:color w:val="auto"/>
          <w:lang w:val="en-US" w:eastAsia="zh-CN"/>
        </w:rPr>
        <w:t>12人</w:t>
      </w:r>
      <w:r>
        <w:rPr>
          <w:rFonts w:hint="eastAsia" w:ascii="华文仿宋" w:hAnsi="华文仿宋" w:cs="华文仿宋"/>
          <w:color w:val="auto"/>
          <w:lang w:eastAsia="zh-CN"/>
        </w:rPr>
        <w:t>（</w:t>
      </w:r>
      <w:r>
        <w:rPr>
          <w:rFonts w:hint="eastAsia" w:ascii="华文仿宋" w:hAnsi="华文仿宋" w:cs="华文仿宋"/>
          <w:color w:val="auto"/>
          <w:lang w:val="en-US" w:eastAsia="zh-CN"/>
        </w:rPr>
        <w:t>技术负责人1人，现场负责人1人，驾驶员人1人，日常保洁员4人，普通工人5人）。</w:t>
      </w:r>
    </w:p>
    <w:p w14:paraId="6FA4FA9D">
      <w:pPr>
        <w:spacing w:line="480" w:lineRule="exact"/>
        <w:ind w:firstLine="566" w:firstLineChars="200"/>
        <w:rPr>
          <w:rFonts w:hint="eastAsia" w:ascii="华文仿宋" w:hAnsi="华文仿宋" w:cs="华文仿宋"/>
          <w:color w:val="auto"/>
          <w:lang w:val="zh-CN"/>
        </w:rPr>
      </w:pPr>
      <w:r>
        <w:rPr>
          <w:rFonts w:hint="eastAsia" w:ascii="华文仿宋" w:hAnsi="华文仿宋" w:cs="华文仿宋"/>
          <w:color w:val="auto"/>
          <w:lang w:eastAsia="zh-CN"/>
        </w:rPr>
        <w:t>（</w:t>
      </w:r>
      <w:r>
        <w:rPr>
          <w:rFonts w:hint="eastAsia" w:ascii="华文仿宋" w:hAnsi="华文仿宋" w:cs="华文仿宋"/>
          <w:color w:val="auto"/>
          <w:lang w:val="en-US" w:eastAsia="zh-CN"/>
        </w:rPr>
        <w:t>2</w:t>
      </w:r>
      <w:r>
        <w:rPr>
          <w:rFonts w:hint="eastAsia" w:ascii="华文仿宋" w:hAnsi="华文仿宋" w:cs="华文仿宋"/>
          <w:color w:val="auto"/>
          <w:lang w:eastAsia="zh-CN"/>
        </w:rPr>
        <w:t>）</w:t>
      </w:r>
      <w:r>
        <w:rPr>
          <w:rFonts w:hint="eastAsia" w:ascii="华文仿宋" w:hAnsi="华文仿宋" w:cs="华文仿宋"/>
          <w:color w:val="auto"/>
          <w:lang w:val="zh-CN"/>
        </w:rPr>
        <w:t>手剪、平剪、高枝剪、绿篱机、剪草机、喷雾器、打药机、洒水车、打孔机、水泵、水管、锄、锯子、电锯、梯子等工具，均由</w:t>
      </w:r>
      <w:r>
        <w:rPr>
          <w:rFonts w:hint="eastAsia" w:ascii="华文仿宋" w:hAnsi="华文仿宋" w:cs="华文仿宋"/>
          <w:color w:val="auto"/>
        </w:rPr>
        <w:t>养护服务单位提供</w:t>
      </w:r>
      <w:r>
        <w:rPr>
          <w:rFonts w:hint="eastAsia" w:ascii="华文仿宋" w:hAnsi="华文仿宋" w:cs="华文仿宋"/>
          <w:color w:val="auto"/>
          <w:lang w:val="zh-CN"/>
        </w:rPr>
        <w:t>。</w:t>
      </w:r>
    </w:p>
    <w:p w14:paraId="46B20981">
      <w:pPr>
        <w:spacing w:line="480" w:lineRule="exact"/>
        <w:ind w:firstLine="566" w:firstLineChars="200"/>
        <w:rPr>
          <w:rFonts w:hint="eastAsia" w:ascii="华文仿宋" w:hAnsi="华文仿宋" w:cs="华文仿宋"/>
          <w:color w:val="auto"/>
          <w:lang w:val="zh-CN"/>
        </w:rPr>
      </w:pPr>
      <w:r>
        <w:rPr>
          <w:rFonts w:hint="eastAsia" w:ascii="华文仿宋" w:hAnsi="华文仿宋" w:cs="华文仿宋"/>
          <w:color w:val="auto"/>
          <w:lang w:val="en-US" w:eastAsia="zh-CN"/>
        </w:rPr>
        <w:t>2.</w:t>
      </w:r>
      <w:r>
        <w:rPr>
          <w:rFonts w:hint="eastAsia" w:ascii="华文仿宋" w:hAnsi="华文仿宋" w:cs="华文仿宋"/>
          <w:color w:val="auto"/>
          <w:lang w:val="zh-CN"/>
        </w:rPr>
        <w:t>养护内容</w:t>
      </w:r>
    </w:p>
    <w:p w14:paraId="5CFBDE04">
      <w:pPr>
        <w:spacing w:line="480" w:lineRule="exact"/>
        <w:ind w:firstLine="566" w:firstLineChars="200"/>
        <w:rPr>
          <w:rFonts w:hint="eastAsia" w:ascii="华文仿宋" w:hAnsi="华文仿宋" w:cs="华文仿宋"/>
          <w:color w:val="auto"/>
        </w:rPr>
      </w:pPr>
      <w:r>
        <w:rPr>
          <w:rFonts w:hint="eastAsia" w:ascii="华文仿宋" w:hAnsi="华文仿宋" w:cs="华文仿宋"/>
          <w:color w:val="auto"/>
          <w:lang w:eastAsia="zh-CN"/>
        </w:rPr>
        <w:t>（</w:t>
      </w:r>
      <w:r>
        <w:rPr>
          <w:rFonts w:hint="eastAsia" w:ascii="华文仿宋" w:hAnsi="华文仿宋" w:cs="华文仿宋"/>
          <w:color w:val="auto"/>
        </w:rPr>
        <w:t>1</w:t>
      </w:r>
      <w:r>
        <w:rPr>
          <w:rFonts w:hint="eastAsia" w:ascii="华文仿宋" w:hAnsi="华文仿宋" w:cs="华文仿宋"/>
          <w:color w:val="auto"/>
          <w:lang w:eastAsia="zh-CN"/>
        </w:rPr>
        <w:t>）</w:t>
      </w:r>
      <w:r>
        <w:rPr>
          <w:rFonts w:hint="eastAsia" w:ascii="华文仿宋" w:hAnsi="华文仿宋" w:cs="华文仿宋"/>
          <w:color w:val="auto"/>
        </w:rPr>
        <w:t>乔木：每年施肥料一次，每棵施复合肥、混尿素0.1千克，采用穴施、及喷洒、水肥等，然后用土覆盖，浇水透彻，水渗透深度10厘米以上，及时防治病虫害，保持树木自然生长状态，及时剪除黄枝、病虫枝、荫蔽徒长枝及阻碍车辆通行的下垂枝，及时清理干净修剪物。每周清除树根周围杂草一次，确保无杂草。</w:t>
      </w:r>
    </w:p>
    <w:p w14:paraId="49011AC3">
      <w:pPr>
        <w:spacing w:line="480" w:lineRule="exact"/>
        <w:ind w:firstLine="566" w:firstLineChars="200"/>
        <w:rPr>
          <w:rFonts w:hint="eastAsia" w:ascii="华文仿宋" w:hAnsi="华文仿宋" w:cs="华文仿宋"/>
          <w:color w:val="auto"/>
        </w:rPr>
      </w:pPr>
      <w:r>
        <w:rPr>
          <w:rFonts w:hint="eastAsia" w:ascii="华文仿宋" w:hAnsi="华文仿宋" w:cs="华文仿宋"/>
          <w:color w:val="auto"/>
          <w:lang w:eastAsia="zh-CN"/>
        </w:rPr>
        <w:t>（</w:t>
      </w:r>
      <w:r>
        <w:rPr>
          <w:rFonts w:hint="eastAsia" w:ascii="华文仿宋" w:hAnsi="华文仿宋" w:cs="华文仿宋"/>
          <w:color w:val="auto"/>
          <w:lang w:val="en-US" w:eastAsia="zh-CN"/>
        </w:rPr>
        <w:t>2</w:t>
      </w:r>
      <w:r>
        <w:rPr>
          <w:rFonts w:hint="eastAsia" w:ascii="华文仿宋" w:hAnsi="华文仿宋" w:cs="华文仿宋"/>
          <w:color w:val="auto"/>
          <w:lang w:eastAsia="zh-CN"/>
        </w:rPr>
        <w:t>）</w:t>
      </w:r>
      <w:r>
        <w:rPr>
          <w:rFonts w:hint="eastAsia" w:ascii="华文仿宋" w:hAnsi="华文仿宋" w:cs="华文仿宋"/>
          <w:color w:val="auto"/>
        </w:rPr>
        <w:t>灌木、绿篱：每季度施肥一次，每667㎡施尿素混复合肥10千克，采用撒施及水肥等，施后三小时内浇水一次，水渗透深度10厘米以上，及时防治病虫害。整形修剪每月一次，剪口平滑、美观，及时清除修剪物，剪除枯枝、病虫枝，每周清除杂草一次。</w:t>
      </w:r>
    </w:p>
    <w:p w14:paraId="3A375DD5">
      <w:pPr>
        <w:spacing w:line="480" w:lineRule="exact"/>
        <w:ind w:firstLine="566" w:firstLineChars="200"/>
        <w:rPr>
          <w:rFonts w:hint="eastAsia" w:ascii="华文仿宋" w:hAnsi="华文仿宋" w:cs="华文仿宋"/>
          <w:color w:val="auto"/>
        </w:rPr>
      </w:pPr>
      <w:r>
        <w:rPr>
          <w:rFonts w:hint="eastAsia" w:ascii="华文仿宋" w:hAnsi="华文仿宋" w:cs="华文仿宋"/>
          <w:color w:val="auto"/>
          <w:lang w:eastAsia="zh-CN"/>
        </w:rPr>
        <w:t>（</w:t>
      </w:r>
      <w:r>
        <w:rPr>
          <w:rFonts w:hint="eastAsia" w:ascii="华文仿宋" w:hAnsi="华文仿宋" w:cs="华文仿宋"/>
          <w:color w:val="auto"/>
          <w:lang w:val="en-US" w:eastAsia="zh-CN"/>
        </w:rPr>
        <w:t>3</w:t>
      </w:r>
      <w:r>
        <w:rPr>
          <w:rFonts w:hint="eastAsia" w:ascii="华文仿宋" w:hAnsi="华文仿宋" w:cs="华文仿宋"/>
          <w:color w:val="auto"/>
          <w:lang w:eastAsia="zh-CN"/>
        </w:rPr>
        <w:t>）</w:t>
      </w:r>
      <w:r>
        <w:rPr>
          <w:rFonts w:hint="eastAsia" w:ascii="华文仿宋" w:hAnsi="华文仿宋" w:cs="华文仿宋"/>
          <w:color w:val="auto"/>
        </w:rPr>
        <w:t xml:space="preserve">草本类：每季度施肥一次，每667㎡施尿素混复合肥10千克，采用撒施及水肥等，施后三小时内浇水一次，水渗透深度10厘米以上，及时防治病虫害，每周剪除残花一次、清除杂草一次，及时剪除枯枝、黄枝。 </w:t>
      </w:r>
    </w:p>
    <w:p w14:paraId="5D5E5201">
      <w:pPr>
        <w:spacing w:line="480" w:lineRule="exact"/>
        <w:ind w:firstLine="566" w:firstLineChars="200"/>
        <w:rPr>
          <w:rFonts w:hint="eastAsia" w:ascii="华文仿宋" w:hAnsi="华文仿宋" w:cs="华文仿宋"/>
          <w:color w:val="auto"/>
        </w:rPr>
      </w:pPr>
      <w:r>
        <w:rPr>
          <w:rFonts w:hint="eastAsia" w:ascii="华文仿宋" w:hAnsi="华文仿宋" w:cs="华文仿宋"/>
          <w:color w:val="auto"/>
          <w:lang w:eastAsia="zh-CN"/>
        </w:rPr>
        <w:t>（</w:t>
      </w:r>
      <w:r>
        <w:rPr>
          <w:rFonts w:hint="eastAsia" w:ascii="华文仿宋" w:hAnsi="华文仿宋" w:cs="华文仿宋"/>
          <w:color w:val="auto"/>
          <w:lang w:val="en-US" w:eastAsia="zh-CN"/>
        </w:rPr>
        <w:t>4</w:t>
      </w:r>
      <w:r>
        <w:rPr>
          <w:rFonts w:hint="eastAsia" w:ascii="华文仿宋" w:hAnsi="华文仿宋" w:cs="华文仿宋"/>
          <w:color w:val="auto"/>
          <w:lang w:eastAsia="zh-CN"/>
        </w:rPr>
        <w:t>）</w:t>
      </w:r>
      <w:r>
        <w:rPr>
          <w:rFonts w:hint="eastAsia" w:ascii="华文仿宋" w:hAnsi="华文仿宋" w:cs="华文仿宋"/>
          <w:color w:val="auto"/>
        </w:rPr>
        <w:t xml:space="preserve">草坪：每季度施肥一次，每667㎡施尿素混复合肥10千克，施肥均匀、浇水透彻，水渗透深度5厘米以上，及时防治病虫，覆盖率达98%以上，每月修剪1-2次。 </w:t>
      </w:r>
    </w:p>
    <w:p w14:paraId="713075B2">
      <w:pPr>
        <w:spacing w:line="480" w:lineRule="exact"/>
        <w:ind w:firstLine="566" w:firstLineChars="200"/>
        <w:rPr>
          <w:rFonts w:hint="eastAsia" w:ascii="华文仿宋" w:hAnsi="华文仿宋" w:cs="华文仿宋"/>
          <w:color w:val="auto"/>
        </w:rPr>
      </w:pPr>
      <w:r>
        <w:rPr>
          <w:rFonts w:hint="eastAsia" w:ascii="华文仿宋" w:hAnsi="华文仿宋" w:cs="华文仿宋"/>
          <w:color w:val="auto"/>
          <w:lang w:val="en-US" w:eastAsia="zh-CN"/>
        </w:rPr>
        <w:t>3.</w:t>
      </w:r>
      <w:r>
        <w:rPr>
          <w:rFonts w:hint="eastAsia" w:ascii="华文仿宋" w:hAnsi="华文仿宋" w:cs="华文仿宋"/>
          <w:color w:val="auto"/>
        </w:rPr>
        <w:t>一年养护工作具体安排</w:t>
      </w:r>
    </w:p>
    <w:p w14:paraId="600DF282">
      <w:pPr>
        <w:spacing w:line="480" w:lineRule="exact"/>
        <w:ind w:firstLine="566" w:firstLineChars="200"/>
        <w:rPr>
          <w:rFonts w:hint="eastAsia" w:ascii="华文仿宋" w:hAnsi="华文仿宋" w:cs="华文仿宋"/>
          <w:color w:val="auto"/>
        </w:rPr>
      </w:pPr>
      <w:r>
        <w:rPr>
          <w:rFonts w:hint="eastAsia" w:ascii="华文仿宋" w:hAnsi="华文仿宋" w:cs="华文仿宋"/>
          <w:color w:val="auto"/>
        </w:rPr>
        <w:t>一月份：全年中气温最低的月份，露地树木处于休眠状态。</w:t>
      </w:r>
    </w:p>
    <w:p w14:paraId="377A41C4">
      <w:pPr>
        <w:spacing w:line="480" w:lineRule="exact"/>
        <w:ind w:firstLine="566" w:firstLineChars="200"/>
        <w:rPr>
          <w:rFonts w:hint="eastAsia" w:ascii="华文仿宋" w:hAnsi="华文仿宋" w:cs="华文仿宋"/>
          <w:color w:val="auto"/>
        </w:rPr>
      </w:pPr>
      <w:r>
        <w:rPr>
          <w:rFonts w:hint="eastAsia" w:ascii="华文仿宋" w:hAnsi="华文仿宋" w:cs="华文仿宋"/>
          <w:color w:val="auto"/>
        </w:rPr>
        <w:t>（1）冬季修剪：全面展开对落叶树木的整形修剪作业；大小乔木上的枯枝、伤残枝、病虫枝及妨碍架空线和建筑物的枝杈进行修剪。</w:t>
      </w:r>
    </w:p>
    <w:p w14:paraId="5CCEB996">
      <w:pPr>
        <w:spacing w:line="480" w:lineRule="exact"/>
        <w:ind w:firstLine="566" w:firstLineChars="200"/>
        <w:rPr>
          <w:rFonts w:hint="eastAsia" w:ascii="华文仿宋" w:hAnsi="华文仿宋" w:cs="华文仿宋"/>
          <w:color w:val="auto"/>
        </w:rPr>
      </w:pPr>
      <w:r>
        <w:rPr>
          <w:rFonts w:hint="eastAsia" w:ascii="华文仿宋" w:hAnsi="华文仿宋" w:cs="华文仿宋"/>
          <w:color w:val="auto"/>
        </w:rPr>
        <w:t>（2）行道树检查：及时检查行道树绑扎、立桩情况，发现松绑、铅丝嵌皮、摇桩等情况时立即整改。</w:t>
      </w:r>
    </w:p>
    <w:p w14:paraId="1831828F">
      <w:pPr>
        <w:spacing w:line="480" w:lineRule="exact"/>
        <w:ind w:firstLine="566" w:firstLineChars="200"/>
        <w:rPr>
          <w:rFonts w:hint="eastAsia" w:ascii="华文仿宋" w:hAnsi="华文仿宋" w:cs="华文仿宋"/>
          <w:color w:val="auto"/>
        </w:rPr>
      </w:pPr>
      <w:r>
        <w:rPr>
          <w:rFonts w:hint="eastAsia" w:ascii="华文仿宋" w:hAnsi="华文仿宋" w:cs="华文仿宋"/>
          <w:color w:val="auto"/>
        </w:rPr>
        <w:t>（3）防治害虫：冬季是消灭园林害虫的有利季节。可在树下疏松的土中挖集刺蛾的虫蛹、虫茧，集中烧死。1月中旬的时候，蚧壳虫类开始活动，但这时候行动迟缓，我们可以采取刮除树干上的幼虫的方法。在冬季防治害虫，往往有事半功倍的效果。</w:t>
      </w:r>
    </w:p>
    <w:p w14:paraId="40EA9504">
      <w:pPr>
        <w:spacing w:line="480" w:lineRule="exact"/>
        <w:ind w:firstLine="566" w:firstLineChars="200"/>
        <w:rPr>
          <w:rFonts w:hint="eastAsia" w:ascii="华文仿宋" w:hAnsi="华文仿宋" w:cs="华文仿宋"/>
          <w:color w:val="auto"/>
        </w:rPr>
      </w:pPr>
      <w:r>
        <w:rPr>
          <w:rFonts w:hint="eastAsia" w:ascii="华文仿宋" w:hAnsi="华文仿宋" w:cs="华文仿宋"/>
          <w:color w:val="auto"/>
        </w:rPr>
        <w:t>二月份：气温较上月有所回升,树木仍处于休眠状态。</w:t>
      </w:r>
    </w:p>
    <w:p w14:paraId="72B421CC">
      <w:pPr>
        <w:spacing w:line="480" w:lineRule="exact"/>
        <w:ind w:firstLine="566" w:firstLineChars="200"/>
        <w:rPr>
          <w:rFonts w:hint="eastAsia" w:ascii="华文仿宋" w:hAnsi="华文仿宋" w:cs="华文仿宋"/>
          <w:color w:val="auto"/>
        </w:rPr>
      </w:pPr>
      <w:r>
        <w:rPr>
          <w:rFonts w:hint="eastAsia" w:ascii="华文仿宋" w:hAnsi="华文仿宋" w:cs="华文仿宋"/>
          <w:color w:val="auto"/>
        </w:rPr>
        <w:t>（1）养护基本与1月份相同。</w:t>
      </w:r>
    </w:p>
    <w:p w14:paraId="36215DD2">
      <w:pPr>
        <w:spacing w:line="480" w:lineRule="exact"/>
        <w:ind w:firstLine="566" w:firstLineChars="200"/>
        <w:rPr>
          <w:rFonts w:hint="eastAsia" w:ascii="华文仿宋" w:hAnsi="华文仿宋" w:cs="华文仿宋"/>
          <w:color w:val="auto"/>
        </w:rPr>
      </w:pPr>
      <w:r>
        <w:rPr>
          <w:rFonts w:hint="eastAsia" w:ascii="华文仿宋" w:hAnsi="华文仿宋" w:cs="华文仿宋"/>
          <w:color w:val="auto"/>
        </w:rPr>
        <w:t>（2）修剪：继续对大小乔木的枯枝、病枝进行修剪。月底以前，把各种树木修剪完。</w:t>
      </w:r>
    </w:p>
    <w:p w14:paraId="24C0348F">
      <w:pPr>
        <w:spacing w:line="480" w:lineRule="exact"/>
        <w:ind w:firstLine="566" w:firstLineChars="200"/>
        <w:rPr>
          <w:rFonts w:hint="eastAsia" w:ascii="华文仿宋" w:hAnsi="华文仿宋" w:cs="华文仿宋"/>
          <w:color w:val="auto"/>
        </w:rPr>
      </w:pPr>
      <w:r>
        <w:rPr>
          <w:rFonts w:hint="eastAsia" w:ascii="华文仿宋" w:hAnsi="华文仿宋" w:cs="华文仿宋"/>
          <w:color w:val="auto"/>
        </w:rPr>
        <w:t>（3）防治害虫：继续以防刺蛾和蚧壳虫为主。</w:t>
      </w:r>
    </w:p>
    <w:p w14:paraId="73A386CF">
      <w:pPr>
        <w:spacing w:line="480" w:lineRule="exact"/>
        <w:ind w:firstLine="566" w:firstLineChars="200"/>
        <w:rPr>
          <w:rFonts w:hint="eastAsia" w:ascii="华文仿宋" w:hAnsi="华文仿宋" w:cs="华文仿宋"/>
          <w:color w:val="auto"/>
        </w:rPr>
      </w:pPr>
      <w:r>
        <w:rPr>
          <w:rFonts w:hint="eastAsia" w:ascii="华文仿宋" w:hAnsi="华文仿宋" w:cs="华文仿宋"/>
          <w:color w:val="auto"/>
        </w:rPr>
        <w:t>三月份：气温继续上升，中旬以后，树木开始萌芽，下旬有些树木（如碧桃）开花。</w:t>
      </w:r>
    </w:p>
    <w:p w14:paraId="4CE1DDA6">
      <w:pPr>
        <w:spacing w:line="480" w:lineRule="exact"/>
        <w:ind w:firstLine="566" w:firstLineChars="200"/>
        <w:rPr>
          <w:rFonts w:hint="eastAsia" w:ascii="华文仿宋" w:hAnsi="华文仿宋" w:cs="华文仿宋"/>
          <w:color w:val="auto"/>
        </w:rPr>
      </w:pPr>
      <w:r>
        <w:rPr>
          <w:rFonts w:hint="eastAsia" w:ascii="华文仿宋" w:hAnsi="华文仿宋" w:cs="华文仿宋"/>
          <w:color w:val="auto"/>
        </w:rPr>
        <w:t>（1）春灌及解冻水：因春季干旱多风，蒸发量大，为防止春旱，对绿地等应及时浇水。三月份中旬开始浇解冻水,及时化去地底冻土,此时浇水必须浇足,浇透。</w:t>
      </w:r>
    </w:p>
    <w:p w14:paraId="61C65266">
      <w:pPr>
        <w:spacing w:line="480" w:lineRule="exact"/>
        <w:ind w:firstLine="566" w:firstLineChars="200"/>
        <w:rPr>
          <w:rFonts w:hint="eastAsia" w:ascii="华文仿宋" w:hAnsi="华文仿宋" w:cs="华文仿宋"/>
          <w:color w:val="auto"/>
        </w:rPr>
      </w:pPr>
      <w:r>
        <w:rPr>
          <w:rFonts w:hint="eastAsia" w:ascii="华文仿宋" w:hAnsi="华文仿宋" w:cs="华文仿宋"/>
          <w:color w:val="auto"/>
        </w:rPr>
        <w:t>（2）施肥：土壤解冻后，对植物施基肥并灌水。</w:t>
      </w:r>
    </w:p>
    <w:p w14:paraId="1979E713">
      <w:pPr>
        <w:spacing w:line="480" w:lineRule="exact"/>
        <w:ind w:firstLine="566" w:firstLineChars="200"/>
        <w:rPr>
          <w:rFonts w:hint="eastAsia" w:ascii="华文仿宋" w:hAnsi="华文仿宋" w:cs="华文仿宋"/>
          <w:color w:val="auto"/>
        </w:rPr>
      </w:pPr>
      <w:r>
        <w:rPr>
          <w:rFonts w:hint="eastAsia" w:ascii="华文仿宋" w:hAnsi="华文仿宋" w:cs="华文仿宋"/>
          <w:color w:val="auto"/>
        </w:rPr>
        <w:t>（3）防治病虫害：本月是防治病虫害的关键时刻。防治刺蛾可以继续采用挖蛹方法。</w:t>
      </w:r>
    </w:p>
    <w:p w14:paraId="7A17FAE1">
      <w:pPr>
        <w:spacing w:line="480" w:lineRule="exact"/>
        <w:ind w:firstLine="566" w:firstLineChars="200"/>
        <w:rPr>
          <w:rFonts w:hint="eastAsia" w:ascii="华文仿宋" w:hAnsi="华文仿宋" w:cs="华文仿宋"/>
          <w:color w:val="auto"/>
        </w:rPr>
      </w:pPr>
      <w:r>
        <w:rPr>
          <w:rFonts w:hint="eastAsia" w:ascii="华文仿宋" w:hAnsi="华文仿宋" w:cs="华文仿宋"/>
          <w:color w:val="auto"/>
        </w:rPr>
        <w:t>（4）补植、更换死亡树木、草坪。</w:t>
      </w:r>
    </w:p>
    <w:p w14:paraId="648F3C9F">
      <w:pPr>
        <w:spacing w:line="480" w:lineRule="exact"/>
        <w:ind w:firstLine="566" w:firstLineChars="200"/>
        <w:rPr>
          <w:rFonts w:hint="eastAsia" w:ascii="华文仿宋" w:hAnsi="华文仿宋" w:cs="华文仿宋"/>
          <w:color w:val="auto"/>
        </w:rPr>
      </w:pPr>
      <w:r>
        <w:rPr>
          <w:rFonts w:hint="eastAsia" w:ascii="华文仿宋" w:hAnsi="华文仿宋" w:cs="华文仿宋"/>
          <w:color w:val="auto"/>
        </w:rPr>
        <w:t>四月份：气温继续上升，树木均萌芽开花或展叶开始进入生长旺盛期。</w:t>
      </w:r>
    </w:p>
    <w:p w14:paraId="2E97B5B7">
      <w:pPr>
        <w:spacing w:line="480" w:lineRule="exact"/>
        <w:ind w:firstLine="566" w:firstLineChars="200"/>
        <w:rPr>
          <w:rFonts w:hint="eastAsia" w:ascii="华文仿宋" w:hAnsi="华文仿宋" w:cs="华文仿宋"/>
          <w:color w:val="auto"/>
        </w:rPr>
      </w:pPr>
      <w:r>
        <w:rPr>
          <w:rFonts w:hint="eastAsia" w:ascii="华文仿宋" w:hAnsi="华文仿宋" w:cs="华文仿宋"/>
          <w:color w:val="auto"/>
        </w:rPr>
        <w:t>（1）灌水：继续对养护绿地进行及时的浇水。</w:t>
      </w:r>
    </w:p>
    <w:p w14:paraId="5BFA2063">
      <w:pPr>
        <w:spacing w:line="480" w:lineRule="exact"/>
        <w:ind w:firstLine="566" w:firstLineChars="200"/>
        <w:rPr>
          <w:rFonts w:hint="eastAsia" w:ascii="华文仿宋" w:hAnsi="华文仿宋" w:cs="华文仿宋"/>
          <w:color w:val="auto"/>
        </w:rPr>
      </w:pPr>
      <w:r>
        <w:rPr>
          <w:rFonts w:hint="eastAsia" w:ascii="华文仿宋" w:hAnsi="华文仿宋" w:cs="华文仿宋"/>
          <w:color w:val="auto"/>
        </w:rPr>
        <w:t>（2）施肥：对草坪、灌木结合灌水，追施速效氮肥，或者根据需要进行叶面喷施。</w:t>
      </w:r>
    </w:p>
    <w:p w14:paraId="1618E46D">
      <w:pPr>
        <w:spacing w:line="480" w:lineRule="exact"/>
        <w:ind w:firstLine="566" w:firstLineChars="200"/>
        <w:rPr>
          <w:rFonts w:hint="eastAsia" w:ascii="华文仿宋" w:hAnsi="华文仿宋" w:cs="华文仿宋"/>
          <w:color w:val="auto"/>
        </w:rPr>
      </w:pPr>
      <w:r>
        <w:rPr>
          <w:rFonts w:hint="eastAsia" w:ascii="华文仿宋" w:hAnsi="华文仿宋" w:cs="华文仿宋"/>
          <w:color w:val="auto"/>
        </w:rPr>
        <w:t>（3）修剪：剪除冬、春季干枯的枝条，可以修剪常绿绿篱。</w:t>
      </w:r>
    </w:p>
    <w:p w14:paraId="57DAA229">
      <w:pPr>
        <w:spacing w:line="480" w:lineRule="exact"/>
        <w:ind w:firstLine="566" w:firstLineChars="200"/>
        <w:rPr>
          <w:rFonts w:hint="eastAsia" w:ascii="华文仿宋" w:hAnsi="华文仿宋" w:cs="华文仿宋"/>
          <w:color w:val="auto"/>
        </w:rPr>
      </w:pPr>
      <w:r>
        <w:rPr>
          <w:rFonts w:hint="eastAsia" w:ascii="华文仿宋" w:hAnsi="华文仿宋" w:cs="华文仿宋"/>
          <w:color w:val="auto"/>
        </w:rPr>
        <w:t>（4）防治病虫害：①蚧壳虫在第二次蜕皮后陆续转移到树皮裂缝内、树洞、树干基部、墙角等处分泌白色蜡质薄茧化蛹。可以用硬竹扫帚扫除，然后集中深埋或浸泡。或者采用喷洒杀螟松等农药的方法。②天牛开始活动了，可以采用嫁接刀或自制钢丝挑除幼虫，但是伤口要做到越小越好。③其它病虫害的防治工作。</w:t>
      </w:r>
    </w:p>
    <w:p w14:paraId="22B33D31">
      <w:pPr>
        <w:spacing w:line="480" w:lineRule="exact"/>
        <w:ind w:firstLine="566" w:firstLineChars="200"/>
        <w:rPr>
          <w:rFonts w:hint="eastAsia" w:ascii="华文仿宋" w:hAnsi="华文仿宋" w:cs="华文仿宋"/>
          <w:color w:val="auto"/>
        </w:rPr>
      </w:pPr>
      <w:r>
        <w:rPr>
          <w:rFonts w:hint="eastAsia" w:ascii="华文仿宋" w:hAnsi="华文仿宋" w:cs="华文仿宋"/>
          <w:color w:val="auto"/>
        </w:rPr>
        <w:t>（5）绿地内养护：注意大型绿地内的杂草及攀援植物的挑除。</w:t>
      </w:r>
    </w:p>
    <w:p w14:paraId="66D49DC2">
      <w:pPr>
        <w:spacing w:line="480" w:lineRule="exact"/>
        <w:ind w:firstLine="566" w:firstLineChars="200"/>
        <w:rPr>
          <w:rFonts w:hint="eastAsia" w:ascii="华文仿宋" w:hAnsi="华文仿宋" w:cs="华文仿宋"/>
          <w:color w:val="auto"/>
        </w:rPr>
      </w:pPr>
      <w:r>
        <w:rPr>
          <w:rFonts w:hint="eastAsia" w:ascii="华文仿宋" w:hAnsi="华文仿宋" w:cs="华文仿宋"/>
          <w:color w:val="auto"/>
        </w:rPr>
        <w:t>（6）补植、更换死亡树木、草坪。</w:t>
      </w:r>
    </w:p>
    <w:p w14:paraId="3BDBFC27">
      <w:pPr>
        <w:spacing w:line="480" w:lineRule="exact"/>
        <w:ind w:firstLine="566" w:firstLineChars="200"/>
        <w:rPr>
          <w:rFonts w:hint="eastAsia" w:ascii="华文仿宋" w:hAnsi="华文仿宋" w:cs="华文仿宋"/>
          <w:color w:val="auto"/>
        </w:rPr>
      </w:pPr>
      <w:r>
        <w:rPr>
          <w:rFonts w:hint="eastAsia" w:ascii="华文仿宋" w:hAnsi="华文仿宋" w:cs="华文仿宋"/>
          <w:color w:val="auto"/>
        </w:rPr>
        <w:t>五月份：气温急骤上升，树木生长迅速。</w:t>
      </w:r>
    </w:p>
    <w:p w14:paraId="1210ECD2">
      <w:pPr>
        <w:spacing w:line="480" w:lineRule="exact"/>
        <w:ind w:firstLine="566" w:firstLineChars="200"/>
        <w:rPr>
          <w:rFonts w:hint="eastAsia" w:ascii="华文仿宋" w:hAnsi="华文仿宋" w:cs="华文仿宋"/>
          <w:color w:val="auto"/>
        </w:rPr>
      </w:pPr>
      <w:r>
        <w:rPr>
          <w:rFonts w:hint="eastAsia" w:ascii="华文仿宋" w:hAnsi="华文仿宋" w:cs="华文仿宋"/>
          <w:color w:val="auto"/>
        </w:rPr>
        <w:t>（1）浇水：树木展叶盛期，需水量很大，应适时浇水。</w:t>
      </w:r>
    </w:p>
    <w:p w14:paraId="54C281A1">
      <w:pPr>
        <w:spacing w:line="480" w:lineRule="exact"/>
        <w:ind w:firstLine="566" w:firstLineChars="200"/>
        <w:rPr>
          <w:rFonts w:hint="eastAsia" w:ascii="华文仿宋" w:hAnsi="华文仿宋" w:cs="华文仿宋"/>
          <w:color w:val="auto"/>
        </w:rPr>
      </w:pPr>
      <w:r>
        <w:rPr>
          <w:rFonts w:hint="eastAsia" w:ascii="华文仿宋" w:hAnsi="华文仿宋" w:cs="华文仿宋"/>
          <w:color w:val="auto"/>
        </w:rPr>
        <w:t>（2）修剪：修剪残花。行道树进行第一次的抹芽修剪。</w:t>
      </w:r>
    </w:p>
    <w:p w14:paraId="4B79F533">
      <w:pPr>
        <w:spacing w:line="480" w:lineRule="exact"/>
        <w:ind w:firstLine="566" w:firstLineChars="200"/>
        <w:rPr>
          <w:rFonts w:hint="eastAsia" w:ascii="华文仿宋" w:hAnsi="华文仿宋" w:cs="华文仿宋"/>
          <w:color w:val="auto"/>
        </w:rPr>
      </w:pPr>
      <w:r>
        <w:rPr>
          <w:rFonts w:hint="eastAsia" w:ascii="华文仿宋" w:hAnsi="华文仿宋" w:cs="华文仿宋"/>
          <w:color w:val="auto"/>
        </w:rPr>
        <w:t>（3）防治病虫害：继续以捕捉天牛为主。刺蛾第一代孵化，但尚未达到危害程度，根据养护区内的实际情况做出相应措施。由蚧壳虫、蚜虫等引起的煤污病也进入了盛发期，在5月中、下旬喷洒10—20倍的松脂合剂及50%三硫磷乳剂1500—2000倍液以防治病害及杀死虫害。</w:t>
      </w:r>
    </w:p>
    <w:p w14:paraId="778B7D55">
      <w:pPr>
        <w:spacing w:line="480" w:lineRule="exact"/>
        <w:ind w:firstLine="566" w:firstLineChars="200"/>
        <w:rPr>
          <w:rFonts w:hint="eastAsia" w:ascii="华文仿宋" w:hAnsi="华文仿宋" w:cs="华文仿宋"/>
          <w:color w:val="auto"/>
        </w:rPr>
      </w:pPr>
      <w:r>
        <w:rPr>
          <w:rFonts w:hint="eastAsia" w:ascii="华文仿宋" w:hAnsi="华文仿宋" w:cs="华文仿宋"/>
          <w:color w:val="auto"/>
        </w:rPr>
        <w:t>六月份：气温高</w:t>
      </w:r>
    </w:p>
    <w:p w14:paraId="018DE3F7">
      <w:pPr>
        <w:spacing w:line="480" w:lineRule="exact"/>
        <w:ind w:firstLine="566" w:firstLineChars="200"/>
        <w:rPr>
          <w:rFonts w:hint="eastAsia" w:ascii="华文仿宋" w:hAnsi="华文仿宋" w:cs="华文仿宋"/>
          <w:color w:val="auto"/>
        </w:rPr>
      </w:pPr>
      <w:r>
        <w:rPr>
          <w:rFonts w:hint="eastAsia" w:ascii="华文仿宋" w:hAnsi="华文仿宋" w:cs="华文仿宋"/>
          <w:color w:val="auto"/>
        </w:rPr>
        <w:t>（1）浇水：植物需水量大，要及时浇水，不能“看天吃饭”。</w:t>
      </w:r>
    </w:p>
    <w:p w14:paraId="05DF0776">
      <w:pPr>
        <w:spacing w:line="480" w:lineRule="exact"/>
        <w:ind w:firstLine="566" w:firstLineChars="200"/>
        <w:rPr>
          <w:rFonts w:hint="eastAsia" w:ascii="华文仿宋" w:hAnsi="华文仿宋" w:cs="华文仿宋"/>
          <w:color w:val="auto"/>
        </w:rPr>
      </w:pPr>
      <w:r>
        <w:rPr>
          <w:rFonts w:hint="eastAsia" w:ascii="华文仿宋" w:hAnsi="华文仿宋" w:cs="华文仿宋"/>
          <w:color w:val="auto"/>
        </w:rPr>
        <w:t>（2）施肥：结合松土除草、施肥、浇水以达到最好的效果。</w:t>
      </w:r>
    </w:p>
    <w:p w14:paraId="71DF1E65">
      <w:pPr>
        <w:spacing w:line="480" w:lineRule="exact"/>
        <w:ind w:firstLine="566" w:firstLineChars="200"/>
        <w:rPr>
          <w:rFonts w:hint="eastAsia" w:ascii="华文仿宋" w:hAnsi="华文仿宋" w:cs="华文仿宋"/>
          <w:color w:val="auto"/>
        </w:rPr>
      </w:pPr>
      <w:r>
        <w:rPr>
          <w:rFonts w:hint="eastAsia" w:ascii="华文仿宋" w:hAnsi="华文仿宋" w:cs="华文仿宋"/>
          <w:color w:val="auto"/>
        </w:rPr>
        <w:t>（3）修剪：继续对行道树进行抹芽除蘖工作。对绿篱、球类及部分花灌木实施修剪。</w:t>
      </w:r>
    </w:p>
    <w:p w14:paraId="3313255E">
      <w:pPr>
        <w:spacing w:line="480" w:lineRule="exact"/>
        <w:ind w:firstLine="566" w:firstLineChars="200"/>
        <w:rPr>
          <w:rFonts w:hint="eastAsia" w:ascii="华文仿宋" w:hAnsi="华文仿宋" w:cs="华文仿宋"/>
          <w:color w:val="auto"/>
        </w:rPr>
      </w:pPr>
      <w:r>
        <w:rPr>
          <w:rFonts w:hint="eastAsia" w:ascii="华文仿宋" w:hAnsi="华文仿宋" w:cs="华文仿宋"/>
          <w:color w:val="auto"/>
        </w:rPr>
        <w:t>（4）排水工作：有大雨天气时要注意低洼处的排水工作。</w:t>
      </w:r>
    </w:p>
    <w:p w14:paraId="218C328C">
      <w:pPr>
        <w:spacing w:line="480" w:lineRule="exact"/>
        <w:ind w:firstLine="566" w:firstLineChars="200"/>
        <w:rPr>
          <w:rFonts w:hint="eastAsia" w:ascii="华文仿宋" w:hAnsi="华文仿宋" w:cs="华文仿宋"/>
          <w:color w:val="auto"/>
        </w:rPr>
      </w:pPr>
      <w:r>
        <w:rPr>
          <w:rFonts w:hint="eastAsia" w:ascii="华文仿宋" w:hAnsi="华文仿宋" w:cs="华文仿宋"/>
          <w:color w:val="auto"/>
        </w:rPr>
        <w:t>（5）防治病虫害：六月中、下旬刺蛾进入孵化盛期，应及时采取措施，现基本采用50%杀螟松乳剂500—800倍液喷洒。（或用复合BT乳剂进行喷施）继续对天牛进行人工捕捉。月季白粉病也要及时防治。</w:t>
      </w:r>
    </w:p>
    <w:p w14:paraId="05C23B7F">
      <w:pPr>
        <w:spacing w:line="480" w:lineRule="exact"/>
        <w:ind w:firstLine="566" w:firstLineChars="200"/>
        <w:rPr>
          <w:rFonts w:hint="eastAsia" w:ascii="华文仿宋" w:hAnsi="华文仿宋" w:cs="华文仿宋"/>
          <w:color w:val="auto"/>
        </w:rPr>
      </w:pPr>
      <w:r>
        <w:rPr>
          <w:rFonts w:hint="eastAsia" w:ascii="华文仿宋" w:hAnsi="华文仿宋" w:cs="华文仿宋"/>
          <w:color w:val="auto"/>
        </w:rPr>
        <w:t>（6）做好树木防汛前的检查工作，对松动、倾斜的树木进行扶正、加固及重新绑扎。</w:t>
      </w:r>
    </w:p>
    <w:p w14:paraId="3C1516AF">
      <w:pPr>
        <w:spacing w:line="480" w:lineRule="exact"/>
        <w:ind w:firstLine="566" w:firstLineChars="200"/>
        <w:rPr>
          <w:rFonts w:hint="eastAsia" w:ascii="华文仿宋" w:hAnsi="华文仿宋" w:cs="华文仿宋"/>
          <w:color w:val="auto"/>
        </w:rPr>
      </w:pPr>
      <w:r>
        <w:rPr>
          <w:rFonts w:hint="eastAsia" w:ascii="华文仿宋" w:hAnsi="华文仿宋" w:cs="华文仿宋"/>
          <w:color w:val="auto"/>
        </w:rPr>
        <w:t>七月份：气温最高，中旬以后会出现雷雨情况。</w:t>
      </w:r>
    </w:p>
    <w:p w14:paraId="1BA1202F">
      <w:pPr>
        <w:spacing w:line="480" w:lineRule="exact"/>
        <w:ind w:firstLine="566" w:firstLineChars="200"/>
        <w:rPr>
          <w:rFonts w:hint="eastAsia" w:ascii="华文仿宋" w:hAnsi="华文仿宋" w:cs="华文仿宋"/>
          <w:color w:val="auto"/>
        </w:rPr>
      </w:pPr>
      <w:r>
        <w:rPr>
          <w:rFonts w:hint="eastAsia" w:ascii="华文仿宋" w:hAnsi="华文仿宋" w:cs="华文仿宋"/>
          <w:color w:val="auto"/>
        </w:rPr>
        <w:t>（1）排涝：大雨过后要及时排涝。</w:t>
      </w:r>
    </w:p>
    <w:p w14:paraId="4249C763">
      <w:pPr>
        <w:spacing w:line="480" w:lineRule="exact"/>
        <w:ind w:firstLine="566" w:firstLineChars="200"/>
        <w:rPr>
          <w:rFonts w:hint="eastAsia" w:ascii="华文仿宋" w:hAnsi="华文仿宋" w:cs="华文仿宋"/>
          <w:color w:val="auto"/>
        </w:rPr>
      </w:pPr>
      <w:r>
        <w:rPr>
          <w:rFonts w:hint="eastAsia" w:ascii="华文仿宋" w:hAnsi="华文仿宋" w:cs="华文仿宋"/>
          <w:color w:val="auto"/>
        </w:rPr>
        <w:t>（2）施追肥：在下雨前干施氮肥等速效肥。</w:t>
      </w:r>
    </w:p>
    <w:p w14:paraId="41AF4684">
      <w:pPr>
        <w:spacing w:line="480" w:lineRule="exact"/>
        <w:ind w:firstLine="566" w:firstLineChars="200"/>
        <w:rPr>
          <w:rFonts w:hint="eastAsia" w:ascii="华文仿宋" w:hAnsi="华文仿宋" w:cs="华文仿宋"/>
          <w:color w:val="auto"/>
        </w:rPr>
      </w:pPr>
      <w:r>
        <w:rPr>
          <w:rFonts w:hint="eastAsia" w:ascii="华文仿宋" w:hAnsi="华文仿宋" w:cs="华文仿宋"/>
          <w:color w:val="auto"/>
        </w:rPr>
        <w:t>（3）行道树：对树桩逐个检查，发现松垮、不稳立即扶正绑紧。事先做好劳力组织、物资材料、工具设备等方面的准备，并随时派人检查，发现险情及时处理。</w:t>
      </w:r>
    </w:p>
    <w:p w14:paraId="194C9622">
      <w:pPr>
        <w:spacing w:line="480" w:lineRule="exact"/>
        <w:ind w:firstLine="566" w:firstLineChars="200"/>
        <w:rPr>
          <w:rFonts w:hint="eastAsia" w:ascii="华文仿宋" w:hAnsi="华文仿宋" w:cs="华文仿宋"/>
          <w:color w:val="auto"/>
        </w:rPr>
      </w:pPr>
      <w:r>
        <w:rPr>
          <w:rFonts w:hint="eastAsia" w:ascii="华文仿宋" w:hAnsi="华文仿宋" w:cs="华文仿宋"/>
          <w:color w:val="auto"/>
        </w:rPr>
        <w:t>（4）防治病虫害：继续对天牛及刺蛾进行防治。防治天牛可以采用50%杀螟松1：50倍液注射，（或果树宝、或园科三号）然后封住洞口，也可达到很好的效果。</w:t>
      </w:r>
    </w:p>
    <w:p w14:paraId="0AE2B375">
      <w:pPr>
        <w:spacing w:line="480" w:lineRule="exact"/>
        <w:ind w:firstLine="566" w:firstLineChars="200"/>
        <w:rPr>
          <w:rFonts w:hint="eastAsia" w:ascii="华文仿宋" w:hAnsi="华文仿宋" w:cs="华文仿宋"/>
          <w:color w:val="auto"/>
        </w:rPr>
      </w:pPr>
      <w:r>
        <w:rPr>
          <w:rFonts w:hint="eastAsia" w:ascii="华文仿宋" w:hAnsi="华文仿宋" w:cs="华文仿宋"/>
          <w:color w:val="auto"/>
        </w:rPr>
        <w:t>八月份：仍为雷雨季</w:t>
      </w:r>
    </w:p>
    <w:p w14:paraId="6A90B766">
      <w:pPr>
        <w:spacing w:line="480" w:lineRule="exact"/>
        <w:ind w:firstLine="566" w:firstLineChars="200"/>
        <w:rPr>
          <w:rFonts w:hint="eastAsia" w:ascii="华文仿宋" w:hAnsi="华文仿宋" w:cs="华文仿宋"/>
          <w:color w:val="auto"/>
        </w:rPr>
      </w:pPr>
      <w:r>
        <w:rPr>
          <w:rFonts w:hint="eastAsia" w:ascii="华文仿宋" w:hAnsi="华文仿宋" w:cs="华文仿宋"/>
          <w:color w:val="auto"/>
        </w:rPr>
        <w:t>（1）排涝：大雨过后，对低洼积水处要及时排涝。</w:t>
      </w:r>
    </w:p>
    <w:p w14:paraId="7C31AEED">
      <w:pPr>
        <w:spacing w:line="480" w:lineRule="exact"/>
        <w:ind w:firstLine="566" w:firstLineChars="200"/>
        <w:rPr>
          <w:rFonts w:hint="eastAsia" w:ascii="华文仿宋" w:hAnsi="华文仿宋" w:cs="华文仿宋"/>
          <w:color w:val="auto"/>
        </w:rPr>
      </w:pPr>
      <w:r>
        <w:rPr>
          <w:rFonts w:hint="eastAsia" w:ascii="华文仿宋" w:hAnsi="华文仿宋" w:cs="华文仿宋"/>
          <w:color w:val="auto"/>
        </w:rPr>
        <w:t>（2）修剪：除一般树木夏修外，要对绿篱进行造型修剪。</w:t>
      </w:r>
    </w:p>
    <w:p w14:paraId="5178C9AD">
      <w:pPr>
        <w:spacing w:line="480" w:lineRule="exact"/>
        <w:ind w:firstLine="566" w:firstLineChars="200"/>
        <w:rPr>
          <w:rFonts w:hint="eastAsia" w:ascii="华文仿宋" w:hAnsi="华文仿宋" w:cs="华文仿宋"/>
          <w:color w:val="auto"/>
        </w:rPr>
      </w:pPr>
      <w:r>
        <w:rPr>
          <w:rFonts w:hint="eastAsia" w:ascii="华文仿宋" w:hAnsi="华文仿宋" w:cs="华文仿宋"/>
          <w:color w:val="auto"/>
        </w:rPr>
        <w:t>（3）中耕除草：杂草生长也旺盛，要及时的除草，并可结合除草进行施肥。</w:t>
      </w:r>
    </w:p>
    <w:p w14:paraId="57E0E267">
      <w:pPr>
        <w:spacing w:line="480" w:lineRule="exact"/>
        <w:ind w:firstLine="566" w:firstLineChars="200"/>
        <w:rPr>
          <w:rFonts w:hint="eastAsia" w:ascii="华文仿宋" w:hAnsi="华文仿宋" w:cs="华文仿宋"/>
          <w:color w:val="auto"/>
        </w:rPr>
      </w:pPr>
      <w:r>
        <w:rPr>
          <w:rFonts w:hint="eastAsia" w:ascii="华文仿宋" w:hAnsi="华文仿宋" w:cs="华文仿宋"/>
          <w:color w:val="auto"/>
        </w:rPr>
        <w:t>（4）防治病虫害：捕捉天牛为主，注意根部的天牛捕捉。蚜虫危害要及时防治。潮湿天气要注意白粉病及腐烂病，要及时采取措施。</w:t>
      </w:r>
    </w:p>
    <w:p w14:paraId="66FF071B">
      <w:pPr>
        <w:spacing w:line="480" w:lineRule="exact"/>
        <w:ind w:firstLine="566" w:firstLineChars="200"/>
        <w:rPr>
          <w:rFonts w:hint="eastAsia" w:ascii="华文仿宋" w:hAnsi="华文仿宋" w:cs="华文仿宋"/>
          <w:color w:val="auto"/>
        </w:rPr>
      </w:pPr>
      <w:r>
        <w:rPr>
          <w:rFonts w:hint="eastAsia" w:ascii="华文仿宋" w:hAnsi="华文仿宋" w:cs="华文仿宋"/>
          <w:color w:val="auto"/>
        </w:rPr>
        <w:t>九月份：气温有所下降。</w:t>
      </w:r>
    </w:p>
    <w:p w14:paraId="211C0153">
      <w:pPr>
        <w:spacing w:line="480" w:lineRule="exact"/>
        <w:ind w:firstLine="566" w:firstLineChars="200"/>
        <w:rPr>
          <w:rFonts w:hint="eastAsia" w:ascii="华文仿宋" w:hAnsi="华文仿宋" w:cs="华文仿宋"/>
          <w:color w:val="auto"/>
        </w:rPr>
      </w:pPr>
      <w:r>
        <w:rPr>
          <w:rFonts w:hint="eastAsia" w:ascii="华文仿宋" w:hAnsi="华文仿宋" w:cs="华文仿宋"/>
          <w:color w:val="auto"/>
        </w:rPr>
        <w:t>（1）修剪：绿篱造型修剪。绿地内除草，及时清理死树，做到树木青枝绿叶，绿地干净整齐。</w:t>
      </w:r>
    </w:p>
    <w:p w14:paraId="310E9F18">
      <w:pPr>
        <w:spacing w:line="480" w:lineRule="exact"/>
        <w:ind w:firstLine="566" w:firstLineChars="200"/>
        <w:rPr>
          <w:rFonts w:hint="eastAsia" w:ascii="华文仿宋" w:hAnsi="华文仿宋" w:cs="华文仿宋"/>
          <w:color w:val="auto"/>
        </w:rPr>
      </w:pPr>
      <w:r>
        <w:rPr>
          <w:rFonts w:hint="eastAsia" w:ascii="华文仿宋" w:hAnsi="华文仿宋" w:cs="华文仿宋"/>
          <w:color w:val="auto"/>
        </w:rPr>
        <w:t>（2）施肥：对一些生长较弱，枝条不够充实的树木，应追施一些磷、钾肥。</w:t>
      </w:r>
    </w:p>
    <w:p w14:paraId="00806F35">
      <w:pPr>
        <w:spacing w:line="480" w:lineRule="exact"/>
        <w:ind w:firstLine="566" w:firstLineChars="200"/>
        <w:rPr>
          <w:rFonts w:hint="eastAsia" w:ascii="华文仿宋" w:hAnsi="华文仿宋" w:cs="华文仿宋"/>
          <w:color w:val="auto"/>
        </w:rPr>
      </w:pPr>
      <w:r>
        <w:rPr>
          <w:rFonts w:hint="eastAsia" w:ascii="华文仿宋" w:hAnsi="华文仿宋" w:cs="华文仿宋"/>
          <w:color w:val="auto"/>
        </w:rPr>
        <w:t>（3）防治病虫害：穿孔病（樱花、桃、李等）为发病高峰，采用500%多菌灵1000倍液防止侵染。天牛开始转向根部危害，注意根部天牛的捕捉。对杨、柳上的木蠹蛾也要及时防治。做好其它病虫害的防治工作。</w:t>
      </w:r>
    </w:p>
    <w:p w14:paraId="3105585E">
      <w:pPr>
        <w:spacing w:line="480" w:lineRule="exact"/>
        <w:ind w:firstLine="566" w:firstLineChars="200"/>
        <w:rPr>
          <w:rFonts w:hint="eastAsia" w:ascii="华文仿宋" w:hAnsi="华文仿宋" w:cs="华文仿宋"/>
          <w:color w:val="auto"/>
        </w:rPr>
      </w:pPr>
      <w:r>
        <w:rPr>
          <w:rFonts w:hint="eastAsia" w:ascii="华文仿宋" w:hAnsi="华文仿宋" w:cs="华文仿宋"/>
          <w:color w:val="auto"/>
        </w:rPr>
        <w:t>十月份：气温下降，十月下旬进入初冬，树木开始落叶，陆续进入休眠期。</w:t>
      </w:r>
    </w:p>
    <w:p w14:paraId="16B86E5B">
      <w:pPr>
        <w:spacing w:line="480" w:lineRule="exact"/>
        <w:ind w:firstLine="566" w:firstLineChars="200"/>
        <w:rPr>
          <w:rFonts w:hint="eastAsia" w:ascii="华文仿宋" w:hAnsi="华文仿宋" w:cs="华文仿宋"/>
          <w:color w:val="auto"/>
        </w:rPr>
      </w:pPr>
      <w:r>
        <w:rPr>
          <w:rFonts w:hint="eastAsia" w:ascii="华文仿宋" w:hAnsi="华文仿宋" w:cs="华文仿宋"/>
          <w:color w:val="auto"/>
        </w:rPr>
        <w:t>（1）绿地养护：及时去除死树，及时浇水。绿地、草坪除杂草工作要做好。</w:t>
      </w:r>
    </w:p>
    <w:p w14:paraId="19071EEA">
      <w:pPr>
        <w:spacing w:line="480" w:lineRule="exact"/>
        <w:ind w:firstLine="566" w:firstLineChars="200"/>
        <w:rPr>
          <w:rFonts w:hint="eastAsia" w:ascii="华文仿宋" w:hAnsi="华文仿宋" w:cs="华文仿宋"/>
          <w:color w:val="auto"/>
        </w:rPr>
      </w:pPr>
      <w:r>
        <w:rPr>
          <w:rFonts w:hint="eastAsia" w:ascii="华文仿宋" w:hAnsi="华文仿宋" w:cs="华文仿宋"/>
          <w:color w:val="auto"/>
        </w:rPr>
        <w:t>（2）防治病虫害：继续捕捉根部天牛。</w:t>
      </w:r>
    </w:p>
    <w:p w14:paraId="38B535D4">
      <w:pPr>
        <w:spacing w:line="480" w:lineRule="exact"/>
        <w:ind w:firstLine="566" w:firstLineChars="200"/>
        <w:rPr>
          <w:rFonts w:hint="eastAsia" w:ascii="华文仿宋" w:hAnsi="华文仿宋" w:cs="华文仿宋"/>
          <w:color w:val="auto"/>
        </w:rPr>
      </w:pPr>
      <w:r>
        <w:rPr>
          <w:rFonts w:hint="eastAsia" w:ascii="华文仿宋" w:hAnsi="华文仿宋" w:cs="华文仿宋"/>
          <w:color w:val="auto"/>
        </w:rPr>
        <w:t>十一月份：土壤开始夜冻日化，进入隆冬季节。</w:t>
      </w:r>
    </w:p>
    <w:p w14:paraId="3530CA7E">
      <w:pPr>
        <w:spacing w:line="480" w:lineRule="exact"/>
        <w:ind w:firstLine="566" w:firstLineChars="200"/>
        <w:rPr>
          <w:rFonts w:hint="eastAsia" w:ascii="华文仿宋" w:hAnsi="华文仿宋" w:cs="华文仿宋"/>
          <w:color w:val="auto"/>
        </w:rPr>
      </w:pPr>
      <w:r>
        <w:rPr>
          <w:rFonts w:hint="eastAsia" w:ascii="华文仿宋" w:hAnsi="华文仿宋" w:cs="华文仿宋"/>
          <w:color w:val="auto"/>
        </w:rPr>
        <w:t>（1）翻土：对绿地土壤翻土，暴露准备越冬的害虫。</w:t>
      </w:r>
    </w:p>
    <w:p w14:paraId="11F14E70">
      <w:pPr>
        <w:spacing w:line="480" w:lineRule="exact"/>
        <w:ind w:firstLine="566" w:firstLineChars="200"/>
        <w:rPr>
          <w:rFonts w:hint="eastAsia" w:ascii="华文仿宋" w:hAnsi="华文仿宋" w:cs="华文仿宋"/>
          <w:color w:val="auto"/>
        </w:rPr>
      </w:pPr>
      <w:r>
        <w:rPr>
          <w:rFonts w:hint="eastAsia" w:ascii="华文仿宋" w:hAnsi="华文仿宋" w:cs="华文仿宋"/>
          <w:color w:val="auto"/>
        </w:rPr>
        <w:t>（2）浇水(浇冻水)：对干、板结的土壤浇水，中旬过后要给绿地再浇一遍大水,必须浇足浇透,特别是大树及耐寒能力较弱的树种。此次俗称冻水。要在封冻前完成。</w:t>
      </w:r>
    </w:p>
    <w:p w14:paraId="249776F2">
      <w:pPr>
        <w:spacing w:line="480" w:lineRule="exact"/>
        <w:ind w:firstLine="566" w:firstLineChars="200"/>
        <w:rPr>
          <w:rFonts w:hint="eastAsia" w:ascii="华文仿宋" w:hAnsi="华文仿宋" w:cs="华文仿宋"/>
          <w:color w:val="auto"/>
        </w:rPr>
      </w:pPr>
      <w:r>
        <w:rPr>
          <w:rFonts w:hint="eastAsia" w:ascii="华文仿宋" w:hAnsi="华文仿宋" w:cs="华文仿宋"/>
          <w:color w:val="auto"/>
        </w:rPr>
        <w:t>（3）病虫害防治各种害虫在下旬准备过冬，防治任务相对较轻。</w:t>
      </w:r>
    </w:p>
    <w:p w14:paraId="1B5777C6">
      <w:pPr>
        <w:spacing w:line="480" w:lineRule="exact"/>
        <w:ind w:firstLine="566" w:firstLineChars="200"/>
        <w:rPr>
          <w:rFonts w:hint="eastAsia" w:ascii="华文仿宋" w:hAnsi="华文仿宋" w:cs="华文仿宋"/>
          <w:color w:val="auto"/>
        </w:rPr>
      </w:pPr>
      <w:r>
        <w:rPr>
          <w:rFonts w:hint="eastAsia" w:ascii="华文仿宋" w:hAnsi="华文仿宋" w:cs="华文仿宋"/>
          <w:color w:val="auto"/>
        </w:rPr>
        <w:t>十二月份：低气温，开始冬季养护工作。</w:t>
      </w:r>
    </w:p>
    <w:p w14:paraId="15672DC2">
      <w:pPr>
        <w:spacing w:line="480" w:lineRule="exact"/>
        <w:ind w:firstLine="566" w:firstLineChars="200"/>
        <w:rPr>
          <w:rFonts w:hint="eastAsia" w:ascii="华文仿宋" w:hAnsi="华文仿宋" w:cs="华文仿宋"/>
          <w:color w:val="auto"/>
        </w:rPr>
      </w:pPr>
      <w:r>
        <w:rPr>
          <w:rFonts w:hint="eastAsia" w:ascii="华文仿宋" w:hAnsi="华文仿宋" w:cs="华文仿宋"/>
          <w:color w:val="auto"/>
        </w:rPr>
        <w:t>（1）冬季修剪：对些常绿乔木、灌木进行修剪。</w:t>
      </w:r>
    </w:p>
    <w:p w14:paraId="5B535914">
      <w:pPr>
        <w:spacing w:line="480" w:lineRule="exact"/>
        <w:ind w:firstLine="566" w:firstLineChars="200"/>
        <w:rPr>
          <w:rFonts w:hint="eastAsia" w:ascii="华文仿宋" w:hAnsi="华文仿宋" w:cs="华文仿宋"/>
          <w:color w:val="auto"/>
        </w:rPr>
      </w:pPr>
      <w:r>
        <w:rPr>
          <w:rFonts w:hint="eastAsia" w:ascii="华文仿宋" w:hAnsi="华文仿宋" w:cs="华文仿宋"/>
          <w:color w:val="auto"/>
        </w:rPr>
        <w:t>（2）消灭越冬病虫害。</w:t>
      </w:r>
    </w:p>
    <w:p w14:paraId="7258CCE2">
      <w:pPr>
        <w:spacing w:line="480" w:lineRule="exact"/>
        <w:ind w:firstLine="566" w:firstLineChars="200"/>
        <w:rPr>
          <w:rFonts w:hint="eastAsia" w:ascii="仿宋_GB2312" w:hAnsi="宋体" w:eastAsia="仿宋_GB2312" w:cs="Times New Roman"/>
          <w:color w:val="auto"/>
          <w:sz w:val="32"/>
          <w:szCs w:val="32"/>
        </w:rPr>
      </w:pPr>
      <w:r>
        <w:rPr>
          <w:rFonts w:hint="eastAsia" w:ascii="华文仿宋" w:hAnsi="华文仿宋" w:cs="华文仿宋"/>
          <w:color w:val="auto"/>
        </w:rPr>
        <w:t>（3）做好明年调整工作准备。</w:t>
      </w:r>
    </w:p>
    <w:p w14:paraId="655533C9">
      <w:pPr>
        <w:spacing w:line="480" w:lineRule="exact"/>
        <w:ind w:firstLine="566" w:firstLineChars="200"/>
        <w:rPr>
          <w:rFonts w:hint="eastAsia" w:ascii="华文仿宋" w:hAnsi="华文仿宋" w:cs="华文仿宋"/>
          <w:color w:val="auto"/>
          <w:lang w:val="zh-CN" w:eastAsia="zh-CN"/>
        </w:rPr>
      </w:pPr>
      <w:r>
        <w:rPr>
          <w:rFonts w:hint="eastAsia" w:ascii="华文仿宋" w:hAnsi="华文仿宋" w:cs="华文仿宋"/>
          <w:color w:val="auto"/>
          <w:lang w:val="en-US" w:eastAsia="zh-CN"/>
        </w:rPr>
        <w:t>二、</w:t>
      </w:r>
      <w:r>
        <w:rPr>
          <w:rFonts w:hint="eastAsia" w:ascii="华文仿宋" w:hAnsi="华文仿宋" w:cs="华文仿宋"/>
          <w:color w:val="auto"/>
          <w:lang w:val="zh-CN" w:eastAsia="zh-CN"/>
        </w:rPr>
        <w:t>绿化养护工作要求及检查验收标准</w:t>
      </w:r>
    </w:p>
    <w:tbl>
      <w:tblPr>
        <w:tblStyle w:val="29"/>
        <w:tblW w:w="0" w:type="auto"/>
        <w:jc w:val="center"/>
        <w:tblLayout w:type="autofit"/>
        <w:tblCellMar>
          <w:top w:w="0" w:type="dxa"/>
          <w:left w:w="108" w:type="dxa"/>
          <w:bottom w:w="0" w:type="dxa"/>
          <w:right w:w="108" w:type="dxa"/>
        </w:tblCellMar>
      </w:tblPr>
      <w:tblGrid>
        <w:gridCol w:w="1454"/>
        <w:gridCol w:w="4710"/>
        <w:gridCol w:w="3124"/>
      </w:tblGrid>
      <w:tr w14:paraId="0D1F1AA2">
        <w:tblPrEx>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6" w:space="0"/>
              <w:bottom w:val="single" w:color="auto" w:sz="6" w:space="0"/>
              <w:right w:val="single" w:color="auto" w:sz="6" w:space="0"/>
            </w:tcBorders>
            <w:noWrap w:val="0"/>
            <w:vAlign w:val="center"/>
          </w:tcPr>
          <w:p w14:paraId="74C10FD7">
            <w:pPr>
              <w:jc w:val="center"/>
              <w:rPr>
                <w:rFonts w:hint="eastAsia" w:ascii="仿宋_GB2312" w:hAnsi="宋体" w:eastAsia="仿宋_GB2312" w:cs="Times New Roman"/>
                <w:b w:val="0"/>
                <w:bCs w:val="0"/>
                <w:color w:val="auto"/>
                <w:sz w:val="24"/>
              </w:rPr>
            </w:pPr>
            <w:r>
              <w:rPr>
                <w:rFonts w:hint="eastAsia" w:ascii="仿宋_GB2312" w:hAnsi="宋体" w:eastAsia="仿宋_GB2312" w:cs="Times New Roman"/>
                <w:b w:val="0"/>
                <w:bCs w:val="0"/>
                <w:color w:val="auto"/>
                <w:sz w:val="24"/>
                <w:lang w:val="zh-CN"/>
              </w:rPr>
              <w:t>项目名称</w:t>
            </w:r>
          </w:p>
        </w:tc>
        <w:tc>
          <w:tcPr>
            <w:tcW w:w="0" w:type="auto"/>
            <w:tcBorders>
              <w:top w:val="single" w:color="auto" w:sz="6" w:space="0"/>
              <w:left w:val="single" w:color="auto" w:sz="6" w:space="0"/>
              <w:bottom w:val="single" w:color="auto" w:sz="6" w:space="0"/>
              <w:right w:val="single" w:color="auto" w:sz="6" w:space="0"/>
            </w:tcBorders>
            <w:noWrap w:val="0"/>
            <w:vAlign w:val="center"/>
          </w:tcPr>
          <w:p w14:paraId="4E0B9067">
            <w:pPr>
              <w:jc w:val="center"/>
              <w:rPr>
                <w:rFonts w:hint="eastAsia" w:ascii="仿宋_GB2312" w:hAnsi="宋体" w:eastAsia="仿宋_GB2312" w:cs="Times New Roman"/>
                <w:b w:val="0"/>
                <w:bCs w:val="0"/>
                <w:color w:val="auto"/>
                <w:sz w:val="24"/>
              </w:rPr>
            </w:pPr>
            <w:r>
              <w:rPr>
                <w:rFonts w:hint="eastAsia" w:ascii="仿宋_GB2312" w:hAnsi="宋体" w:eastAsia="仿宋_GB2312" w:cs="Times New Roman"/>
                <w:b w:val="0"/>
                <w:bCs w:val="0"/>
                <w:color w:val="auto"/>
                <w:sz w:val="24"/>
                <w:lang w:val="zh-CN"/>
              </w:rPr>
              <w:t>工  作  要  求</w:t>
            </w:r>
          </w:p>
        </w:tc>
        <w:tc>
          <w:tcPr>
            <w:tcW w:w="0" w:type="auto"/>
            <w:tcBorders>
              <w:top w:val="single" w:color="auto" w:sz="6" w:space="0"/>
              <w:left w:val="single" w:color="auto" w:sz="6" w:space="0"/>
              <w:bottom w:val="single" w:color="auto" w:sz="6" w:space="0"/>
              <w:right w:val="single" w:color="auto" w:sz="6" w:space="0"/>
            </w:tcBorders>
            <w:noWrap w:val="0"/>
            <w:vAlign w:val="center"/>
          </w:tcPr>
          <w:p w14:paraId="1B01E403">
            <w:pPr>
              <w:jc w:val="center"/>
              <w:rPr>
                <w:rFonts w:hint="eastAsia" w:ascii="仿宋_GB2312" w:hAnsi="宋体" w:eastAsia="仿宋_GB2312" w:cs="Times New Roman"/>
                <w:b w:val="0"/>
                <w:bCs w:val="0"/>
                <w:color w:val="auto"/>
                <w:sz w:val="24"/>
              </w:rPr>
            </w:pPr>
            <w:r>
              <w:rPr>
                <w:rFonts w:hint="eastAsia" w:ascii="仿宋_GB2312" w:hAnsi="宋体" w:eastAsia="仿宋_GB2312" w:cs="Times New Roman"/>
                <w:b w:val="0"/>
                <w:bCs w:val="0"/>
                <w:color w:val="auto"/>
                <w:sz w:val="24"/>
                <w:lang w:val="zh-CN"/>
              </w:rPr>
              <w:t>验  收  标  准</w:t>
            </w:r>
          </w:p>
        </w:tc>
      </w:tr>
      <w:tr w14:paraId="571847BB">
        <w:tblPrEx>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6" w:space="0"/>
              <w:bottom w:val="single" w:color="auto" w:sz="6" w:space="0"/>
              <w:right w:val="single" w:color="auto" w:sz="6" w:space="0"/>
            </w:tcBorders>
            <w:noWrap w:val="0"/>
            <w:vAlign w:val="center"/>
          </w:tcPr>
          <w:p w14:paraId="5B538AB6">
            <w:pPr>
              <w:jc w:val="center"/>
              <w:rPr>
                <w:rFonts w:hint="eastAsia" w:ascii="仿宋_GB2312" w:hAnsi="宋体" w:eastAsia="仿宋_GB2312" w:cs="Times New Roman"/>
                <w:color w:val="auto"/>
                <w:sz w:val="24"/>
              </w:rPr>
            </w:pPr>
            <w:r>
              <w:rPr>
                <w:rFonts w:hint="eastAsia" w:ascii="仿宋_GB2312" w:hAnsi="宋体" w:eastAsia="仿宋_GB2312" w:cs="Times New Roman"/>
                <w:color w:val="auto"/>
                <w:sz w:val="24"/>
                <w:lang w:val="zh-CN"/>
              </w:rPr>
              <w:t>浇水（草坪、灌木为主）</w:t>
            </w:r>
          </w:p>
        </w:tc>
        <w:tc>
          <w:tcPr>
            <w:tcW w:w="0" w:type="auto"/>
            <w:tcBorders>
              <w:top w:val="single" w:color="auto" w:sz="6" w:space="0"/>
              <w:left w:val="single" w:color="auto" w:sz="6" w:space="0"/>
              <w:bottom w:val="single" w:color="auto" w:sz="6" w:space="0"/>
              <w:right w:val="single" w:color="auto" w:sz="6" w:space="0"/>
            </w:tcBorders>
            <w:noWrap w:val="0"/>
            <w:vAlign w:val="center"/>
          </w:tcPr>
          <w:p w14:paraId="24BAEE36">
            <w:pPr>
              <w:rPr>
                <w:rFonts w:hint="eastAsia" w:ascii="仿宋_GB2312" w:hAnsi="宋体" w:eastAsia="仿宋_GB2312" w:cs="Times New Roman"/>
                <w:color w:val="auto"/>
                <w:sz w:val="24"/>
                <w:lang w:val="zh-CN"/>
              </w:rPr>
            </w:pPr>
            <w:r>
              <w:rPr>
                <w:rFonts w:hint="eastAsia" w:ascii="仿宋_GB2312" w:hAnsi="宋体" w:eastAsia="仿宋_GB2312" w:cs="Times New Roman"/>
                <w:color w:val="auto"/>
                <w:sz w:val="24"/>
                <w:lang w:val="zh-CN"/>
              </w:rPr>
              <w:t>具体视天气情况</w:t>
            </w:r>
          </w:p>
        </w:tc>
        <w:tc>
          <w:tcPr>
            <w:tcW w:w="0" w:type="auto"/>
            <w:tcBorders>
              <w:top w:val="single" w:color="auto" w:sz="6" w:space="0"/>
              <w:left w:val="single" w:color="auto" w:sz="6" w:space="0"/>
              <w:bottom w:val="single" w:color="auto" w:sz="6" w:space="0"/>
              <w:right w:val="single" w:color="auto" w:sz="6" w:space="0"/>
            </w:tcBorders>
            <w:noWrap w:val="0"/>
            <w:vAlign w:val="center"/>
          </w:tcPr>
          <w:p w14:paraId="349428EE">
            <w:pPr>
              <w:rPr>
                <w:rFonts w:hint="eastAsia" w:ascii="仿宋_GB2312" w:hAnsi="宋体" w:eastAsia="仿宋_GB2312" w:cs="Times New Roman"/>
                <w:color w:val="auto"/>
                <w:sz w:val="24"/>
              </w:rPr>
            </w:pPr>
            <w:r>
              <w:rPr>
                <w:rFonts w:hint="eastAsia" w:ascii="仿宋_GB2312" w:hAnsi="宋体" w:eastAsia="仿宋_GB2312" w:cs="Times New Roman"/>
                <w:color w:val="auto"/>
                <w:sz w:val="24"/>
                <w:lang w:val="zh-CN"/>
              </w:rPr>
              <w:t>保持植物良好长势，不出现大面积枯萎等缺水现象。</w:t>
            </w:r>
          </w:p>
        </w:tc>
      </w:tr>
      <w:tr w14:paraId="5E54578F">
        <w:tblPrEx>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6" w:space="0"/>
              <w:bottom w:val="single" w:color="auto" w:sz="6" w:space="0"/>
              <w:right w:val="single" w:color="auto" w:sz="6" w:space="0"/>
            </w:tcBorders>
            <w:noWrap w:val="0"/>
            <w:vAlign w:val="center"/>
          </w:tcPr>
          <w:p w14:paraId="3CD47B6B">
            <w:pPr>
              <w:jc w:val="center"/>
              <w:rPr>
                <w:rFonts w:hint="eastAsia" w:ascii="仿宋_GB2312" w:hAnsi="宋体" w:eastAsia="仿宋_GB2312" w:cs="Times New Roman"/>
                <w:color w:val="auto"/>
                <w:sz w:val="24"/>
              </w:rPr>
            </w:pPr>
            <w:r>
              <w:rPr>
                <w:rFonts w:hint="eastAsia" w:ascii="仿宋_GB2312" w:hAnsi="宋体" w:eastAsia="仿宋_GB2312" w:cs="Times New Roman"/>
                <w:color w:val="auto"/>
                <w:sz w:val="24"/>
                <w:lang w:val="zh-CN"/>
              </w:rPr>
              <w:t>施肥</w:t>
            </w:r>
          </w:p>
        </w:tc>
        <w:tc>
          <w:tcPr>
            <w:tcW w:w="0" w:type="auto"/>
            <w:tcBorders>
              <w:top w:val="single" w:color="auto" w:sz="6" w:space="0"/>
              <w:left w:val="single" w:color="auto" w:sz="6" w:space="0"/>
              <w:bottom w:val="single" w:color="auto" w:sz="6" w:space="0"/>
              <w:right w:val="single" w:color="auto" w:sz="6" w:space="0"/>
            </w:tcBorders>
            <w:noWrap w:val="0"/>
            <w:vAlign w:val="center"/>
          </w:tcPr>
          <w:p w14:paraId="263050C8">
            <w:pPr>
              <w:rPr>
                <w:rFonts w:hint="eastAsia" w:ascii="仿宋_GB2312" w:hAnsi="宋体" w:eastAsia="仿宋_GB2312" w:cs="Times New Roman"/>
                <w:color w:val="auto"/>
                <w:sz w:val="24"/>
                <w:lang w:val="zh-CN"/>
              </w:rPr>
            </w:pPr>
            <w:r>
              <w:rPr>
                <w:rFonts w:hint="eastAsia" w:ascii="仿宋_GB2312" w:hAnsi="宋体" w:eastAsia="仿宋_GB2312" w:cs="Times New Roman"/>
                <w:color w:val="auto"/>
                <w:sz w:val="24"/>
                <w:lang w:val="zh-CN"/>
              </w:rPr>
              <w:t>乔木：</w:t>
            </w:r>
            <w:r>
              <w:rPr>
                <w:rFonts w:hint="eastAsia" w:ascii="仿宋_GB2312" w:hAnsi="宋体" w:eastAsia="仿宋_GB2312" w:cs="Times New Roman"/>
                <w:color w:val="auto"/>
                <w:sz w:val="24"/>
                <w:lang w:val="en-US" w:eastAsia="zh-CN"/>
              </w:rPr>
              <w:t>不少于</w:t>
            </w:r>
            <w:r>
              <w:rPr>
                <w:rFonts w:hint="eastAsia" w:ascii="仿宋_GB2312" w:hAnsi="宋体" w:eastAsia="仿宋_GB2312" w:cs="Times New Roman"/>
                <w:color w:val="auto"/>
                <w:sz w:val="24"/>
                <w:lang w:val="zh-CN"/>
              </w:rPr>
              <w:t>1次/年、灌木和绿篱：</w:t>
            </w:r>
            <w:r>
              <w:rPr>
                <w:rFonts w:hint="eastAsia" w:ascii="仿宋_GB2312" w:hAnsi="宋体" w:eastAsia="仿宋_GB2312" w:cs="Times New Roman"/>
                <w:color w:val="auto"/>
                <w:sz w:val="24"/>
                <w:lang w:val="en-US" w:eastAsia="zh-CN"/>
              </w:rPr>
              <w:t>不少于</w:t>
            </w:r>
            <w:r>
              <w:rPr>
                <w:rFonts w:hint="eastAsia" w:ascii="仿宋_GB2312" w:hAnsi="宋体" w:eastAsia="仿宋_GB2312" w:cs="Times New Roman"/>
                <w:color w:val="auto"/>
                <w:sz w:val="24"/>
                <w:lang w:val="zh-CN"/>
              </w:rPr>
              <w:t>4次/年</w:t>
            </w:r>
          </w:p>
          <w:p w14:paraId="608AB5E6">
            <w:pPr>
              <w:rPr>
                <w:rFonts w:hint="eastAsia" w:ascii="仿宋_GB2312" w:hAnsi="宋体" w:eastAsia="仿宋_GB2312" w:cs="Times New Roman"/>
                <w:color w:val="auto"/>
                <w:sz w:val="24"/>
                <w:lang w:val="zh-CN"/>
              </w:rPr>
            </w:pPr>
            <w:r>
              <w:rPr>
                <w:rFonts w:hint="eastAsia" w:ascii="仿宋_GB2312" w:hAnsi="宋体" w:eastAsia="仿宋_GB2312" w:cs="Times New Roman"/>
                <w:color w:val="auto"/>
                <w:sz w:val="24"/>
                <w:lang w:val="zh-CN"/>
              </w:rPr>
              <w:t>花卉：</w:t>
            </w:r>
            <w:r>
              <w:rPr>
                <w:rFonts w:hint="eastAsia" w:ascii="仿宋_GB2312" w:hAnsi="宋体" w:eastAsia="仿宋_GB2312" w:cs="Times New Roman"/>
                <w:color w:val="auto"/>
                <w:sz w:val="24"/>
                <w:lang w:val="en-US" w:eastAsia="zh-CN"/>
              </w:rPr>
              <w:t>不少于</w:t>
            </w:r>
            <w:r>
              <w:rPr>
                <w:rFonts w:hint="eastAsia" w:ascii="仿宋_GB2312" w:hAnsi="宋体" w:eastAsia="仿宋_GB2312" w:cs="Times New Roman"/>
                <w:color w:val="auto"/>
                <w:sz w:val="24"/>
                <w:lang w:val="zh-CN"/>
              </w:rPr>
              <w:t>4次/年、草坪：</w:t>
            </w:r>
            <w:r>
              <w:rPr>
                <w:rFonts w:hint="eastAsia" w:ascii="仿宋_GB2312" w:hAnsi="宋体" w:eastAsia="仿宋_GB2312" w:cs="Times New Roman"/>
                <w:color w:val="auto"/>
                <w:sz w:val="24"/>
                <w:lang w:val="en-US" w:eastAsia="zh-CN"/>
              </w:rPr>
              <w:t>不少于</w:t>
            </w:r>
            <w:r>
              <w:rPr>
                <w:rFonts w:hint="eastAsia" w:ascii="仿宋_GB2312" w:hAnsi="宋体" w:eastAsia="仿宋_GB2312" w:cs="Times New Roman"/>
                <w:color w:val="auto"/>
                <w:sz w:val="24"/>
                <w:lang w:val="zh-CN"/>
              </w:rPr>
              <w:t>4次/年</w:t>
            </w:r>
          </w:p>
        </w:tc>
        <w:tc>
          <w:tcPr>
            <w:tcW w:w="0" w:type="auto"/>
            <w:tcBorders>
              <w:top w:val="single" w:color="auto" w:sz="6" w:space="0"/>
              <w:left w:val="single" w:color="auto" w:sz="6" w:space="0"/>
              <w:bottom w:val="single" w:color="auto" w:sz="6" w:space="0"/>
              <w:right w:val="single" w:color="auto" w:sz="6" w:space="0"/>
            </w:tcBorders>
            <w:noWrap w:val="0"/>
            <w:vAlign w:val="center"/>
          </w:tcPr>
          <w:p w14:paraId="513A8E4A">
            <w:pPr>
              <w:rPr>
                <w:rFonts w:hint="eastAsia" w:ascii="仿宋_GB2312" w:hAnsi="宋体" w:eastAsia="仿宋_GB2312" w:cs="Times New Roman"/>
                <w:color w:val="auto"/>
                <w:sz w:val="24"/>
              </w:rPr>
            </w:pPr>
            <w:r>
              <w:rPr>
                <w:rFonts w:hint="eastAsia" w:ascii="仿宋_GB2312" w:hAnsi="宋体" w:eastAsia="仿宋_GB2312" w:cs="Times New Roman"/>
                <w:color w:val="auto"/>
                <w:sz w:val="24"/>
                <w:lang w:val="zh-CN"/>
              </w:rPr>
              <w:t>做到施肥均匀、充足、适度，保证绿化植物强壮、枝叶茂盛。</w:t>
            </w:r>
          </w:p>
        </w:tc>
      </w:tr>
      <w:tr w14:paraId="7039E60A">
        <w:tblPrEx>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6" w:space="0"/>
              <w:bottom w:val="single" w:color="auto" w:sz="6" w:space="0"/>
              <w:right w:val="single" w:color="auto" w:sz="6" w:space="0"/>
            </w:tcBorders>
            <w:noWrap w:val="0"/>
            <w:vAlign w:val="center"/>
          </w:tcPr>
          <w:p w14:paraId="077F431C">
            <w:pPr>
              <w:jc w:val="center"/>
              <w:rPr>
                <w:rFonts w:hint="eastAsia" w:ascii="仿宋_GB2312" w:hAnsi="宋体" w:eastAsia="仿宋_GB2312" w:cs="Times New Roman"/>
                <w:color w:val="auto"/>
                <w:sz w:val="24"/>
              </w:rPr>
            </w:pPr>
            <w:r>
              <w:rPr>
                <w:rFonts w:hint="eastAsia" w:ascii="仿宋_GB2312" w:hAnsi="宋体" w:eastAsia="仿宋_GB2312" w:cs="Times New Roman"/>
                <w:color w:val="auto"/>
                <w:sz w:val="24"/>
                <w:lang w:val="zh-CN"/>
              </w:rPr>
              <w:t>修剪整形</w:t>
            </w:r>
          </w:p>
        </w:tc>
        <w:tc>
          <w:tcPr>
            <w:tcW w:w="0" w:type="auto"/>
            <w:tcBorders>
              <w:top w:val="single" w:color="auto" w:sz="6" w:space="0"/>
              <w:left w:val="single" w:color="auto" w:sz="6" w:space="0"/>
              <w:bottom w:val="single" w:color="auto" w:sz="6" w:space="0"/>
              <w:right w:val="single" w:color="auto" w:sz="6" w:space="0"/>
            </w:tcBorders>
            <w:noWrap w:val="0"/>
            <w:vAlign w:val="center"/>
          </w:tcPr>
          <w:p w14:paraId="0B90392F">
            <w:pPr>
              <w:rPr>
                <w:rFonts w:hint="eastAsia" w:ascii="仿宋_GB2312" w:hAnsi="宋体" w:eastAsia="仿宋_GB2312" w:cs="Times New Roman"/>
                <w:color w:val="auto"/>
                <w:sz w:val="24"/>
              </w:rPr>
            </w:pPr>
            <w:r>
              <w:rPr>
                <w:rFonts w:hint="eastAsia" w:ascii="仿宋_GB2312" w:hAnsi="宋体" w:eastAsia="仿宋_GB2312" w:cs="Times New Roman"/>
                <w:color w:val="auto"/>
                <w:sz w:val="24"/>
                <w:lang w:val="zh-CN"/>
              </w:rPr>
              <w:t>草地</w:t>
            </w:r>
            <w:r>
              <w:rPr>
                <w:rFonts w:hint="eastAsia" w:ascii="仿宋_GB2312" w:hAnsi="宋体" w:eastAsia="仿宋_GB2312" w:cs="Times New Roman"/>
                <w:color w:val="auto"/>
                <w:sz w:val="24"/>
              </w:rPr>
              <w:t>：</w:t>
            </w:r>
            <w:r>
              <w:rPr>
                <w:rFonts w:hint="eastAsia" w:ascii="仿宋_GB2312" w:hAnsi="宋体" w:eastAsia="仿宋_GB2312" w:cs="Times New Roman"/>
                <w:color w:val="auto"/>
                <w:sz w:val="24"/>
                <w:lang w:val="en-US" w:eastAsia="zh-CN"/>
              </w:rPr>
              <w:t>不少于</w:t>
            </w:r>
            <w:r>
              <w:rPr>
                <w:rFonts w:hint="eastAsia" w:ascii="仿宋_GB2312" w:hAnsi="宋体" w:eastAsia="仿宋_GB2312" w:cs="Times New Roman"/>
                <w:color w:val="auto"/>
                <w:sz w:val="24"/>
              </w:rPr>
              <w:t>8</w:t>
            </w:r>
            <w:r>
              <w:rPr>
                <w:rFonts w:hint="eastAsia" w:ascii="仿宋_GB2312" w:hAnsi="宋体" w:eastAsia="仿宋_GB2312" w:cs="Times New Roman"/>
                <w:color w:val="auto"/>
                <w:sz w:val="24"/>
                <w:lang w:val="zh-CN"/>
              </w:rPr>
              <w:t>次</w:t>
            </w:r>
            <w:r>
              <w:rPr>
                <w:rFonts w:hint="eastAsia" w:ascii="仿宋_GB2312" w:hAnsi="宋体" w:eastAsia="仿宋_GB2312" w:cs="Times New Roman"/>
                <w:color w:val="auto"/>
                <w:sz w:val="24"/>
              </w:rPr>
              <w:t>/</w:t>
            </w:r>
            <w:r>
              <w:rPr>
                <w:rFonts w:hint="eastAsia" w:ascii="仿宋_GB2312" w:hAnsi="宋体" w:eastAsia="仿宋_GB2312" w:cs="Times New Roman"/>
                <w:color w:val="auto"/>
                <w:sz w:val="24"/>
                <w:lang w:val="zh-CN"/>
              </w:rPr>
              <w:t>年、灌木</w:t>
            </w:r>
            <w:r>
              <w:rPr>
                <w:rFonts w:hint="eastAsia" w:ascii="仿宋_GB2312" w:hAnsi="宋体" w:eastAsia="仿宋_GB2312" w:cs="Times New Roman"/>
                <w:color w:val="auto"/>
                <w:sz w:val="24"/>
              </w:rPr>
              <w:t>：</w:t>
            </w:r>
            <w:r>
              <w:rPr>
                <w:rFonts w:hint="eastAsia" w:ascii="仿宋_GB2312" w:hAnsi="宋体" w:eastAsia="仿宋_GB2312" w:cs="Times New Roman"/>
                <w:color w:val="auto"/>
                <w:sz w:val="24"/>
                <w:lang w:val="en-US" w:eastAsia="zh-CN"/>
              </w:rPr>
              <w:t>不少于</w:t>
            </w:r>
            <w:r>
              <w:rPr>
                <w:rFonts w:hint="eastAsia" w:ascii="仿宋_GB2312" w:hAnsi="宋体" w:eastAsia="仿宋_GB2312" w:cs="Times New Roman"/>
                <w:color w:val="auto"/>
                <w:sz w:val="24"/>
              </w:rPr>
              <w:t>8</w:t>
            </w:r>
            <w:r>
              <w:rPr>
                <w:rFonts w:hint="eastAsia" w:ascii="仿宋_GB2312" w:hAnsi="宋体" w:eastAsia="仿宋_GB2312" w:cs="Times New Roman"/>
                <w:color w:val="auto"/>
                <w:sz w:val="24"/>
                <w:lang w:val="zh-CN"/>
              </w:rPr>
              <w:t>次</w:t>
            </w:r>
            <w:r>
              <w:rPr>
                <w:rFonts w:hint="eastAsia" w:ascii="仿宋_GB2312" w:hAnsi="宋体" w:eastAsia="仿宋_GB2312" w:cs="Times New Roman"/>
                <w:color w:val="auto"/>
                <w:sz w:val="24"/>
              </w:rPr>
              <w:t>/</w:t>
            </w:r>
            <w:r>
              <w:rPr>
                <w:rFonts w:hint="eastAsia" w:ascii="仿宋_GB2312" w:hAnsi="宋体" w:eastAsia="仿宋_GB2312" w:cs="Times New Roman"/>
                <w:color w:val="auto"/>
                <w:sz w:val="24"/>
                <w:lang w:val="zh-CN"/>
              </w:rPr>
              <w:t>年</w:t>
            </w:r>
          </w:p>
          <w:p w14:paraId="6C18AF67">
            <w:pPr>
              <w:rPr>
                <w:rFonts w:hint="eastAsia" w:ascii="仿宋_GB2312" w:hAnsi="宋体" w:eastAsia="仿宋_GB2312" w:cs="Times New Roman"/>
                <w:color w:val="auto"/>
                <w:sz w:val="24"/>
                <w:lang w:val="zh-CN"/>
              </w:rPr>
            </w:pPr>
            <w:r>
              <w:rPr>
                <w:rFonts w:hint="eastAsia" w:ascii="仿宋_GB2312" w:hAnsi="宋体" w:eastAsia="仿宋_GB2312" w:cs="Times New Roman"/>
                <w:color w:val="auto"/>
                <w:sz w:val="24"/>
                <w:lang w:val="zh-CN"/>
              </w:rPr>
              <w:t>乔木：</w:t>
            </w:r>
            <w:r>
              <w:rPr>
                <w:rFonts w:hint="eastAsia" w:ascii="仿宋_GB2312" w:hAnsi="宋体" w:eastAsia="仿宋_GB2312" w:cs="Times New Roman"/>
                <w:color w:val="auto"/>
                <w:sz w:val="24"/>
                <w:lang w:val="en-US" w:eastAsia="zh-CN"/>
              </w:rPr>
              <w:t>不少于</w:t>
            </w:r>
            <w:r>
              <w:rPr>
                <w:rFonts w:hint="eastAsia" w:ascii="仿宋_GB2312" w:hAnsi="宋体" w:eastAsia="仿宋_GB2312" w:cs="Times New Roman"/>
                <w:color w:val="auto"/>
                <w:sz w:val="24"/>
                <w:lang w:val="zh-CN"/>
              </w:rPr>
              <w:t>2次/年。</w:t>
            </w:r>
          </w:p>
        </w:tc>
        <w:tc>
          <w:tcPr>
            <w:tcW w:w="0" w:type="auto"/>
            <w:tcBorders>
              <w:top w:val="single" w:color="auto" w:sz="6" w:space="0"/>
              <w:left w:val="single" w:color="auto" w:sz="6" w:space="0"/>
              <w:bottom w:val="single" w:color="auto" w:sz="6" w:space="0"/>
              <w:right w:val="single" w:color="auto" w:sz="6" w:space="0"/>
            </w:tcBorders>
            <w:noWrap w:val="0"/>
            <w:vAlign w:val="center"/>
          </w:tcPr>
          <w:p w14:paraId="333101A9">
            <w:pPr>
              <w:rPr>
                <w:rFonts w:hint="eastAsia" w:ascii="仿宋_GB2312" w:hAnsi="宋体" w:eastAsia="仿宋_GB2312" w:cs="Times New Roman"/>
                <w:color w:val="auto"/>
                <w:sz w:val="24"/>
                <w:lang w:val="zh-CN"/>
              </w:rPr>
            </w:pPr>
            <w:r>
              <w:rPr>
                <w:rFonts w:hint="eastAsia" w:ascii="仿宋_GB2312" w:hAnsi="宋体" w:eastAsia="仿宋_GB2312" w:cs="Times New Roman"/>
                <w:color w:val="auto"/>
                <w:sz w:val="24"/>
                <w:lang w:val="zh-CN"/>
              </w:rPr>
              <w:t>草地：要求草的高度一致，整齐美观，无疯张现象。</w:t>
            </w:r>
          </w:p>
          <w:p w14:paraId="0F925FFC">
            <w:pPr>
              <w:rPr>
                <w:rFonts w:hint="eastAsia" w:ascii="仿宋_GB2312" w:hAnsi="宋体" w:eastAsia="仿宋_GB2312" w:cs="Times New Roman"/>
                <w:color w:val="auto"/>
                <w:sz w:val="24"/>
              </w:rPr>
            </w:pPr>
            <w:r>
              <w:rPr>
                <w:rFonts w:hint="eastAsia" w:ascii="仿宋_GB2312" w:hAnsi="宋体" w:eastAsia="仿宋_GB2312" w:cs="Times New Roman"/>
                <w:color w:val="auto"/>
                <w:sz w:val="24"/>
                <w:lang w:val="zh-CN"/>
              </w:rPr>
              <w:t>乔、灌木：植物主枝分布均匀，通风透气，造型美观；绿篱整齐一致。</w:t>
            </w:r>
          </w:p>
        </w:tc>
      </w:tr>
      <w:tr w14:paraId="02202274">
        <w:tblPrEx>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6" w:space="0"/>
              <w:bottom w:val="single" w:color="auto" w:sz="6" w:space="0"/>
              <w:right w:val="single" w:color="auto" w:sz="6" w:space="0"/>
            </w:tcBorders>
            <w:noWrap w:val="0"/>
            <w:vAlign w:val="center"/>
          </w:tcPr>
          <w:p w14:paraId="4443E163">
            <w:pPr>
              <w:jc w:val="center"/>
              <w:rPr>
                <w:rFonts w:hint="eastAsia" w:ascii="仿宋_GB2312" w:hAnsi="宋体" w:eastAsia="仿宋_GB2312" w:cs="Times New Roman"/>
                <w:color w:val="auto"/>
                <w:sz w:val="24"/>
              </w:rPr>
            </w:pPr>
            <w:r>
              <w:rPr>
                <w:rFonts w:hint="eastAsia" w:ascii="仿宋_GB2312" w:hAnsi="宋体" w:eastAsia="仿宋_GB2312" w:cs="Times New Roman"/>
                <w:color w:val="auto"/>
                <w:sz w:val="24"/>
                <w:lang w:val="zh-CN"/>
              </w:rPr>
              <w:t>病虫害防治</w:t>
            </w:r>
          </w:p>
        </w:tc>
        <w:tc>
          <w:tcPr>
            <w:tcW w:w="0" w:type="auto"/>
            <w:tcBorders>
              <w:top w:val="single" w:color="auto" w:sz="6" w:space="0"/>
              <w:left w:val="single" w:color="auto" w:sz="6" w:space="0"/>
              <w:bottom w:val="single" w:color="auto" w:sz="6" w:space="0"/>
              <w:right w:val="single" w:color="auto" w:sz="6" w:space="0"/>
            </w:tcBorders>
            <w:noWrap w:val="0"/>
            <w:vAlign w:val="center"/>
          </w:tcPr>
          <w:p w14:paraId="1301CEC3">
            <w:pPr>
              <w:rPr>
                <w:rFonts w:hint="eastAsia" w:ascii="仿宋_GB2312" w:hAnsi="宋体" w:eastAsia="仿宋_GB2312" w:cs="Times New Roman"/>
                <w:color w:val="auto"/>
                <w:sz w:val="24"/>
                <w:lang w:val="zh-CN"/>
              </w:rPr>
            </w:pPr>
            <w:r>
              <w:rPr>
                <w:rFonts w:hint="eastAsia" w:ascii="仿宋_GB2312" w:hAnsi="宋体" w:eastAsia="仿宋_GB2312" w:cs="Times New Roman"/>
                <w:color w:val="auto"/>
                <w:sz w:val="24"/>
                <w:lang w:val="zh-CN"/>
              </w:rPr>
              <w:t>草地、灌木、乔木</w:t>
            </w:r>
          </w:p>
        </w:tc>
        <w:tc>
          <w:tcPr>
            <w:tcW w:w="0" w:type="auto"/>
            <w:tcBorders>
              <w:top w:val="single" w:color="auto" w:sz="6" w:space="0"/>
              <w:left w:val="single" w:color="auto" w:sz="6" w:space="0"/>
              <w:bottom w:val="single" w:color="auto" w:sz="6" w:space="0"/>
              <w:right w:val="single" w:color="auto" w:sz="6" w:space="0"/>
            </w:tcBorders>
            <w:noWrap w:val="0"/>
            <w:vAlign w:val="center"/>
          </w:tcPr>
          <w:p w14:paraId="509B53A8">
            <w:pPr>
              <w:rPr>
                <w:rFonts w:hint="eastAsia" w:ascii="仿宋_GB2312" w:hAnsi="宋体" w:eastAsia="仿宋_GB2312" w:cs="Times New Roman"/>
                <w:color w:val="auto"/>
                <w:sz w:val="24"/>
              </w:rPr>
            </w:pPr>
            <w:r>
              <w:rPr>
                <w:rFonts w:hint="eastAsia" w:ascii="仿宋_GB2312" w:hAnsi="宋体" w:eastAsia="仿宋_GB2312" w:cs="Times New Roman"/>
                <w:color w:val="auto"/>
                <w:sz w:val="24"/>
                <w:lang w:val="zh-CN"/>
              </w:rPr>
              <w:t>及时防治，病株、虫害现象不成灾。</w:t>
            </w:r>
          </w:p>
        </w:tc>
      </w:tr>
      <w:tr w14:paraId="13199D9B">
        <w:tblPrEx>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6" w:space="0"/>
              <w:bottom w:val="single" w:color="auto" w:sz="6" w:space="0"/>
              <w:right w:val="single" w:color="auto" w:sz="6" w:space="0"/>
            </w:tcBorders>
            <w:noWrap w:val="0"/>
            <w:vAlign w:val="center"/>
          </w:tcPr>
          <w:p w14:paraId="758D88FE">
            <w:pPr>
              <w:jc w:val="center"/>
              <w:rPr>
                <w:rFonts w:hint="eastAsia" w:ascii="仿宋_GB2312" w:hAnsi="宋体" w:eastAsia="仿宋_GB2312" w:cs="Times New Roman"/>
                <w:color w:val="auto"/>
                <w:sz w:val="24"/>
              </w:rPr>
            </w:pPr>
            <w:r>
              <w:rPr>
                <w:rFonts w:hint="eastAsia" w:ascii="仿宋_GB2312" w:hAnsi="宋体" w:eastAsia="仿宋_GB2312" w:cs="Times New Roman"/>
                <w:color w:val="auto"/>
                <w:sz w:val="24"/>
                <w:lang w:val="zh-CN"/>
              </w:rPr>
              <w:t>除杂草松土</w:t>
            </w:r>
          </w:p>
        </w:tc>
        <w:tc>
          <w:tcPr>
            <w:tcW w:w="0" w:type="auto"/>
            <w:tcBorders>
              <w:top w:val="single" w:color="auto" w:sz="6" w:space="0"/>
              <w:left w:val="single" w:color="auto" w:sz="6" w:space="0"/>
              <w:bottom w:val="single" w:color="auto" w:sz="6" w:space="0"/>
              <w:right w:val="single" w:color="auto" w:sz="6" w:space="0"/>
            </w:tcBorders>
            <w:noWrap w:val="0"/>
            <w:vAlign w:val="center"/>
          </w:tcPr>
          <w:p w14:paraId="1D638429">
            <w:pPr>
              <w:rPr>
                <w:rFonts w:hint="eastAsia" w:ascii="仿宋_GB2312" w:hAnsi="宋体" w:eastAsia="仿宋_GB2312" w:cs="Times New Roman"/>
                <w:color w:val="auto"/>
                <w:sz w:val="24"/>
              </w:rPr>
            </w:pPr>
            <w:r>
              <w:rPr>
                <w:rFonts w:hint="eastAsia" w:ascii="仿宋_GB2312" w:hAnsi="宋体" w:eastAsia="仿宋_GB2312" w:cs="Times New Roman"/>
                <w:color w:val="auto"/>
                <w:sz w:val="24"/>
                <w:lang w:val="zh-CN"/>
              </w:rPr>
              <w:t>草坪等除草每季度一遍，雨后杂草严重者每月一遍，草坪上不允许有开花杂草，花木丛中不允许有高于花木的杂草</w:t>
            </w:r>
          </w:p>
        </w:tc>
        <w:tc>
          <w:tcPr>
            <w:tcW w:w="0" w:type="auto"/>
            <w:tcBorders>
              <w:top w:val="single" w:color="auto" w:sz="6" w:space="0"/>
              <w:left w:val="single" w:color="auto" w:sz="6" w:space="0"/>
              <w:bottom w:val="single" w:color="auto" w:sz="6" w:space="0"/>
              <w:right w:val="single" w:color="auto" w:sz="6" w:space="0"/>
            </w:tcBorders>
            <w:noWrap w:val="0"/>
            <w:vAlign w:val="center"/>
          </w:tcPr>
          <w:p w14:paraId="10301CEF">
            <w:pPr>
              <w:rPr>
                <w:rFonts w:hint="eastAsia" w:ascii="仿宋_GB2312" w:hAnsi="宋体" w:eastAsia="仿宋_GB2312" w:cs="Times New Roman"/>
                <w:color w:val="auto"/>
                <w:sz w:val="24"/>
              </w:rPr>
            </w:pPr>
            <w:r>
              <w:rPr>
                <w:rFonts w:hint="eastAsia" w:ascii="仿宋_GB2312" w:hAnsi="宋体" w:eastAsia="仿宋_GB2312" w:cs="Times New Roman"/>
                <w:color w:val="auto"/>
                <w:sz w:val="24"/>
                <w:lang w:val="zh-CN"/>
              </w:rPr>
              <w:t>花丛下无杂草，</w:t>
            </w:r>
          </w:p>
          <w:p w14:paraId="7D9A76E9">
            <w:pPr>
              <w:rPr>
                <w:rFonts w:hint="eastAsia" w:ascii="仿宋_GB2312" w:hAnsi="宋体" w:eastAsia="仿宋_GB2312" w:cs="Times New Roman"/>
                <w:color w:val="auto"/>
                <w:sz w:val="24"/>
              </w:rPr>
            </w:pPr>
            <w:r>
              <w:rPr>
                <w:rFonts w:hint="eastAsia" w:ascii="仿宋_GB2312" w:hAnsi="宋体" w:eastAsia="仿宋_GB2312" w:cs="Times New Roman"/>
                <w:color w:val="auto"/>
                <w:sz w:val="24"/>
                <w:lang w:val="zh-CN"/>
              </w:rPr>
              <w:t>树盘内无严重杂草。</w:t>
            </w:r>
          </w:p>
        </w:tc>
      </w:tr>
      <w:tr w14:paraId="198BCFEA">
        <w:tblPrEx>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6" w:space="0"/>
              <w:bottom w:val="single" w:color="auto" w:sz="6" w:space="0"/>
              <w:right w:val="single" w:color="auto" w:sz="6" w:space="0"/>
            </w:tcBorders>
            <w:noWrap w:val="0"/>
            <w:vAlign w:val="center"/>
          </w:tcPr>
          <w:p w14:paraId="1C2184B5">
            <w:pPr>
              <w:jc w:val="center"/>
              <w:rPr>
                <w:rFonts w:hint="eastAsia" w:ascii="仿宋_GB2312" w:hAnsi="宋体" w:eastAsia="仿宋_GB2312" w:cs="Times New Roman"/>
                <w:color w:val="auto"/>
                <w:sz w:val="24"/>
              </w:rPr>
            </w:pPr>
            <w:r>
              <w:rPr>
                <w:rFonts w:hint="eastAsia" w:ascii="仿宋_GB2312" w:hAnsi="宋体" w:eastAsia="仿宋_GB2312" w:cs="Times New Roman"/>
                <w:color w:val="auto"/>
                <w:sz w:val="24"/>
                <w:lang w:val="zh-CN"/>
              </w:rPr>
              <w:t>补植</w:t>
            </w:r>
          </w:p>
        </w:tc>
        <w:tc>
          <w:tcPr>
            <w:tcW w:w="0" w:type="auto"/>
            <w:tcBorders>
              <w:top w:val="single" w:color="auto" w:sz="6" w:space="0"/>
              <w:left w:val="single" w:color="auto" w:sz="6" w:space="0"/>
              <w:bottom w:val="single" w:color="auto" w:sz="6" w:space="0"/>
              <w:right w:val="single" w:color="auto" w:sz="6" w:space="0"/>
            </w:tcBorders>
            <w:noWrap w:val="0"/>
            <w:vAlign w:val="center"/>
          </w:tcPr>
          <w:p w14:paraId="51F51AE3">
            <w:pPr>
              <w:rPr>
                <w:rFonts w:hint="eastAsia" w:ascii="仿宋_GB2312" w:hAnsi="宋体" w:eastAsia="仿宋_GB2312" w:cs="Times New Roman"/>
                <w:color w:val="auto"/>
                <w:sz w:val="24"/>
              </w:rPr>
            </w:pPr>
            <w:r>
              <w:rPr>
                <w:rFonts w:hint="eastAsia" w:ascii="仿宋_GB2312" w:hAnsi="宋体" w:eastAsia="仿宋_GB2312" w:cs="Times New Roman"/>
                <w:color w:val="auto"/>
                <w:sz w:val="24"/>
                <w:lang w:val="zh-CN"/>
              </w:rPr>
              <w:t>对因生长不良造成的死亡及残缺花草、树木需及时补植恢复。</w:t>
            </w:r>
          </w:p>
        </w:tc>
        <w:tc>
          <w:tcPr>
            <w:tcW w:w="0" w:type="auto"/>
            <w:tcBorders>
              <w:top w:val="single" w:color="auto" w:sz="6" w:space="0"/>
              <w:left w:val="single" w:color="auto" w:sz="6" w:space="0"/>
              <w:bottom w:val="single" w:color="auto" w:sz="6" w:space="0"/>
              <w:right w:val="single" w:color="auto" w:sz="6" w:space="0"/>
            </w:tcBorders>
            <w:noWrap w:val="0"/>
            <w:vAlign w:val="center"/>
          </w:tcPr>
          <w:p w14:paraId="4151E847">
            <w:pPr>
              <w:rPr>
                <w:rFonts w:hint="eastAsia" w:ascii="仿宋_GB2312" w:hAnsi="宋体" w:eastAsia="仿宋_GB2312" w:cs="Times New Roman"/>
                <w:color w:val="auto"/>
                <w:sz w:val="24"/>
              </w:rPr>
            </w:pPr>
            <w:r>
              <w:rPr>
                <w:rFonts w:hint="eastAsia" w:ascii="仿宋_GB2312" w:hAnsi="宋体" w:eastAsia="仿宋_GB2312" w:cs="Times New Roman"/>
                <w:color w:val="auto"/>
                <w:sz w:val="24"/>
                <w:lang w:val="zh-CN"/>
              </w:rPr>
              <w:t>能满足植物生长的条件下无黄土裸露；无明显沟缝。</w:t>
            </w:r>
          </w:p>
        </w:tc>
      </w:tr>
      <w:tr w14:paraId="0A143015">
        <w:tblPrEx>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6" w:space="0"/>
              <w:bottom w:val="single" w:color="auto" w:sz="4" w:space="0"/>
              <w:right w:val="single" w:color="auto" w:sz="6" w:space="0"/>
            </w:tcBorders>
            <w:noWrap w:val="0"/>
            <w:vAlign w:val="center"/>
          </w:tcPr>
          <w:p w14:paraId="7B099E6E">
            <w:pPr>
              <w:jc w:val="center"/>
              <w:rPr>
                <w:rFonts w:hint="eastAsia" w:ascii="仿宋_GB2312" w:hAnsi="宋体" w:eastAsia="仿宋_GB2312" w:cs="Times New Roman"/>
                <w:color w:val="auto"/>
                <w:sz w:val="24"/>
              </w:rPr>
            </w:pPr>
            <w:r>
              <w:rPr>
                <w:rFonts w:hint="eastAsia" w:ascii="仿宋_GB2312" w:hAnsi="宋体" w:eastAsia="仿宋_GB2312" w:cs="Times New Roman"/>
                <w:color w:val="auto"/>
                <w:sz w:val="24"/>
                <w:lang w:val="zh-CN"/>
              </w:rPr>
              <w:t>清理</w:t>
            </w:r>
          </w:p>
          <w:p w14:paraId="062EBC06">
            <w:pPr>
              <w:jc w:val="center"/>
              <w:rPr>
                <w:rFonts w:hint="eastAsia" w:ascii="仿宋_GB2312" w:hAnsi="宋体" w:eastAsia="仿宋_GB2312" w:cs="Times New Roman"/>
                <w:color w:val="auto"/>
                <w:sz w:val="24"/>
              </w:rPr>
            </w:pPr>
            <w:r>
              <w:rPr>
                <w:rFonts w:hint="eastAsia" w:ascii="仿宋_GB2312" w:hAnsi="宋体" w:eastAsia="仿宋_GB2312" w:cs="Times New Roman"/>
                <w:color w:val="auto"/>
                <w:sz w:val="24"/>
                <w:lang w:val="zh-CN"/>
              </w:rPr>
              <w:t>绿化垃圾</w:t>
            </w:r>
          </w:p>
        </w:tc>
        <w:tc>
          <w:tcPr>
            <w:tcW w:w="0" w:type="auto"/>
            <w:tcBorders>
              <w:top w:val="single" w:color="auto" w:sz="6" w:space="0"/>
              <w:left w:val="single" w:color="auto" w:sz="6" w:space="0"/>
              <w:bottom w:val="single" w:color="auto" w:sz="4" w:space="0"/>
              <w:right w:val="single" w:color="auto" w:sz="6" w:space="0"/>
            </w:tcBorders>
            <w:noWrap w:val="0"/>
            <w:vAlign w:val="center"/>
          </w:tcPr>
          <w:p w14:paraId="717ED5F6">
            <w:pPr>
              <w:rPr>
                <w:rFonts w:hint="eastAsia" w:ascii="仿宋_GB2312" w:hAnsi="宋体" w:eastAsia="仿宋_GB2312" w:cs="Times New Roman"/>
                <w:color w:val="auto"/>
                <w:sz w:val="24"/>
              </w:rPr>
            </w:pPr>
            <w:r>
              <w:rPr>
                <w:rFonts w:hint="eastAsia" w:ascii="仿宋_GB2312" w:hAnsi="宋体" w:eastAsia="仿宋_GB2312" w:cs="Times New Roman"/>
                <w:color w:val="auto"/>
                <w:sz w:val="24"/>
                <w:lang w:val="zh-CN"/>
              </w:rPr>
              <w:t>修剪下来的树枝和杂草，当天垃圾要当天清运，不准就地焚烧。</w:t>
            </w:r>
          </w:p>
        </w:tc>
        <w:tc>
          <w:tcPr>
            <w:tcW w:w="0" w:type="auto"/>
            <w:tcBorders>
              <w:top w:val="single" w:color="auto" w:sz="6" w:space="0"/>
              <w:left w:val="single" w:color="auto" w:sz="6" w:space="0"/>
              <w:bottom w:val="single" w:color="auto" w:sz="4" w:space="0"/>
              <w:right w:val="single" w:color="auto" w:sz="6" w:space="0"/>
            </w:tcBorders>
            <w:noWrap w:val="0"/>
            <w:vAlign w:val="center"/>
          </w:tcPr>
          <w:p w14:paraId="260B280A">
            <w:pPr>
              <w:rPr>
                <w:rFonts w:hint="eastAsia" w:ascii="仿宋_GB2312" w:hAnsi="宋体" w:eastAsia="仿宋_GB2312" w:cs="Times New Roman"/>
                <w:color w:val="auto"/>
                <w:sz w:val="24"/>
              </w:rPr>
            </w:pPr>
            <w:r>
              <w:rPr>
                <w:rFonts w:hint="eastAsia" w:ascii="仿宋_GB2312" w:hAnsi="宋体" w:eastAsia="仿宋_GB2312" w:cs="Times New Roman"/>
                <w:color w:val="auto"/>
                <w:sz w:val="24"/>
                <w:lang w:val="zh-CN"/>
              </w:rPr>
              <w:t>有专人跟踪保洁。</w:t>
            </w:r>
          </w:p>
        </w:tc>
      </w:tr>
      <w:tr w14:paraId="05E3A0D5">
        <w:tblPrEx>
          <w:tblCellMar>
            <w:top w:w="0" w:type="dxa"/>
            <w:left w:w="108" w:type="dxa"/>
            <w:bottom w:w="0" w:type="dxa"/>
            <w:right w:w="108" w:type="dxa"/>
          </w:tblCellMar>
        </w:tblPrEx>
        <w:trPr>
          <w:trHeight w:val="567" w:hRule="atLeast"/>
          <w:jc w:val="center"/>
        </w:trPr>
        <w:tc>
          <w:tcPr>
            <w:tcW w:w="0" w:type="auto"/>
            <w:tcBorders>
              <w:top w:val="single" w:color="auto" w:sz="4" w:space="0"/>
              <w:left w:val="single" w:color="auto" w:sz="6" w:space="0"/>
              <w:bottom w:val="single" w:color="auto" w:sz="6" w:space="0"/>
              <w:right w:val="single" w:color="auto" w:sz="6" w:space="0"/>
            </w:tcBorders>
            <w:noWrap w:val="0"/>
            <w:vAlign w:val="center"/>
          </w:tcPr>
          <w:p w14:paraId="240FDDF5">
            <w:pPr>
              <w:jc w:val="center"/>
              <w:rPr>
                <w:rFonts w:hint="eastAsia" w:ascii="仿宋_GB2312" w:hAnsi="宋体" w:eastAsia="仿宋_GB2312" w:cs="Times New Roman"/>
                <w:color w:val="auto"/>
                <w:sz w:val="24"/>
              </w:rPr>
            </w:pPr>
            <w:r>
              <w:rPr>
                <w:rFonts w:hint="eastAsia" w:ascii="仿宋_GB2312" w:hAnsi="宋体" w:eastAsia="仿宋_GB2312" w:cs="Times New Roman"/>
                <w:color w:val="auto"/>
                <w:sz w:val="24"/>
              </w:rPr>
              <w:t>摆放花坛</w:t>
            </w:r>
          </w:p>
        </w:tc>
        <w:tc>
          <w:tcPr>
            <w:tcW w:w="0" w:type="auto"/>
            <w:tcBorders>
              <w:top w:val="single" w:color="auto" w:sz="4" w:space="0"/>
              <w:left w:val="single" w:color="auto" w:sz="6" w:space="0"/>
              <w:bottom w:val="single" w:color="auto" w:sz="6" w:space="0"/>
              <w:right w:val="single" w:color="auto" w:sz="6" w:space="0"/>
            </w:tcBorders>
            <w:noWrap w:val="0"/>
            <w:vAlign w:val="center"/>
          </w:tcPr>
          <w:p w14:paraId="7C205C82">
            <w:pPr>
              <w:rPr>
                <w:rFonts w:hint="eastAsia" w:ascii="仿宋_GB2312" w:hAnsi="宋体" w:eastAsia="仿宋_GB2312" w:cs="Times New Roman"/>
                <w:color w:val="auto"/>
                <w:sz w:val="24"/>
              </w:rPr>
            </w:pPr>
            <w:r>
              <w:rPr>
                <w:rFonts w:hint="eastAsia" w:ascii="仿宋_GB2312" w:hAnsi="宋体" w:eastAsia="仿宋_GB2312" w:cs="Times New Roman"/>
                <w:color w:val="auto"/>
                <w:sz w:val="24"/>
              </w:rPr>
              <w:t>根据</w:t>
            </w:r>
            <w:r>
              <w:rPr>
                <w:rFonts w:hint="eastAsia" w:ascii="仿宋_GB2312" w:hAnsi="宋体" w:eastAsia="仿宋_GB2312" w:cs="Times New Roman"/>
                <w:color w:val="auto"/>
                <w:sz w:val="24"/>
                <w:lang w:val="en-US" w:eastAsia="zh-CN"/>
              </w:rPr>
              <w:t>采购人</w:t>
            </w:r>
            <w:r>
              <w:rPr>
                <w:rFonts w:hint="eastAsia" w:ascii="仿宋_GB2312" w:hAnsi="宋体" w:eastAsia="仿宋_GB2312" w:cs="Times New Roman"/>
                <w:color w:val="auto"/>
                <w:sz w:val="24"/>
              </w:rPr>
              <w:t>安排在指定地点五一及十一节日期间摆放不少于1万盆草花。</w:t>
            </w:r>
          </w:p>
        </w:tc>
        <w:tc>
          <w:tcPr>
            <w:tcW w:w="0" w:type="auto"/>
            <w:tcBorders>
              <w:top w:val="single" w:color="auto" w:sz="4" w:space="0"/>
              <w:left w:val="single" w:color="auto" w:sz="6" w:space="0"/>
              <w:bottom w:val="single" w:color="auto" w:sz="6" w:space="0"/>
              <w:right w:val="single" w:color="auto" w:sz="6" w:space="0"/>
            </w:tcBorders>
            <w:noWrap w:val="0"/>
            <w:vAlign w:val="center"/>
          </w:tcPr>
          <w:p w14:paraId="6EE6220C">
            <w:pPr>
              <w:rPr>
                <w:rFonts w:hint="eastAsia" w:ascii="仿宋_GB2312" w:hAnsi="宋体" w:eastAsia="仿宋_GB2312" w:cs="Times New Roman"/>
                <w:color w:val="auto"/>
                <w:sz w:val="24"/>
              </w:rPr>
            </w:pPr>
            <w:r>
              <w:rPr>
                <w:rFonts w:hint="eastAsia" w:ascii="仿宋_GB2312" w:hAnsi="宋体" w:eastAsia="仿宋_GB2312" w:cs="Times New Roman"/>
                <w:color w:val="auto"/>
                <w:sz w:val="24"/>
              </w:rPr>
              <w:t>按时完成</w:t>
            </w:r>
            <w:r>
              <w:rPr>
                <w:rFonts w:hint="eastAsia" w:ascii="仿宋_GB2312" w:hAnsi="宋体" w:eastAsia="仿宋_GB2312" w:cs="Times New Roman"/>
                <w:color w:val="auto"/>
                <w:sz w:val="24"/>
                <w:lang w:val="en-US" w:eastAsia="zh-CN"/>
              </w:rPr>
              <w:t>采购人</w:t>
            </w:r>
            <w:r>
              <w:rPr>
                <w:rFonts w:hint="eastAsia" w:ascii="仿宋_GB2312" w:hAnsi="宋体" w:eastAsia="仿宋_GB2312" w:cs="Times New Roman"/>
                <w:color w:val="auto"/>
                <w:sz w:val="24"/>
              </w:rPr>
              <w:t>摆设花坛要求。</w:t>
            </w:r>
          </w:p>
        </w:tc>
      </w:tr>
      <w:tr w14:paraId="7921E089">
        <w:tblPrEx>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6" w:space="0"/>
              <w:bottom w:val="single" w:color="auto" w:sz="6" w:space="0"/>
              <w:right w:val="single" w:color="auto" w:sz="6" w:space="0"/>
            </w:tcBorders>
            <w:noWrap w:val="0"/>
            <w:vAlign w:val="center"/>
          </w:tcPr>
          <w:p w14:paraId="7957CF6F">
            <w:pPr>
              <w:jc w:val="center"/>
              <w:rPr>
                <w:rFonts w:hint="eastAsia" w:ascii="仿宋_GB2312" w:hAnsi="宋体" w:eastAsia="仿宋_GB2312" w:cs="Times New Roman"/>
                <w:color w:val="auto"/>
                <w:sz w:val="24"/>
              </w:rPr>
            </w:pPr>
            <w:r>
              <w:rPr>
                <w:rFonts w:hint="eastAsia" w:ascii="仿宋_GB2312" w:hAnsi="宋体" w:eastAsia="仿宋_GB2312" w:cs="Times New Roman"/>
                <w:color w:val="auto"/>
                <w:sz w:val="24"/>
                <w:lang w:val="zh-CN"/>
              </w:rPr>
              <w:t>防风防汛</w:t>
            </w:r>
          </w:p>
        </w:tc>
        <w:tc>
          <w:tcPr>
            <w:tcW w:w="0" w:type="auto"/>
            <w:tcBorders>
              <w:top w:val="single" w:color="auto" w:sz="6" w:space="0"/>
              <w:left w:val="single" w:color="auto" w:sz="6" w:space="0"/>
              <w:bottom w:val="single" w:color="auto" w:sz="6" w:space="0"/>
              <w:right w:val="single" w:color="auto" w:sz="6" w:space="0"/>
            </w:tcBorders>
            <w:noWrap w:val="0"/>
            <w:vAlign w:val="center"/>
          </w:tcPr>
          <w:p w14:paraId="050DA74E">
            <w:pPr>
              <w:rPr>
                <w:rFonts w:hint="eastAsia" w:ascii="仿宋_GB2312" w:hAnsi="宋体" w:eastAsia="仿宋_GB2312" w:cs="Times New Roman"/>
                <w:color w:val="auto"/>
                <w:sz w:val="24"/>
              </w:rPr>
            </w:pPr>
            <w:r>
              <w:rPr>
                <w:rFonts w:hint="eastAsia" w:ascii="仿宋_GB2312" w:hAnsi="宋体" w:eastAsia="仿宋_GB2312" w:cs="Times New Roman"/>
                <w:color w:val="auto"/>
                <w:sz w:val="24"/>
                <w:lang w:val="zh-CN"/>
              </w:rPr>
              <w:t>灾前积极预防，对树木加固，灾后及时清除倒树断枝、疏通道路，清理扶植。</w:t>
            </w:r>
          </w:p>
        </w:tc>
        <w:tc>
          <w:tcPr>
            <w:tcW w:w="0" w:type="auto"/>
            <w:tcBorders>
              <w:top w:val="single" w:color="auto" w:sz="6" w:space="0"/>
              <w:left w:val="single" w:color="auto" w:sz="6" w:space="0"/>
              <w:bottom w:val="single" w:color="auto" w:sz="6" w:space="0"/>
              <w:right w:val="single" w:color="auto" w:sz="6" w:space="0"/>
            </w:tcBorders>
            <w:noWrap w:val="0"/>
            <w:vAlign w:val="center"/>
          </w:tcPr>
          <w:p w14:paraId="5B4F5118">
            <w:pPr>
              <w:rPr>
                <w:rFonts w:hint="eastAsia" w:ascii="仿宋_GB2312" w:hAnsi="宋体" w:eastAsia="仿宋_GB2312" w:cs="Times New Roman"/>
                <w:color w:val="auto"/>
                <w:sz w:val="24"/>
              </w:rPr>
            </w:pPr>
            <w:r>
              <w:rPr>
                <w:rFonts w:hint="eastAsia" w:ascii="仿宋_GB2312" w:hAnsi="宋体" w:eastAsia="仿宋_GB2312" w:cs="Times New Roman"/>
                <w:color w:val="auto"/>
                <w:sz w:val="24"/>
                <w:lang w:val="zh-CN"/>
              </w:rPr>
              <w:t>尽快恢复原状、以免影响人流。</w:t>
            </w:r>
          </w:p>
        </w:tc>
      </w:tr>
      <w:tr w14:paraId="1DFAF837">
        <w:tblPrEx>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6" w:space="0"/>
              <w:bottom w:val="single" w:color="auto" w:sz="6" w:space="0"/>
              <w:right w:val="single" w:color="auto" w:sz="6" w:space="0"/>
            </w:tcBorders>
            <w:noWrap w:val="0"/>
            <w:vAlign w:val="center"/>
          </w:tcPr>
          <w:p w14:paraId="5744A387">
            <w:pPr>
              <w:jc w:val="center"/>
              <w:rPr>
                <w:rFonts w:hint="eastAsia" w:ascii="仿宋_GB2312" w:hAnsi="宋体" w:eastAsia="仿宋_GB2312" w:cs="Times New Roman"/>
                <w:color w:val="auto"/>
                <w:sz w:val="24"/>
              </w:rPr>
            </w:pPr>
            <w:r>
              <w:rPr>
                <w:rFonts w:hint="eastAsia" w:ascii="仿宋_GB2312" w:hAnsi="宋体" w:eastAsia="仿宋_GB2312" w:cs="Times New Roman"/>
                <w:color w:val="auto"/>
                <w:sz w:val="24"/>
                <w:lang w:val="zh-CN"/>
              </w:rPr>
              <w:t>保护措施</w:t>
            </w:r>
          </w:p>
        </w:tc>
        <w:tc>
          <w:tcPr>
            <w:tcW w:w="0" w:type="auto"/>
            <w:tcBorders>
              <w:top w:val="single" w:color="auto" w:sz="6" w:space="0"/>
              <w:left w:val="single" w:color="auto" w:sz="6" w:space="0"/>
              <w:bottom w:val="single" w:color="auto" w:sz="6" w:space="0"/>
              <w:right w:val="single" w:color="auto" w:sz="6" w:space="0"/>
            </w:tcBorders>
            <w:noWrap w:val="0"/>
            <w:vAlign w:val="center"/>
          </w:tcPr>
          <w:p w14:paraId="47E95A1C">
            <w:pPr>
              <w:rPr>
                <w:rFonts w:hint="eastAsia" w:ascii="仿宋_GB2312" w:hAnsi="宋体" w:eastAsia="仿宋_GB2312" w:cs="Times New Roman"/>
                <w:color w:val="auto"/>
                <w:sz w:val="24"/>
              </w:rPr>
            </w:pPr>
            <w:r>
              <w:rPr>
                <w:rFonts w:hint="eastAsia" w:ascii="仿宋_GB2312" w:hAnsi="宋体" w:eastAsia="仿宋_GB2312" w:cs="Times New Roman"/>
                <w:color w:val="auto"/>
                <w:sz w:val="24"/>
                <w:lang w:val="zh-CN"/>
              </w:rPr>
              <w:t>保护现有绿化完整，防止人为损坏。</w:t>
            </w:r>
          </w:p>
        </w:tc>
        <w:tc>
          <w:tcPr>
            <w:tcW w:w="0" w:type="auto"/>
            <w:tcBorders>
              <w:top w:val="single" w:color="auto" w:sz="6" w:space="0"/>
              <w:left w:val="single" w:color="auto" w:sz="6" w:space="0"/>
              <w:bottom w:val="single" w:color="auto" w:sz="6" w:space="0"/>
              <w:right w:val="single" w:color="auto" w:sz="6" w:space="0"/>
            </w:tcBorders>
            <w:noWrap w:val="0"/>
            <w:vAlign w:val="center"/>
          </w:tcPr>
          <w:p w14:paraId="08D2DCF7">
            <w:pPr>
              <w:rPr>
                <w:rFonts w:hint="eastAsia" w:ascii="仿宋_GB2312" w:hAnsi="宋体" w:eastAsia="仿宋_GB2312" w:cs="Times New Roman"/>
                <w:color w:val="auto"/>
                <w:sz w:val="24"/>
              </w:rPr>
            </w:pPr>
            <w:r>
              <w:rPr>
                <w:rFonts w:hint="eastAsia" w:ascii="仿宋_GB2312" w:hAnsi="宋体" w:eastAsia="仿宋_GB2312" w:cs="Times New Roman"/>
                <w:color w:val="auto"/>
                <w:sz w:val="24"/>
                <w:lang w:val="zh-CN"/>
              </w:rPr>
              <w:t>出现人为损坏时要及时恢复。</w:t>
            </w:r>
          </w:p>
        </w:tc>
      </w:tr>
    </w:tbl>
    <w:p w14:paraId="628DC456">
      <w:pPr>
        <w:keepNext w:val="0"/>
        <w:keepLines w:val="0"/>
        <w:pageBreakBefore w:val="0"/>
        <w:widowControl/>
        <w:numPr>
          <w:ilvl w:val="0"/>
          <w:numId w:val="0"/>
        </w:numPr>
        <w:overflowPunct/>
        <w:topLinePunct w:val="0"/>
        <w:bidi w:val="0"/>
        <w:spacing w:line="560" w:lineRule="exact"/>
        <w:rPr>
          <w:rFonts w:hint="eastAsia" w:ascii="华文仿宋" w:hAnsi="华文仿宋" w:eastAsia="华文仿宋" w:cs="华文仿宋"/>
          <w:b/>
          <w:bCs/>
          <w:sz w:val="28"/>
          <w:szCs w:val="28"/>
          <w:lang w:val="en-US" w:eastAsia="zh-CN"/>
        </w:rPr>
      </w:pPr>
      <w:r>
        <w:rPr>
          <w:rFonts w:hint="eastAsia" w:ascii="华文仿宋" w:hAnsi="华文仿宋" w:eastAsia="华文仿宋" w:cs="华文仿宋"/>
          <w:b/>
          <w:bCs/>
          <w:sz w:val="28"/>
          <w:szCs w:val="28"/>
          <w:lang w:val="en-US" w:eastAsia="zh-CN"/>
        </w:rPr>
        <w:t>二标段采购项目详细的技术参数及要求：</w:t>
      </w:r>
    </w:p>
    <w:p w14:paraId="6B7112C0">
      <w:pPr>
        <w:keepNext w:val="0"/>
        <w:keepLines w:val="0"/>
        <w:pageBreakBefore w:val="0"/>
        <w:widowControl/>
        <w:kinsoku/>
        <w:wordWrap/>
        <w:overflowPunct/>
        <w:topLinePunct w:val="0"/>
        <w:autoSpaceDE/>
        <w:autoSpaceDN/>
        <w:bidi w:val="0"/>
        <w:adjustRightInd/>
        <w:snapToGrid/>
        <w:spacing w:line="560" w:lineRule="exact"/>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一</w:t>
      </w:r>
      <w:r>
        <w:rPr>
          <w:rFonts w:hint="eastAsia" w:ascii="华文仿宋" w:hAnsi="华文仿宋" w:cs="华文仿宋"/>
          <w:sz w:val="28"/>
          <w:szCs w:val="28"/>
          <w:lang w:val="en-US" w:eastAsia="zh-CN"/>
        </w:rPr>
        <w:t>、</w:t>
      </w:r>
      <w:r>
        <w:rPr>
          <w:rFonts w:hint="eastAsia" w:ascii="华文仿宋" w:hAnsi="华文仿宋" w:eastAsia="华文仿宋" w:cs="华文仿宋"/>
          <w:sz w:val="28"/>
          <w:szCs w:val="28"/>
          <w:lang w:val="en-US" w:eastAsia="zh-CN"/>
        </w:rPr>
        <w:t>技术参数、采购范围</w:t>
      </w:r>
    </w:p>
    <w:p w14:paraId="0036A66E">
      <w:pPr>
        <w:keepNext w:val="0"/>
        <w:keepLines w:val="0"/>
        <w:pageBreakBefore w:val="0"/>
        <w:widowControl/>
        <w:kinsoku/>
        <w:wordWrap/>
        <w:overflowPunct/>
        <w:topLinePunct w:val="0"/>
        <w:autoSpaceDE/>
        <w:autoSpaceDN/>
        <w:bidi w:val="0"/>
        <w:adjustRightInd/>
        <w:snapToGrid/>
        <w:spacing w:line="560" w:lineRule="exact"/>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延安职业技术学院院本部环境卫生保洁服务，具体内容如下：</w:t>
      </w:r>
    </w:p>
    <w:p w14:paraId="682FEB33">
      <w:pPr>
        <w:keepNext w:val="0"/>
        <w:keepLines w:val="0"/>
        <w:pageBreakBefore w:val="0"/>
        <w:widowControl/>
        <w:kinsoku/>
        <w:wordWrap/>
        <w:overflowPunct/>
        <w:topLinePunct w:val="0"/>
        <w:autoSpaceDE/>
        <w:autoSpaceDN/>
        <w:bidi w:val="0"/>
        <w:adjustRightInd/>
        <w:snapToGrid/>
        <w:spacing w:line="560" w:lineRule="exact"/>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1.教学区除餐厅（3号餐厅、16号餐厅）、各学生公寓楼（4号学生公寓楼、5号学生公寓楼、6号学生公寓楼、15号学生公寓楼）的室内部分外，其他所有建筑物室内外公共区域（包括楼梯、楼道、卫生间、连廊、地下室、电梯间、平台、楼顶、从楼外连接楼内的所有踏步、通道、大厅、楼外散水等区域）的环境卫生保洁工作。</w:t>
      </w:r>
    </w:p>
    <w:p w14:paraId="233851F1">
      <w:pPr>
        <w:keepNext w:val="0"/>
        <w:keepLines w:val="0"/>
        <w:pageBreakBefore w:val="0"/>
        <w:widowControl/>
        <w:kinsoku/>
        <w:wordWrap/>
        <w:overflowPunct/>
        <w:topLinePunct w:val="0"/>
        <w:autoSpaceDE/>
        <w:autoSpaceDN/>
        <w:bidi w:val="0"/>
        <w:adjustRightInd/>
        <w:snapToGrid/>
        <w:spacing w:line="560" w:lineRule="exact"/>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2.教学区内所有设施、设备、牌匾、工艺品、休闲用品、楼道公共区域玻璃（不含高空）、扶手、栏杆、柱子、公共场所所有门窗、各类门牌、标识、灯具、消防器材等区域的清洁、保洁工作。</w:t>
      </w:r>
    </w:p>
    <w:p w14:paraId="785DC519">
      <w:pPr>
        <w:keepNext w:val="0"/>
        <w:keepLines w:val="0"/>
        <w:pageBreakBefore w:val="0"/>
        <w:widowControl/>
        <w:kinsoku/>
        <w:wordWrap/>
        <w:overflowPunct/>
        <w:topLinePunct w:val="0"/>
        <w:autoSpaceDE/>
        <w:autoSpaceDN/>
        <w:bidi w:val="0"/>
        <w:adjustRightInd/>
        <w:snapToGrid/>
        <w:spacing w:line="560" w:lineRule="exact"/>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3.整个教学区所有道路（包括绿化区域的步道）、广场、亭子、6号学生公寓楼和9号办公楼地下停车场、所有地上停车场、第一运动场、第二运动场、第三运动场、大门内外、各个角落等区域（含公用设施）的环境卫生保洁服务工作。</w:t>
      </w:r>
    </w:p>
    <w:p w14:paraId="15C08279">
      <w:pPr>
        <w:keepNext w:val="0"/>
        <w:keepLines w:val="0"/>
        <w:pageBreakBefore w:val="0"/>
        <w:widowControl/>
        <w:kinsoku/>
        <w:wordWrap/>
        <w:overflowPunct/>
        <w:topLinePunct w:val="0"/>
        <w:autoSpaceDE/>
        <w:autoSpaceDN/>
        <w:bidi w:val="0"/>
        <w:adjustRightInd/>
        <w:snapToGrid/>
        <w:spacing w:line="560" w:lineRule="exact"/>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4.晨曦运动场及定向培养学员训练场等区域的环境卫生保洁服务；教学实训轮船水池及周边的卫生保洁（不含轮船室内保洁），负责水池注水、排水及日常管护等。</w:t>
      </w:r>
    </w:p>
    <w:p w14:paraId="05981DD1">
      <w:pPr>
        <w:keepNext w:val="0"/>
        <w:keepLines w:val="0"/>
        <w:pageBreakBefore w:val="0"/>
        <w:widowControl/>
        <w:kinsoku/>
        <w:wordWrap/>
        <w:overflowPunct/>
        <w:topLinePunct w:val="0"/>
        <w:autoSpaceDE/>
        <w:autoSpaceDN/>
        <w:bidi w:val="0"/>
        <w:adjustRightInd/>
        <w:snapToGrid/>
        <w:spacing w:line="560" w:lineRule="exact"/>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5.校园内所有生活垃圾的收集、外运与处理等工作，其中垃圾的外运与处理过程必须符合环保部门和环卫部门的要求。</w:t>
      </w:r>
    </w:p>
    <w:p w14:paraId="7D75C36E">
      <w:pPr>
        <w:keepNext w:val="0"/>
        <w:keepLines w:val="0"/>
        <w:pageBreakBefore w:val="0"/>
        <w:widowControl/>
        <w:kinsoku/>
        <w:wordWrap/>
        <w:overflowPunct/>
        <w:topLinePunct w:val="0"/>
        <w:autoSpaceDE/>
        <w:autoSpaceDN/>
        <w:bidi w:val="0"/>
        <w:adjustRightInd/>
        <w:snapToGrid/>
        <w:spacing w:line="560" w:lineRule="exact"/>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6.负责大学生活动中心日常管理且至少安排2名专职人员。</w:t>
      </w:r>
    </w:p>
    <w:p w14:paraId="014C0DAA">
      <w:pPr>
        <w:keepNext w:val="0"/>
        <w:keepLines w:val="0"/>
        <w:pageBreakBefore w:val="0"/>
        <w:widowControl/>
        <w:kinsoku/>
        <w:wordWrap/>
        <w:overflowPunct/>
        <w:topLinePunct w:val="0"/>
        <w:autoSpaceDE/>
        <w:autoSpaceDN/>
        <w:bidi w:val="0"/>
        <w:adjustRightInd/>
        <w:snapToGrid/>
        <w:spacing w:line="560" w:lineRule="exact"/>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7.负责服务范围内各楼宇的卫生间、电梯、室外垃圾箱（桶）、垃圾压缩站等公共区域的防疫消毒工作。</w:t>
      </w:r>
    </w:p>
    <w:p w14:paraId="6ABD3486">
      <w:pPr>
        <w:keepNext w:val="0"/>
        <w:keepLines w:val="0"/>
        <w:pageBreakBefore w:val="0"/>
        <w:widowControl/>
        <w:kinsoku/>
        <w:wordWrap/>
        <w:overflowPunct/>
        <w:topLinePunct w:val="0"/>
        <w:autoSpaceDE/>
        <w:autoSpaceDN/>
        <w:bidi w:val="0"/>
        <w:adjustRightInd/>
        <w:snapToGrid/>
        <w:spacing w:line="560" w:lineRule="exact"/>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8.服务范围内所有垃圾桶（箱）、纸篓、卫生洁具的使用与管理。</w:t>
      </w:r>
    </w:p>
    <w:p w14:paraId="4E3CDC3F">
      <w:pPr>
        <w:keepNext w:val="0"/>
        <w:keepLines w:val="0"/>
        <w:pageBreakBefore w:val="0"/>
        <w:widowControl/>
        <w:kinsoku/>
        <w:wordWrap/>
        <w:overflowPunct/>
        <w:topLinePunct w:val="0"/>
        <w:autoSpaceDE/>
        <w:autoSpaceDN/>
        <w:bidi w:val="0"/>
        <w:adjustRightInd/>
        <w:snapToGrid/>
        <w:spacing w:line="560" w:lineRule="exact"/>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9.投标人指定的其他区域(具体范围以现场确认为准）。</w:t>
      </w:r>
    </w:p>
    <w:p w14:paraId="7C423F04">
      <w:pPr>
        <w:keepNext w:val="0"/>
        <w:keepLines w:val="0"/>
        <w:pageBreakBefore w:val="0"/>
        <w:widowControl/>
        <w:kinsoku/>
        <w:wordWrap/>
        <w:overflowPunct/>
        <w:topLinePunct w:val="0"/>
        <w:autoSpaceDE/>
        <w:autoSpaceDN/>
        <w:bidi w:val="0"/>
        <w:adjustRightInd/>
        <w:snapToGrid/>
        <w:spacing w:line="560" w:lineRule="exact"/>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以上服务内容所需要的耗材、工具、设备等所有费用，全部交由中标保洁公司承担。</w:t>
      </w:r>
    </w:p>
    <w:p w14:paraId="32431BA5">
      <w:pPr>
        <w:keepNext w:val="0"/>
        <w:keepLines w:val="0"/>
        <w:pageBreakBefore w:val="0"/>
        <w:widowControl/>
        <w:kinsoku/>
        <w:wordWrap/>
        <w:overflowPunct/>
        <w:topLinePunct w:val="0"/>
        <w:autoSpaceDE/>
        <w:autoSpaceDN/>
        <w:bidi w:val="0"/>
        <w:adjustRightInd/>
        <w:snapToGrid/>
        <w:spacing w:line="560" w:lineRule="exact"/>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二</w:t>
      </w:r>
      <w:r>
        <w:rPr>
          <w:rFonts w:hint="eastAsia" w:ascii="华文仿宋" w:hAnsi="华文仿宋" w:cs="华文仿宋"/>
          <w:sz w:val="28"/>
          <w:szCs w:val="28"/>
          <w:lang w:val="en-US" w:eastAsia="zh-CN"/>
        </w:rPr>
        <w:t>、</w:t>
      </w:r>
      <w:r>
        <w:rPr>
          <w:rFonts w:hint="eastAsia" w:ascii="华文仿宋" w:hAnsi="华文仿宋" w:eastAsia="华文仿宋" w:cs="华文仿宋"/>
          <w:sz w:val="28"/>
          <w:szCs w:val="28"/>
          <w:lang w:val="en-US" w:eastAsia="zh-CN"/>
        </w:rPr>
        <w:t>项目具体要求</w:t>
      </w:r>
    </w:p>
    <w:p w14:paraId="779583E4">
      <w:pPr>
        <w:keepNext w:val="0"/>
        <w:keepLines w:val="0"/>
        <w:pageBreakBefore w:val="0"/>
        <w:widowControl/>
        <w:kinsoku/>
        <w:wordWrap/>
        <w:overflowPunct/>
        <w:topLinePunct w:val="0"/>
        <w:autoSpaceDE/>
        <w:autoSpaceDN/>
        <w:bidi w:val="0"/>
        <w:adjustRightInd/>
        <w:snapToGrid/>
        <w:spacing w:line="560" w:lineRule="exact"/>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1.保洁服务的具体要求：</w:t>
      </w:r>
    </w:p>
    <w:p w14:paraId="70764F92">
      <w:pPr>
        <w:keepNext w:val="0"/>
        <w:keepLines w:val="0"/>
        <w:pageBreakBefore w:val="0"/>
        <w:widowControl/>
        <w:kinsoku/>
        <w:wordWrap/>
        <w:overflowPunct/>
        <w:topLinePunct w:val="0"/>
        <w:autoSpaceDE/>
        <w:autoSpaceDN/>
        <w:bidi w:val="0"/>
        <w:adjustRightInd/>
        <w:snapToGrid/>
        <w:spacing w:line="560" w:lineRule="exact"/>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（1）规定区域内所有楼梯、楼道、连廊、地下室、电梯间、平台及楼顶的保洁工作，每天至少清洁3次以上；卫生间每天至少清洁5次以上，确保无异味、无积水。</w:t>
      </w:r>
    </w:p>
    <w:p w14:paraId="31A8346E">
      <w:pPr>
        <w:keepNext w:val="0"/>
        <w:keepLines w:val="0"/>
        <w:pageBreakBefore w:val="0"/>
        <w:widowControl/>
        <w:kinsoku/>
        <w:wordWrap/>
        <w:overflowPunct/>
        <w:topLinePunct w:val="0"/>
        <w:autoSpaceDE/>
        <w:autoSpaceDN/>
        <w:bidi w:val="0"/>
        <w:adjustRightInd/>
        <w:snapToGrid/>
        <w:spacing w:line="560" w:lineRule="exact"/>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（2）服务范围内所有设施、设备、牌匾、内外玻璃及扶手、栏杆、柱子等区域的清洁与保洁工作，每周至少清洁1次，确保无积尘。</w:t>
      </w:r>
    </w:p>
    <w:p w14:paraId="629AC571">
      <w:pPr>
        <w:keepNext w:val="0"/>
        <w:keepLines w:val="0"/>
        <w:pageBreakBefore w:val="0"/>
        <w:widowControl/>
        <w:kinsoku/>
        <w:wordWrap/>
        <w:overflowPunct/>
        <w:topLinePunct w:val="0"/>
        <w:autoSpaceDE/>
        <w:autoSpaceDN/>
        <w:bidi w:val="0"/>
        <w:adjustRightInd/>
        <w:snapToGrid/>
        <w:spacing w:line="560" w:lineRule="exact"/>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（3）从楼外连接楼内的所有踏步、通道、大厅、楼外散水的清洁与保洁工作，每天至少清洁1次。</w:t>
      </w:r>
    </w:p>
    <w:p w14:paraId="28BB43F4">
      <w:pPr>
        <w:keepNext w:val="0"/>
        <w:keepLines w:val="0"/>
        <w:pageBreakBefore w:val="0"/>
        <w:widowControl/>
        <w:kinsoku/>
        <w:wordWrap/>
        <w:overflowPunct/>
        <w:topLinePunct w:val="0"/>
        <w:autoSpaceDE/>
        <w:autoSpaceDN/>
        <w:bidi w:val="0"/>
        <w:adjustRightInd/>
        <w:snapToGrid/>
        <w:spacing w:line="560" w:lineRule="exact"/>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（4）公共场所门窗和各类门牌、标识的清洁与日常保洁工作。</w:t>
      </w:r>
    </w:p>
    <w:p w14:paraId="29805E8C">
      <w:pPr>
        <w:keepNext w:val="0"/>
        <w:keepLines w:val="0"/>
        <w:pageBreakBefore w:val="0"/>
        <w:widowControl/>
        <w:kinsoku/>
        <w:wordWrap/>
        <w:overflowPunct/>
        <w:topLinePunct w:val="0"/>
        <w:autoSpaceDE/>
        <w:autoSpaceDN/>
        <w:bidi w:val="0"/>
        <w:adjustRightInd/>
        <w:snapToGrid/>
        <w:spacing w:line="560" w:lineRule="exact"/>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（5）各楼所有灯具、换气扇、消防器材的清洁与保洁工作，每周至少清洁1次，确保无积尘。</w:t>
      </w:r>
    </w:p>
    <w:p w14:paraId="7C400D8E">
      <w:pPr>
        <w:keepNext w:val="0"/>
        <w:keepLines w:val="0"/>
        <w:pageBreakBefore w:val="0"/>
        <w:widowControl/>
        <w:kinsoku/>
        <w:wordWrap/>
        <w:overflowPunct/>
        <w:topLinePunct w:val="0"/>
        <w:autoSpaceDE/>
        <w:autoSpaceDN/>
        <w:bidi w:val="0"/>
        <w:adjustRightInd/>
        <w:snapToGrid/>
        <w:spacing w:line="560" w:lineRule="exact"/>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（6）9号办公楼卫生间内手纸、手纸盒、手纸篓、自动喷香机电池、香氛盒、洗手液等消耗品由中标人负责提供并及时补充。</w:t>
      </w:r>
    </w:p>
    <w:p w14:paraId="2AF0799C">
      <w:pPr>
        <w:keepNext w:val="0"/>
        <w:keepLines w:val="0"/>
        <w:pageBreakBefore w:val="0"/>
        <w:widowControl/>
        <w:kinsoku/>
        <w:wordWrap/>
        <w:overflowPunct/>
        <w:topLinePunct w:val="0"/>
        <w:autoSpaceDE/>
        <w:autoSpaceDN/>
        <w:bidi w:val="0"/>
        <w:adjustRightInd/>
        <w:snapToGrid/>
        <w:spacing w:line="560" w:lineRule="exact"/>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（7）大学生活动中心日常管理，规定时间内均需有专人值守，严格执行相关管理制度。</w:t>
      </w:r>
    </w:p>
    <w:p w14:paraId="0CF86550">
      <w:pPr>
        <w:keepNext w:val="0"/>
        <w:keepLines w:val="0"/>
        <w:pageBreakBefore w:val="0"/>
        <w:widowControl/>
        <w:kinsoku/>
        <w:wordWrap/>
        <w:overflowPunct/>
        <w:topLinePunct w:val="0"/>
        <w:autoSpaceDE/>
        <w:autoSpaceDN/>
        <w:bidi w:val="0"/>
        <w:adjustRightInd/>
        <w:snapToGrid/>
        <w:spacing w:line="560" w:lineRule="exact"/>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（8）第一、二、三运动场、地下地上停车场每天至少清洁2次，确保无垃圾。</w:t>
      </w:r>
    </w:p>
    <w:p w14:paraId="73DDD413">
      <w:pPr>
        <w:keepNext w:val="0"/>
        <w:keepLines w:val="0"/>
        <w:pageBreakBefore w:val="0"/>
        <w:widowControl/>
        <w:kinsoku/>
        <w:wordWrap/>
        <w:overflowPunct/>
        <w:topLinePunct w:val="0"/>
        <w:autoSpaceDE/>
        <w:autoSpaceDN/>
        <w:bidi w:val="0"/>
        <w:adjustRightInd/>
        <w:snapToGrid/>
        <w:spacing w:line="560" w:lineRule="exact"/>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（9）各楼宇卫生间、电梯、室外垃圾箱（桶）、垃圾压缩站公共区域的防疫消毒工作按照相关规定执行。</w:t>
      </w:r>
    </w:p>
    <w:p w14:paraId="4F1E9526">
      <w:pPr>
        <w:keepNext w:val="0"/>
        <w:keepLines w:val="0"/>
        <w:pageBreakBefore w:val="0"/>
        <w:widowControl/>
        <w:kinsoku/>
        <w:wordWrap/>
        <w:overflowPunct/>
        <w:topLinePunct w:val="0"/>
        <w:autoSpaceDE/>
        <w:autoSpaceDN/>
        <w:bidi w:val="0"/>
        <w:adjustRightInd/>
        <w:snapToGrid/>
        <w:spacing w:line="560" w:lineRule="exact"/>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（10）服务范围内所有垃圾桶（箱）、纸篓、卫生洁具的使用与管理，其中卫生保洁工具由中标人自备。</w:t>
      </w:r>
    </w:p>
    <w:p w14:paraId="10083FF1">
      <w:pPr>
        <w:keepNext w:val="0"/>
        <w:keepLines w:val="0"/>
        <w:pageBreakBefore w:val="0"/>
        <w:widowControl/>
        <w:kinsoku/>
        <w:wordWrap/>
        <w:overflowPunct/>
        <w:topLinePunct w:val="0"/>
        <w:autoSpaceDE/>
        <w:autoSpaceDN/>
        <w:bidi w:val="0"/>
        <w:adjustRightInd/>
        <w:snapToGrid/>
        <w:spacing w:line="560" w:lineRule="exact"/>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（11）整个校内所有生活垃圾需及时进行收集和清理，做到日产日清；垃圾场垃圾及时外运，垃圾箱外不得堆放垃圾。</w:t>
      </w:r>
    </w:p>
    <w:p w14:paraId="1A113C26">
      <w:pPr>
        <w:keepNext w:val="0"/>
        <w:keepLines w:val="0"/>
        <w:pageBreakBefore w:val="0"/>
        <w:widowControl/>
        <w:kinsoku/>
        <w:wordWrap/>
        <w:overflowPunct/>
        <w:topLinePunct w:val="0"/>
        <w:autoSpaceDE/>
        <w:autoSpaceDN/>
        <w:bidi w:val="0"/>
        <w:adjustRightInd/>
        <w:snapToGrid/>
        <w:spacing w:line="560" w:lineRule="exact"/>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（12）服务范围内所有硬化道路等区域的清洁与保洁工作（含积雪、积水的清扫和处理）。</w:t>
      </w:r>
    </w:p>
    <w:p w14:paraId="1D4C39F7">
      <w:pPr>
        <w:keepNext w:val="0"/>
        <w:keepLines w:val="0"/>
        <w:pageBreakBefore w:val="0"/>
        <w:widowControl/>
        <w:kinsoku/>
        <w:wordWrap/>
        <w:overflowPunct/>
        <w:topLinePunct w:val="0"/>
        <w:autoSpaceDE/>
        <w:autoSpaceDN/>
        <w:bidi w:val="0"/>
        <w:adjustRightInd/>
        <w:snapToGrid/>
        <w:spacing w:line="560" w:lineRule="exact"/>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（13）服务范围内室外雨水口的及时清理工作，确保雨水口无杂物及泥土堆积，排水顺畅。</w:t>
      </w:r>
    </w:p>
    <w:p w14:paraId="21E719FE">
      <w:pPr>
        <w:keepNext w:val="0"/>
        <w:keepLines w:val="0"/>
        <w:pageBreakBefore w:val="0"/>
        <w:widowControl/>
        <w:kinsoku/>
        <w:wordWrap/>
        <w:overflowPunct/>
        <w:topLinePunct w:val="0"/>
        <w:autoSpaceDE/>
        <w:autoSpaceDN/>
        <w:bidi w:val="0"/>
        <w:adjustRightInd/>
        <w:snapToGrid/>
        <w:spacing w:line="560" w:lineRule="exact"/>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（14）校园内生活垃圾桶的清洁，桶内垃圾及时收集，确保无堆积。</w:t>
      </w:r>
    </w:p>
    <w:p w14:paraId="7ADE8B8A">
      <w:pPr>
        <w:keepNext w:val="0"/>
        <w:keepLines w:val="0"/>
        <w:pageBreakBefore w:val="0"/>
        <w:widowControl/>
        <w:kinsoku/>
        <w:wordWrap/>
        <w:overflowPunct/>
        <w:topLinePunct w:val="0"/>
        <w:autoSpaceDE/>
        <w:autoSpaceDN/>
        <w:bidi w:val="0"/>
        <w:adjustRightInd/>
        <w:snapToGrid/>
        <w:spacing w:line="560" w:lineRule="exact"/>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2、工作人员及保洁时间要求：</w:t>
      </w:r>
    </w:p>
    <w:p w14:paraId="42881709">
      <w:pPr>
        <w:keepNext w:val="0"/>
        <w:keepLines w:val="0"/>
        <w:pageBreakBefore w:val="0"/>
        <w:widowControl/>
        <w:kinsoku/>
        <w:wordWrap/>
        <w:overflowPunct/>
        <w:topLinePunct w:val="0"/>
        <w:autoSpaceDE/>
        <w:autoSpaceDN/>
        <w:bidi w:val="0"/>
        <w:adjustRightInd/>
        <w:snapToGrid/>
        <w:spacing w:line="560" w:lineRule="exact"/>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（1）从业人员符合《中华人民共和国劳动法》规定的各项条件，身体健康、无不良纪录。</w:t>
      </w:r>
    </w:p>
    <w:p w14:paraId="2DF2DEDB">
      <w:pPr>
        <w:keepNext w:val="0"/>
        <w:keepLines w:val="0"/>
        <w:pageBreakBefore w:val="0"/>
        <w:widowControl/>
        <w:kinsoku/>
        <w:wordWrap/>
        <w:overflowPunct/>
        <w:topLinePunct w:val="0"/>
        <w:autoSpaceDE/>
        <w:autoSpaceDN/>
        <w:bidi w:val="0"/>
        <w:adjustRightInd/>
        <w:snapToGrid/>
        <w:spacing w:line="560" w:lineRule="exact"/>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（2）投标人应与雇佣人员均签订劳动合同，给其缴纳各类养老保险，并购买意外险等社会保险，双方严格遵守合同。</w:t>
      </w:r>
    </w:p>
    <w:p w14:paraId="0BA25BE8">
      <w:pPr>
        <w:keepNext w:val="0"/>
        <w:keepLines w:val="0"/>
        <w:pageBreakBefore w:val="0"/>
        <w:widowControl/>
        <w:kinsoku/>
        <w:wordWrap/>
        <w:overflowPunct/>
        <w:topLinePunct w:val="0"/>
        <w:autoSpaceDE/>
        <w:autoSpaceDN/>
        <w:bidi w:val="0"/>
        <w:adjustRightInd/>
        <w:snapToGrid/>
        <w:spacing w:line="560" w:lineRule="exact"/>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（3）从业人员与投标人存在的劳动关系，与采购人无任何关系。</w:t>
      </w:r>
    </w:p>
    <w:p w14:paraId="7E096F91">
      <w:pPr>
        <w:keepNext w:val="0"/>
        <w:keepLines w:val="0"/>
        <w:pageBreakBefore w:val="0"/>
        <w:widowControl/>
        <w:kinsoku/>
        <w:wordWrap/>
        <w:overflowPunct/>
        <w:topLinePunct w:val="0"/>
        <w:autoSpaceDE/>
        <w:autoSpaceDN/>
        <w:bidi w:val="0"/>
        <w:adjustRightInd/>
        <w:snapToGrid/>
        <w:spacing w:line="560" w:lineRule="exact"/>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（4）投标人必须指派至少1名管理人员进驻采购人，做好管理工作，从业人员不得少于58人（项目经理1人，项目主管1人，区域负责人3人，保洁员48人，垃圾清运员3人，大学生活动中心管理员2人）。</w:t>
      </w:r>
    </w:p>
    <w:p w14:paraId="10381A87">
      <w:pPr>
        <w:keepNext w:val="0"/>
        <w:keepLines w:val="0"/>
        <w:pageBreakBefore w:val="0"/>
        <w:widowControl/>
        <w:kinsoku/>
        <w:wordWrap/>
        <w:overflowPunct/>
        <w:topLinePunct w:val="0"/>
        <w:autoSpaceDE/>
        <w:autoSpaceDN/>
        <w:bidi w:val="0"/>
        <w:adjustRightInd/>
        <w:snapToGrid/>
        <w:spacing w:line="560" w:lineRule="exact"/>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（5）公共区域的卫生保洁应在广大师生上班、上课前清理完毕，责任区域巡回保洁。</w:t>
      </w:r>
    </w:p>
    <w:p w14:paraId="0A300406">
      <w:pPr>
        <w:keepNext w:val="0"/>
        <w:keepLines w:val="0"/>
        <w:pageBreakBefore w:val="0"/>
        <w:widowControl/>
        <w:kinsoku/>
        <w:wordWrap/>
        <w:overflowPunct/>
        <w:topLinePunct w:val="0"/>
        <w:autoSpaceDE/>
        <w:autoSpaceDN/>
        <w:bidi w:val="0"/>
        <w:adjustRightInd/>
        <w:snapToGrid/>
        <w:spacing w:line="560" w:lineRule="exact"/>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（6）日常管理、保洁等工作包括所有的节假日和寒暑假期间。</w:t>
      </w:r>
    </w:p>
    <w:p w14:paraId="659D7AC4">
      <w:pPr>
        <w:keepNext w:val="0"/>
        <w:keepLines w:val="0"/>
        <w:pageBreakBefore w:val="0"/>
        <w:widowControl/>
        <w:kinsoku/>
        <w:wordWrap/>
        <w:overflowPunct/>
        <w:topLinePunct w:val="0"/>
        <w:autoSpaceDE/>
        <w:autoSpaceDN/>
        <w:bidi w:val="0"/>
        <w:adjustRightInd/>
        <w:snapToGrid/>
        <w:spacing w:line="560" w:lineRule="exact"/>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（7）投标人在服务过程中，要严格遵守安全生产的有关规定，若造成采购人或第三方的财产损失和人员伤害时，由投标人承担全部责任，与采购人无任何责任。</w:t>
      </w:r>
    </w:p>
    <w:p w14:paraId="6E5CD0C7">
      <w:pPr>
        <w:keepNext w:val="0"/>
        <w:keepLines w:val="0"/>
        <w:pageBreakBefore w:val="0"/>
        <w:widowControl/>
        <w:overflowPunct/>
        <w:topLinePunct w:val="0"/>
        <w:bidi w:val="0"/>
        <w:spacing w:line="560" w:lineRule="exact"/>
        <w:rPr>
          <w:rFonts w:hint="eastAsia" w:ascii="华文仿宋" w:hAnsi="华文仿宋" w:eastAsia="华文仿宋" w:cs="华文仿宋"/>
          <w:b/>
          <w:bCs/>
          <w:kern w:val="0"/>
          <w:sz w:val="28"/>
          <w:szCs w:val="28"/>
        </w:rPr>
      </w:pPr>
    </w:p>
    <w:p w14:paraId="3E7F3F9D">
      <w:pPr>
        <w:keepNext w:val="0"/>
        <w:keepLines w:val="0"/>
        <w:pageBreakBefore w:val="0"/>
        <w:widowControl/>
        <w:overflowPunct/>
        <w:topLinePunct w:val="0"/>
        <w:bidi w:val="0"/>
        <w:spacing w:line="560" w:lineRule="exact"/>
        <w:ind w:firstLine="566" w:firstLineChars="200"/>
        <w:rPr>
          <w:rFonts w:hint="eastAsia" w:ascii="华文仿宋" w:hAnsi="华文仿宋" w:eastAsia="华文仿宋" w:cs="华文仿宋"/>
          <w:b/>
          <w:bCs/>
          <w:kern w:val="0"/>
          <w:sz w:val="28"/>
          <w:szCs w:val="28"/>
        </w:rPr>
      </w:pPr>
      <w:r>
        <w:rPr>
          <w:rFonts w:hint="eastAsia" w:ascii="华文仿宋" w:hAnsi="华文仿宋" w:eastAsia="华文仿宋" w:cs="华文仿宋"/>
          <w:b/>
          <w:bCs/>
          <w:kern w:val="0"/>
          <w:sz w:val="28"/>
          <w:szCs w:val="28"/>
        </w:rPr>
        <w:t>注：本</w:t>
      </w:r>
      <w:r>
        <w:rPr>
          <w:rFonts w:hint="eastAsia" w:ascii="华文仿宋" w:hAnsi="华文仿宋" w:eastAsia="华文仿宋" w:cs="华文仿宋"/>
          <w:b/>
          <w:bCs/>
          <w:kern w:val="0"/>
          <w:sz w:val="28"/>
          <w:szCs w:val="28"/>
          <w:lang w:val="en-US" w:eastAsia="zh-CN"/>
        </w:rPr>
        <w:t>项目</w:t>
      </w:r>
      <w:r>
        <w:rPr>
          <w:rFonts w:hint="eastAsia" w:ascii="华文仿宋" w:hAnsi="华文仿宋" w:cs="华文仿宋"/>
          <w:b/>
          <w:bCs/>
          <w:kern w:val="0"/>
          <w:sz w:val="28"/>
          <w:szCs w:val="28"/>
          <w:lang w:val="en-US" w:eastAsia="zh-CN"/>
        </w:rPr>
        <w:t>服务内容及要求</w:t>
      </w:r>
      <w:r>
        <w:rPr>
          <w:rFonts w:hint="eastAsia" w:ascii="华文仿宋" w:hAnsi="华文仿宋" w:eastAsia="华文仿宋" w:cs="华文仿宋"/>
          <w:b/>
          <w:bCs/>
          <w:kern w:val="0"/>
          <w:sz w:val="28"/>
          <w:szCs w:val="28"/>
        </w:rPr>
        <w:t>由采购人提供。</w:t>
      </w:r>
    </w:p>
    <w:bookmarkEnd w:id="536"/>
    <w:bookmarkEnd w:id="537"/>
    <w:bookmarkEnd w:id="538"/>
    <w:bookmarkEnd w:id="539"/>
    <w:bookmarkEnd w:id="540"/>
    <w:bookmarkEnd w:id="541"/>
    <w:bookmarkEnd w:id="542"/>
    <w:p w14:paraId="6B8D235E">
      <w:pPr>
        <w:spacing w:line="240" w:lineRule="auto"/>
        <w:jc w:val="center"/>
        <w:outlineLvl w:val="0"/>
        <w:rPr>
          <w:rFonts w:ascii="黑体" w:hAnsi="黑体" w:eastAsia="黑体" w:cs="黑体"/>
          <w:color w:val="auto"/>
          <w:kern w:val="44"/>
          <w:sz w:val="32"/>
          <w:szCs w:val="32"/>
        </w:rPr>
      </w:pPr>
      <w:bookmarkStart w:id="543" w:name="_Toc26291"/>
      <w:bookmarkEnd w:id="543"/>
      <w:bookmarkStart w:id="544" w:name="_Toc31055"/>
      <w:bookmarkEnd w:id="544"/>
      <w:bookmarkStart w:id="545" w:name="_Toc32397"/>
      <w:bookmarkEnd w:id="545"/>
      <w:bookmarkStart w:id="546" w:name="_Toc9304"/>
      <w:bookmarkEnd w:id="546"/>
      <w:bookmarkStart w:id="547" w:name="_Toc25069"/>
      <w:bookmarkEnd w:id="547"/>
      <w:r>
        <w:rPr>
          <w:rFonts w:hint="eastAsia" w:ascii="黑体" w:hAnsi="黑体" w:eastAsia="黑体" w:cs="黑体"/>
          <w:color w:val="auto"/>
          <w:kern w:val="44"/>
          <w:sz w:val="32"/>
          <w:szCs w:val="32"/>
        </w:rPr>
        <w:br w:type="page"/>
      </w:r>
      <w:r>
        <w:rPr>
          <w:rFonts w:hint="eastAsia" w:ascii="黑体" w:hAnsi="黑体" w:eastAsia="黑体" w:cs="黑体"/>
          <w:color w:val="auto"/>
          <w:kern w:val="44"/>
          <w:sz w:val="32"/>
          <w:szCs w:val="32"/>
        </w:rPr>
        <w:t>第五章  合同草案条款</w:t>
      </w:r>
    </w:p>
    <w:p w14:paraId="2C7B8BAC">
      <w:pPr>
        <w:pStyle w:val="3"/>
        <w:keepNext w:val="0"/>
        <w:widowControl w:val="0"/>
        <w:spacing w:line="500" w:lineRule="exact"/>
        <w:ind w:firstLine="567"/>
        <w:rPr>
          <w:rFonts w:hint="eastAsia" w:ascii="华文仿宋" w:hAnsi="华文仿宋" w:cs="华文仿宋"/>
          <w:b/>
          <w:bCs/>
          <w:sz w:val="28"/>
          <w:szCs w:val="28"/>
          <w:lang w:val="en-US" w:eastAsia="zh-CN"/>
        </w:rPr>
      </w:pPr>
      <w:bookmarkStart w:id="548" w:name="_Toc5554"/>
      <w:bookmarkStart w:id="549" w:name="_Toc6821"/>
      <w:bookmarkStart w:id="550" w:name="_Toc495014956"/>
      <w:bookmarkStart w:id="551" w:name="_Toc29064"/>
      <w:bookmarkStart w:id="552" w:name="_Toc495012823"/>
      <w:bookmarkStart w:id="553" w:name="_Toc15751"/>
      <w:bookmarkStart w:id="554" w:name="_Toc23267"/>
      <w:bookmarkStart w:id="555" w:name="_Toc13839"/>
      <w:bookmarkStart w:id="556" w:name="_Toc495014613"/>
      <w:bookmarkStart w:id="557" w:name="_Toc495014922"/>
      <w:bookmarkStart w:id="558" w:name="_Toc445306495"/>
      <w:bookmarkStart w:id="559" w:name="_Toc13809"/>
      <w:bookmarkStart w:id="560" w:name="_Toc495012773"/>
      <w:bookmarkStart w:id="561" w:name="_Toc27349"/>
      <w:bookmarkStart w:id="562" w:name="_Toc1902"/>
      <w:bookmarkStart w:id="563" w:name="_Toc17780"/>
      <w:bookmarkStart w:id="564" w:name="_Toc19548"/>
      <w:bookmarkStart w:id="565" w:name="_Toc495014651"/>
      <w:bookmarkStart w:id="566" w:name="_Toc495014587"/>
    </w:p>
    <w:p w14:paraId="6F4C6557">
      <w:pPr>
        <w:pStyle w:val="3"/>
        <w:keepNext w:val="0"/>
        <w:widowControl w:val="0"/>
        <w:spacing w:line="500" w:lineRule="exact"/>
        <w:ind w:firstLine="567"/>
        <w:rPr>
          <w:rFonts w:hint="eastAsia" w:ascii="华文仿宋" w:hAnsi="华文仿宋" w:cs="华文仿宋"/>
          <w:b/>
          <w:bCs/>
          <w:sz w:val="28"/>
          <w:szCs w:val="28"/>
          <w:lang w:val="en-US" w:eastAsia="zh-CN"/>
        </w:rPr>
      </w:pPr>
      <w:r>
        <w:rPr>
          <w:rFonts w:hint="eastAsia" w:ascii="华文仿宋" w:hAnsi="华文仿宋" w:cs="华文仿宋"/>
          <w:b/>
          <w:bCs/>
          <w:sz w:val="28"/>
          <w:szCs w:val="28"/>
          <w:lang w:val="en-US" w:eastAsia="zh-CN"/>
        </w:rPr>
        <w:t>一标段合同草案条款：</w:t>
      </w:r>
    </w:p>
    <w:p w14:paraId="1DEBE215">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一、绿化养护工程概况</w:t>
      </w:r>
    </w:p>
    <w:p w14:paraId="699C26CA">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延安职业技术学院院本部所有绿化区域内乔木4858株、灌木3224株、绿篱711平方米、色带18061.9平方米、草坪140940.1平方米的日常浇水、开穴覆土、修剪、施肥、除草、抹芽、病虫害防治、扶正等；对所有养护区域内树木进行排查，每年春季和秋季对死亡的乔木、灌木、绿篱、色带、草坪进行补植（补种）；所有绿化区域内日常卫生保洁；节假日在重点区域由养护服务单位摆放花坛、日常管护、摆放完后垃圾清理等工作内容。</w:t>
      </w:r>
    </w:p>
    <w:p w14:paraId="316E912B">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二、合同金额及付款方式</w:t>
      </w:r>
    </w:p>
    <w:p w14:paraId="7F90AAF0">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1.合同金额即中标价格；其金额不受人工、材料市场价格变化的影响。</w:t>
      </w:r>
    </w:p>
    <w:p w14:paraId="7CCAFB53">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2.合同签订前，中标人须向甲方缴纳合同总价款5%的履约保证金（账号：6100 1683 8110 5250 3314，开户行：建行延安东关支行）。项目履约完成后，经甲方验收合格无任何问题后，由中标人申请，甲方一次性无息退付履约保证金。</w:t>
      </w:r>
    </w:p>
    <w:p w14:paraId="7794C3FD">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3.付款方式</w:t>
      </w:r>
    </w:p>
    <w:p w14:paraId="470769C2">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（1）由采购人直接支付，中标人正式履行合同各项条款后，采购人于次月十日前按照平均服务费减去检查扣款计算上月应付服务费，中标人出具正式票据，采购人以银行转帐方式支付中标人上月服务费用。</w:t>
      </w:r>
    </w:p>
    <w:p w14:paraId="4D2211DF">
      <w:pPr>
        <w:pStyle w:val="3"/>
        <w:keepNext w:val="0"/>
        <w:widowControl w:val="0"/>
        <w:spacing w:line="500" w:lineRule="exact"/>
        <w:ind w:firstLine="566" w:firstLineChars="200"/>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（2）更换所有枯死或病虫害的草坪和灌木所需的草籽、苗木、人工、肥料、机械等一切费用均由乙承担。</w:t>
      </w:r>
    </w:p>
    <w:p w14:paraId="337196A0">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3）养护区域内因冻害、干旱、大风、雨涝等自然灾害及人为破坏、施工损坏的乔木死亡所产生的费用，每株乔木单价等于或高于500元的，采购人承担苗木购置和运输费用，中标人负责栽植和养护；低于500元的，苗木购置、运输、栽植、养护等费用均由中标人承担。乔木单价以当期信息价为准，没有信息价是以询价结果为准。</w:t>
      </w:r>
    </w:p>
    <w:p w14:paraId="05310689">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三、服务范围</w:t>
      </w:r>
    </w:p>
    <w:p w14:paraId="43BFA9D6">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采购人院本部所有绿化区域，具体以采购人指定的区域为准。</w:t>
      </w:r>
    </w:p>
    <w:p w14:paraId="5506D6F0">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四、合同期限</w:t>
      </w:r>
    </w:p>
    <w:p w14:paraId="1E2ACBE2">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合同期限自签订之日起2年（一年一签）。</w:t>
      </w:r>
    </w:p>
    <w:p w14:paraId="2FDF09E0">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五、绿化养护内容</w:t>
      </w:r>
    </w:p>
    <w:p w14:paraId="66961BEA">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采购人院本部所有绿化区域内乔木4858株、灌木3224株、绿篱711平方米、色带18061.9平方米、草坪140940.1平方米的浇水（水源由中标人自行解决）、开穴覆土、修剪、施肥、除草、抹芽、病虫害防治、扶正、补栽苗木、补种草坪等日常养护，日常卫生保洁，摆放花坛等。</w:t>
      </w:r>
    </w:p>
    <w:p w14:paraId="7B845747">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六、绿化养护检查考核办法</w:t>
      </w:r>
    </w:p>
    <w:p w14:paraId="00F81AFA">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采取定期与不定期相结合的办法进行检查绿化养护情况质量，发现问题限期整改。按照《延安职业技术学院绿化养护周检查评分标准》（见附件）实行“日巡查、周检查、月评定”，核定当月分值（具体评定办法由采购人制定），要求月分值必须达到90分及以上，否则,按规定在当月总费用中扣罚，直至采购人单方面终止合同。</w:t>
      </w:r>
    </w:p>
    <w:p w14:paraId="19C73A52">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1.评分达到90分以上者（含90分），为合格，不扣罚。</w:t>
      </w:r>
    </w:p>
    <w:p w14:paraId="1AD6998E">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2.评分在90分以下者视为不合格，按照分值高低和累计次数扣罚。按分值具体扣罚办法如下：</w:t>
      </w:r>
    </w:p>
    <w:p w14:paraId="14EC7E58">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（1）80</w:t>
      </w:r>
      <w:r>
        <w:rPr>
          <w:rFonts w:hint="eastAsia" w:ascii="华文仿宋" w:hAnsi="华文仿宋" w:cs="华文仿宋"/>
          <w:b w:val="0"/>
          <w:bCs w:val="0"/>
          <w:sz w:val="28"/>
          <w:szCs w:val="28"/>
          <w:lang w:val="en-US" w:eastAsia="zh-CN"/>
        </w:rPr>
        <w:softHyphen/>
      </w:r>
      <w:r>
        <w:rPr>
          <w:rFonts w:hint="eastAsia" w:ascii="华文仿宋" w:hAnsi="华文仿宋" w:cs="华文仿宋"/>
          <w:b w:val="0"/>
          <w:bCs w:val="0"/>
          <w:sz w:val="28"/>
          <w:szCs w:val="28"/>
          <w:lang w:val="en-US" w:eastAsia="zh-CN"/>
        </w:rPr>
        <w:t>—89.9分时，按年累计次数计算，第一次扣月平均费用的3%，第二次扣月平均费用的8%；第三次扣月平均费用的10%；第四次扣月平均费用的15%；第五次除扣月平均费用的20%外，采购人有权单方面终止合同，并且不补偿、不赔偿中标人任何费用。</w:t>
      </w:r>
    </w:p>
    <w:p w14:paraId="4FEBA67B">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2）70—79.9分时，按年累计次数计算，第一次扣月平均费用的5%，第二次扣月平均费用的10%；第三次扣月平均费用的15%；第四次除扣月平均费用的20%外，采购人有权单方面终止合同，并且不补偿、不赔偿中标人任何费用。</w:t>
      </w:r>
    </w:p>
    <w:p w14:paraId="0250CB2D">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（3）60—69.9分时，按年累计次数计算，第一次扣月平均费用的10%；第二次扣月平均费用的15%；第三次除扣月平均费用的20%外，采购人有权单方面终止合同，并且不补偿、不赔偿中标人任何费用。</w:t>
      </w:r>
    </w:p>
    <w:p w14:paraId="714CAB1B">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（4）低于60分时，采购人有权单方面终止合同，并且不补偿、不赔偿中标人任何费用。</w:t>
      </w:r>
    </w:p>
    <w:p w14:paraId="43EEDAC2">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七、双方责任和义务</w:t>
      </w:r>
    </w:p>
    <w:p w14:paraId="42DEACDA">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1.采购人责任和义务</w:t>
      </w:r>
    </w:p>
    <w:p w14:paraId="25C35810">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（1）全面监督、指导、检查、验收中标人工作。</w:t>
      </w:r>
    </w:p>
    <w:p w14:paraId="50CA41A1">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（2）在检查时如发现有不合格之处，给中标人下发“质量整改通知书”。</w:t>
      </w:r>
    </w:p>
    <w:p w14:paraId="35177EF2">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（3）及时为中标人办理结算，按时支付应付服务费用。</w:t>
      </w:r>
    </w:p>
    <w:p w14:paraId="1439F990">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2.中标人责任和义务</w:t>
      </w:r>
    </w:p>
    <w:p w14:paraId="35BB7D70">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（1）认真按合同标准养护管理，遵守采购人的各项规章制度，服从采购人的管理。</w:t>
      </w:r>
    </w:p>
    <w:p w14:paraId="0A978AC0">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（2）对采购人验收不合格之处，及时进行整改。</w:t>
      </w:r>
    </w:p>
    <w:p w14:paraId="6F1445CD">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（3）中标人管理及服务的人员应积极配合采购人搞好服务育人工作，共同维护校园的安全稳定。</w:t>
      </w:r>
    </w:p>
    <w:p w14:paraId="56C165F4">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4）中标人严格按《中华人民共和国劳动法》管理从业人员，用工期间应签订相应的劳动用工合同，并按时发放工资给其缴纳各类养老保险，并购买意外险等社会保险。在劳动服务过程中所发生的一切劳动纠纷、债权、债务关系，或涉及国家法律、法规等方面的问题由中标人解决并承担完全责任。</w:t>
      </w:r>
    </w:p>
    <w:p w14:paraId="4E426893">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（5）中标人的从业人员符合《中华人民共和国劳动法》规定的各项条件，身体健康、无不良纪录，并给采购人备案。</w:t>
      </w:r>
    </w:p>
    <w:p w14:paraId="73B3C3C7">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（6）中标人在服务过程中，要严格遵守安全生产的有关规定，若造成其从业人员、采购人或第三方的财产损失和人员伤害时，由中标人承担全部责任，与采购人无任何责任。</w:t>
      </w:r>
    </w:p>
    <w:p w14:paraId="3EB5069B">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（7）每逢重大节日（活动），中标人应根据采购人要求布置花坛等。</w:t>
      </w:r>
    </w:p>
    <w:p w14:paraId="2121E64B">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（8）中标人要配备现场专职管理人员，做好日常养护记录，随叫随到。</w:t>
      </w:r>
    </w:p>
    <w:p w14:paraId="322B8EFE">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（9）中标人不得开展与绿化养护无关的任何经营性活动（包括饮食服务、代购代销商品等），否则，采购人有权随时终止合同。</w:t>
      </w:r>
    </w:p>
    <w:p w14:paraId="1C709443">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（10）中标人不得将项目分包或转包给任何单位和个人。否则，采购人有权即刻终止合同，并要求中标人赔偿相应损失。</w:t>
      </w:r>
    </w:p>
    <w:p w14:paraId="22871693">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（11）中标人及时补种因施工等原因造成的草坪缺失。</w:t>
      </w:r>
    </w:p>
    <w:p w14:paraId="5A4ADD32">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八、违约责任</w:t>
      </w:r>
    </w:p>
    <w:p w14:paraId="2AFCC6C3">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中标人未按合同约定提供服务或未达到约定的服务标准的，采购人有权解除合同，并可依法向中标人主张合同总价款5%的违约金，造成损害的，可一并主张损害赔偿。采购人违约的，应当赔偿中标人的经济损失。</w:t>
      </w:r>
    </w:p>
    <w:p w14:paraId="70E6E816">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九、其他事项</w:t>
      </w:r>
    </w:p>
    <w:p w14:paraId="63A34542">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遇有政策调整、机构改革、自然灾害等不可抗力，致使采购人和中标人双方不能继续履行合同时，合同实时终止，采购人和中标人双方互不承担违约责任。</w:t>
      </w:r>
    </w:p>
    <w:p w14:paraId="37075D30">
      <w:pPr>
        <w:pStyle w:val="3"/>
        <w:keepNext w:val="0"/>
        <w:widowControl w:val="0"/>
        <w:spacing w:line="500" w:lineRule="exact"/>
        <w:ind w:firstLine="567"/>
        <w:rPr>
          <w:rFonts w:hint="eastAsia" w:ascii="华文仿宋" w:hAnsi="华文仿宋" w:eastAsia="华文仿宋" w:cs="华文仿宋"/>
          <w:b w:val="0"/>
          <w:bCs w:val="0"/>
          <w:sz w:val="28"/>
          <w:szCs w:val="28"/>
          <w:lang w:eastAsia="zh-CN"/>
        </w:rPr>
      </w:pPr>
      <w:r>
        <w:rPr>
          <w:rFonts w:hint="eastAsia" w:ascii="华文仿宋" w:hAnsi="华文仿宋" w:cs="华文仿宋"/>
          <w:b/>
          <w:bCs/>
          <w:sz w:val="28"/>
          <w:szCs w:val="28"/>
          <w:lang w:val="en-US" w:eastAsia="zh-CN"/>
        </w:rPr>
        <w:t>十、</w:t>
      </w:r>
      <w:r>
        <w:rPr>
          <w:rFonts w:hint="eastAsia" w:ascii="华文仿宋" w:hAnsi="华文仿宋" w:eastAsia="华文仿宋" w:cs="华文仿宋"/>
          <w:b/>
          <w:bCs/>
          <w:sz w:val="28"/>
          <w:szCs w:val="28"/>
          <w:lang w:eastAsia="zh-CN"/>
        </w:rPr>
        <w:t>合同争议的解决：合同执行中发生争议的，当事人双方应协商解决，协商达不成一致时，可向采购人所在地的人民法院提请诉讼。</w:t>
      </w:r>
      <w:r>
        <w:rPr>
          <w:rFonts w:hint="eastAsia" w:ascii="华文仿宋" w:hAnsi="华文仿宋" w:eastAsia="华文仿宋" w:cs="华文仿宋"/>
          <w:b w:val="0"/>
          <w:bCs w:val="0"/>
          <w:sz w:val="28"/>
          <w:szCs w:val="28"/>
          <w:lang w:eastAsia="zh-CN"/>
        </w:rPr>
        <w:t xml:space="preserve"> </w:t>
      </w:r>
    </w:p>
    <w:p w14:paraId="36E1AA00">
      <w:pPr>
        <w:pStyle w:val="3"/>
        <w:keepNext w:val="0"/>
        <w:widowControl w:val="0"/>
        <w:spacing w:line="500" w:lineRule="exact"/>
        <w:ind w:firstLine="567"/>
        <w:rPr>
          <w:rFonts w:hint="eastAsia" w:ascii="华文仿宋" w:hAnsi="华文仿宋" w:cs="华文仿宋"/>
          <w:b/>
          <w:bCs/>
          <w:color w:val="000000"/>
          <w:sz w:val="28"/>
          <w:szCs w:val="28"/>
          <w:lang w:val="en-US" w:eastAsia="zh-CN"/>
        </w:rPr>
      </w:pPr>
      <w:r>
        <w:rPr>
          <w:rFonts w:hint="eastAsia" w:ascii="华文仿宋" w:hAnsi="华文仿宋" w:cs="华文仿宋"/>
          <w:b/>
          <w:bCs/>
          <w:sz w:val="28"/>
          <w:szCs w:val="28"/>
          <w:lang w:val="en-US" w:eastAsia="zh-CN"/>
        </w:rPr>
        <w:t>十一</w:t>
      </w:r>
      <w:r>
        <w:rPr>
          <w:rFonts w:hint="eastAsia" w:ascii="华文仿宋" w:hAnsi="华文仿宋" w:eastAsia="华文仿宋" w:cs="华文仿宋"/>
          <w:b/>
          <w:bCs/>
          <w:sz w:val="28"/>
          <w:szCs w:val="28"/>
          <w:lang w:eastAsia="zh-CN"/>
        </w:rPr>
        <w:t>、</w:t>
      </w:r>
      <w:r>
        <w:rPr>
          <w:rFonts w:hint="eastAsia" w:ascii="华文仿宋" w:hAnsi="华文仿宋" w:cs="华文仿宋"/>
          <w:b/>
          <w:bCs/>
          <w:color w:val="000000"/>
          <w:sz w:val="28"/>
          <w:szCs w:val="28"/>
          <w:lang w:val="en-US" w:eastAsia="zh-CN"/>
        </w:rPr>
        <w:t>合同一经签订，不得擅自变更、中止或者终止合同。对确需变更、调整或者中止、终止合同的，应按规定履行相应的手续。</w:t>
      </w:r>
    </w:p>
    <w:p w14:paraId="1A623C4A">
      <w:pPr>
        <w:pStyle w:val="3"/>
        <w:keepNext w:val="0"/>
        <w:widowControl w:val="0"/>
        <w:spacing w:line="500" w:lineRule="exact"/>
        <w:ind w:firstLine="567"/>
        <w:rPr>
          <w:rFonts w:hint="eastAsia" w:ascii="华文仿宋" w:hAnsi="华文仿宋" w:cs="华文仿宋"/>
          <w:b/>
          <w:bCs/>
          <w:color w:val="000000"/>
          <w:sz w:val="28"/>
          <w:szCs w:val="28"/>
          <w:lang w:val="en-US" w:eastAsia="zh-CN"/>
        </w:rPr>
      </w:pPr>
      <w:r>
        <w:rPr>
          <w:rFonts w:hint="eastAsia" w:ascii="华文仿宋" w:hAnsi="华文仿宋" w:cs="华文仿宋"/>
          <w:b/>
          <w:bCs/>
          <w:color w:val="000000"/>
          <w:sz w:val="28"/>
          <w:szCs w:val="28"/>
          <w:lang w:val="en-US" w:eastAsia="zh-CN"/>
        </w:rPr>
        <w:t>十二、本合同从签订之日起生效，合同规定的全部事宜和程序结束后终止。合同份数不低于四份，具体份数由采购人和中标供应商依需商定。</w:t>
      </w:r>
    </w:p>
    <w:p w14:paraId="4E92FDE9">
      <w:pPr>
        <w:pStyle w:val="3"/>
        <w:keepNext w:val="0"/>
        <w:widowControl w:val="0"/>
        <w:spacing w:line="500" w:lineRule="exact"/>
        <w:ind w:firstLine="567"/>
        <w:rPr>
          <w:rFonts w:hint="eastAsia" w:ascii="华文仿宋" w:hAnsi="华文仿宋" w:cs="华文仿宋"/>
          <w:b/>
          <w:bCs/>
          <w:color w:val="000000"/>
          <w:sz w:val="28"/>
          <w:szCs w:val="28"/>
          <w:lang w:val="en-US" w:eastAsia="zh-CN"/>
        </w:rPr>
      </w:pPr>
      <w:r>
        <w:rPr>
          <w:rFonts w:hint="eastAsia" w:ascii="华文仿宋" w:hAnsi="华文仿宋" w:cs="华文仿宋"/>
          <w:b/>
          <w:bCs/>
          <w:color w:val="000000"/>
          <w:sz w:val="28"/>
          <w:szCs w:val="28"/>
          <w:lang w:val="en-US" w:eastAsia="zh-CN"/>
        </w:rPr>
        <w:t>十三、未尽事宜由双方在签订合同时具体明确，但不得超出采购文件合同草案规定。</w:t>
      </w:r>
    </w:p>
    <w:p w14:paraId="15E81AFE">
      <w:pPr>
        <w:pStyle w:val="3"/>
        <w:keepNext w:val="0"/>
        <w:widowControl w:val="0"/>
        <w:spacing w:line="480" w:lineRule="exact"/>
        <w:ind w:firstLine="567"/>
        <w:rPr>
          <w:rFonts w:hint="eastAsia" w:ascii="华文仿宋" w:hAnsi="华文仿宋" w:cs="华文仿宋"/>
          <w:b w:val="0"/>
          <w:bCs w:val="0"/>
          <w:color w:val="000000"/>
          <w:sz w:val="28"/>
          <w:szCs w:val="28"/>
        </w:rPr>
      </w:pPr>
      <w:r>
        <w:rPr>
          <w:rFonts w:hint="eastAsia" w:ascii="华文仿宋" w:hAnsi="华文仿宋" w:cs="华文仿宋"/>
          <w:b w:val="0"/>
          <w:bCs w:val="0"/>
          <w:color w:val="000000"/>
          <w:sz w:val="28"/>
          <w:szCs w:val="28"/>
        </w:rPr>
        <w:t>本合同须经延安市公共资源交易中心（延安市市直单位政府采购中心）确认，否则无效。</w:t>
      </w:r>
    </w:p>
    <w:p w14:paraId="21D1EA33">
      <w:pPr>
        <w:pStyle w:val="3"/>
        <w:keepNext w:val="0"/>
        <w:widowControl w:val="0"/>
        <w:spacing w:line="480" w:lineRule="exact"/>
        <w:ind w:firstLine="567"/>
        <w:rPr>
          <w:rFonts w:hint="eastAsia" w:ascii="华文仿宋" w:hAnsi="华文仿宋" w:cs="华文仿宋"/>
          <w:b w:val="0"/>
          <w:bCs w:val="0"/>
          <w:color w:val="000000"/>
          <w:sz w:val="28"/>
          <w:szCs w:val="28"/>
          <w:lang w:eastAsia="zh-CN"/>
        </w:rPr>
      </w:pPr>
    </w:p>
    <w:p w14:paraId="07B71C47">
      <w:pPr>
        <w:ind w:firstLine="566" w:firstLineChars="200"/>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eastAsia="zh-CN"/>
        </w:rPr>
        <w:t>附件：</w:t>
      </w:r>
      <w:r>
        <w:rPr>
          <w:rFonts w:hint="eastAsia" w:ascii="华文仿宋" w:hAnsi="华文仿宋" w:cs="华文仿宋"/>
          <w:b w:val="0"/>
          <w:bCs w:val="0"/>
          <w:color w:val="000000"/>
          <w:sz w:val="28"/>
          <w:szCs w:val="28"/>
          <w:lang w:val="en-US" w:eastAsia="zh-CN"/>
        </w:rPr>
        <w:t>1.绿化养护周检查表；</w:t>
      </w:r>
    </w:p>
    <w:p w14:paraId="2E51C377">
      <w:pPr>
        <w:numPr>
          <w:ilvl w:val="0"/>
          <w:numId w:val="7"/>
        </w:numPr>
        <w:ind w:firstLine="1415" w:firstLineChars="500"/>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 xml:space="preserve"> 年 月延安职业技术学院绿化养护检查汇总表</w:t>
      </w:r>
    </w:p>
    <w:p w14:paraId="1AD2BDB0">
      <w:pPr>
        <w:keepNext w:val="0"/>
        <w:keepLines w:val="0"/>
        <w:widowControl/>
        <w:suppressLineNumbers w:val="0"/>
        <w:jc w:val="left"/>
        <w:textAlignment w:val="center"/>
        <w:rPr>
          <w:rFonts w:hint="eastAsia" w:ascii="宋体" w:hAnsi="宋体" w:eastAsia="宋体" w:cs="宋体"/>
          <w:i w:val="0"/>
          <w:iCs w:val="0"/>
          <w:color w:val="auto"/>
          <w:kern w:val="0"/>
          <w:sz w:val="28"/>
          <w:szCs w:val="28"/>
          <w:u w:val="none"/>
          <w:lang w:val="en-US" w:eastAsia="zh-CN" w:bidi="ar"/>
        </w:rPr>
      </w:pPr>
    </w:p>
    <w:p w14:paraId="58ED268E">
      <w:pPr>
        <w:keepNext w:val="0"/>
        <w:keepLines w:val="0"/>
        <w:widowControl/>
        <w:suppressLineNumbers w:val="0"/>
        <w:jc w:val="left"/>
        <w:textAlignment w:val="center"/>
        <w:rPr>
          <w:rFonts w:hint="eastAsia" w:ascii="宋体" w:hAnsi="宋体" w:eastAsia="宋体" w:cs="宋体"/>
          <w:i w:val="0"/>
          <w:iCs w:val="0"/>
          <w:color w:val="auto"/>
          <w:kern w:val="0"/>
          <w:sz w:val="28"/>
          <w:szCs w:val="28"/>
          <w:u w:val="none"/>
          <w:lang w:val="en-US" w:eastAsia="zh-CN" w:bidi="ar"/>
        </w:rPr>
      </w:pPr>
    </w:p>
    <w:tbl>
      <w:tblPr>
        <w:tblStyle w:val="29"/>
        <w:tblW w:w="0" w:type="auto"/>
        <w:tblInd w:w="-16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781"/>
        <w:gridCol w:w="2314"/>
        <w:gridCol w:w="5258"/>
        <w:gridCol w:w="581"/>
        <w:gridCol w:w="518"/>
      </w:tblGrid>
      <w:tr w14:paraId="7AD3A9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0" w:type="auto"/>
            <w:gridSpan w:val="5"/>
            <w:tcBorders>
              <w:top w:val="nil"/>
              <w:left w:val="nil"/>
              <w:bottom w:val="single" w:color="000000" w:sz="4" w:space="0"/>
              <w:right w:val="nil"/>
            </w:tcBorders>
            <w:noWrap w:val="0"/>
            <w:vAlign w:val="center"/>
          </w:tcPr>
          <w:p w14:paraId="2CB82C00">
            <w:pPr>
              <w:keepNext w:val="0"/>
              <w:keepLines w:val="0"/>
              <w:widowControl/>
              <w:suppressLineNumbers w:val="0"/>
              <w:jc w:val="left"/>
              <w:textAlignment w:val="center"/>
              <w:rPr>
                <w:rFonts w:hint="eastAsia" w:ascii="仿宋_GB2312" w:hAnsi="仿宋_GB2312" w:eastAsia="仿宋_GB2312" w:cs="仿宋_GB2312"/>
                <w:i w:val="0"/>
                <w:iCs w:val="0"/>
                <w:color w:val="auto"/>
                <w:kern w:val="0"/>
                <w:sz w:val="21"/>
                <w:szCs w:val="21"/>
                <w:u w:val="none"/>
                <w:lang w:val="en-US" w:eastAsia="zh-CN" w:bidi="ar"/>
              </w:rPr>
            </w:pPr>
            <w:r>
              <w:rPr>
                <w:rFonts w:hint="eastAsia" w:ascii="仿宋_GB2312" w:hAnsi="仿宋_GB2312" w:eastAsia="仿宋_GB2312" w:cs="仿宋_GB2312"/>
                <w:i w:val="0"/>
                <w:iCs w:val="0"/>
                <w:color w:val="auto"/>
                <w:kern w:val="0"/>
                <w:sz w:val="21"/>
                <w:szCs w:val="21"/>
                <w:u w:val="none"/>
                <w:lang w:val="en-US" w:eastAsia="zh-CN" w:bidi="ar"/>
              </w:rPr>
              <w:t>附件1</w:t>
            </w:r>
          </w:p>
          <w:p w14:paraId="5A8DDCB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微软雅黑" w:hAnsi="微软雅黑" w:eastAsia="微软雅黑" w:cs="微软雅黑"/>
                <w:i w:val="0"/>
                <w:iCs w:val="0"/>
                <w:color w:val="auto"/>
                <w:kern w:val="0"/>
                <w:sz w:val="32"/>
                <w:szCs w:val="32"/>
                <w:u w:val="none"/>
                <w:lang w:val="en-US" w:eastAsia="zh-CN" w:bidi="ar"/>
              </w:rPr>
              <w:t>绿化养护周检查表</w:t>
            </w:r>
          </w:p>
        </w:tc>
      </w:tr>
      <w:tr w14:paraId="322B9B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0" w:type="auto"/>
            <w:gridSpan w:val="2"/>
            <w:tcBorders>
              <w:top w:val="single" w:color="000000" w:sz="4" w:space="0"/>
              <w:left w:val="single" w:color="000000" w:sz="4" w:space="0"/>
              <w:bottom w:val="single" w:color="000000" w:sz="4" w:space="0"/>
              <w:right w:val="single" w:color="000000" w:sz="4" w:space="0"/>
            </w:tcBorders>
            <w:noWrap w:val="0"/>
            <w:vAlign w:val="center"/>
          </w:tcPr>
          <w:p w14:paraId="170AB78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检查内容</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A264E8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标准</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0084FB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分值</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CF63FF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得分</w:t>
            </w:r>
          </w:p>
        </w:tc>
      </w:tr>
      <w:tr w14:paraId="392434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0" w:type="auto"/>
            <w:vMerge w:val="restart"/>
            <w:tcBorders>
              <w:top w:val="single" w:color="000000" w:sz="4" w:space="0"/>
              <w:left w:val="single" w:color="000000" w:sz="4" w:space="0"/>
              <w:bottom w:val="single" w:color="000000" w:sz="4" w:space="0"/>
              <w:right w:val="single" w:color="000000" w:sz="4" w:space="0"/>
            </w:tcBorders>
            <w:noWrap w:val="0"/>
            <w:vAlign w:val="center"/>
          </w:tcPr>
          <w:p w14:paraId="4CAC57E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日常养护</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D21284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清理杂物、杂草</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2C3234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绿化区域内无杂物、杂草</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FD4F02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4D8E0E4">
            <w:pPr>
              <w:jc w:val="center"/>
              <w:rPr>
                <w:rFonts w:hint="eastAsia" w:ascii="宋体" w:hAnsi="宋体" w:eastAsia="宋体" w:cs="宋体"/>
                <w:i w:val="0"/>
                <w:iCs w:val="0"/>
                <w:color w:val="auto"/>
                <w:sz w:val="21"/>
                <w:szCs w:val="21"/>
                <w:u w:val="none"/>
              </w:rPr>
            </w:pPr>
          </w:p>
        </w:tc>
      </w:tr>
      <w:tr w14:paraId="7A1726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733C050A">
            <w:pPr>
              <w:jc w:val="center"/>
              <w:rPr>
                <w:rFonts w:hint="eastAsia" w:ascii="宋体" w:hAnsi="宋体" w:eastAsia="宋体" w:cs="宋体"/>
                <w:i w:val="0"/>
                <w:iCs w:val="0"/>
                <w:color w:val="auto"/>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A7725F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树木草坪修剪整形</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AD95AE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修剪整形及时</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E699A9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031680F">
            <w:pPr>
              <w:jc w:val="center"/>
              <w:rPr>
                <w:rFonts w:hint="eastAsia" w:ascii="宋体" w:hAnsi="宋体" w:eastAsia="宋体" w:cs="宋体"/>
                <w:i w:val="0"/>
                <w:iCs w:val="0"/>
                <w:color w:val="auto"/>
                <w:sz w:val="21"/>
                <w:szCs w:val="21"/>
                <w:u w:val="none"/>
              </w:rPr>
            </w:pPr>
          </w:p>
        </w:tc>
      </w:tr>
      <w:tr w14:paraId="32F586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1FB8809E">
            <w:pPr>
              <w:jc w:val="center"/>
              <w:rPr>
                <w:rFonts w:hint="eastAsia" w:ascii="宋体" w:hAnsi="宋体" w:eastAsia="宋体" w:cs="宋体"/>
                <w:i w:val="0"/>
                <w:iCs w:val="0"/>
                <w:color w:val="auto"/>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AE4167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浇水</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D9B56F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根据天气情况，及时浇水灌溉</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F2BA88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59B272D">
            <w:pPr>
              <w:jc w:val="center"/>
              <w:rPr>
                <w:rFonts w:hint="eastAsia" w:ascii="宋体" w:hAnsi="宋体" w:eastAsia="宋体" w:cs="宋体"/>
                <w:i w:val="0"/>
                <w:iCs w:val="0"/>
                <w:color w:val="auto"/>
                <w:sz w:val="21"/>
                <w:szCs w:val="21"/>
                <w:u w:val="none"/>
              </w:rPr>
            </w:pPr>
          </w:p>
        </w:tc>
      </w:tr>
      <w:tr w14:paraId="6FC0FE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18722425">
            <w:pPr>
              <w:jc w:val="center"/>
              <w:rPr>
                <w:rFonts w:hint="eastAsia" w:ascii="宋体" w:hAnsi="宋体" w:eastAsia="宋体" w:cs="宋体"/>
                <w:i w:val="0"/>
                <w:iCs w:val="0"/>
                <w:color w:val="auto"/>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5C91C5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病虫害防治</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2DAD53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及时防治和控制病虫害，基本无病虫害造成的较大伤害</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3F2E57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6F27025">
            <w:pPr>
              <w:jc w:val="center"/>
              <w:rPr>
                <w:rFonts w:hint="eastAsia" w:ascii="宋体" w:hAnsi="宋体" w:eastAsia="宋体" w:cs="宋体"/>
                <w:i w:val="0"/>
                <w:iCs w:val="0"/>
                <w:color w:val="auto"/>
                <w:sz w:val="21"/>
                <w:szCs w:val="21"/>
                <w:u w:val="none"/>
              </w:rPr>
            </w:pPr>
          </w:p>
        </w:tc>
      </w:tr>
      <w:tr w14:paraId="107651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5B8D6EF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季节性养护</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8BF86E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草坪补植、苗木补种、施肥、清园、防冻措施等</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C2763B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1、草坪补植、苗木补种及时；2、根据具体情况，及时松土、施肥、追肥；3、根据天气情况，及时采取防冻、排涝措施等。</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056D83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3C54769">
            <w:pPr>
              <w:jc w:val="center"/>
              <w:rPr>
                <w:rFonts w:hint="eastAsia" w:ascii="宋体" w:hAnsi="宋体" w:eastAsia="宋体" w:cs="宋体"/>
                <w:i w:val="0"/>
                <w:iCs w:val="0"/>
                <w:color w:val="auto"/>
                <w:sz w:val="21"/>
                <w:szCs w:val="21"/>
                <w:u w:val="none"/>
              </w:rPr>
            </w:pPr>
          </w:p>
        </w:tc>
      </w:tr>
      <w:tr w14:paraId="57AA53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0" w:type="auto"/>
            <w:vMerge w:val="restart"/>
            <w:tcBorders>
              <w:top w:val="single" w:color="000000" w:sz="4" w:space="0"/>
              <w:left w:val="single" w:color="000000" w:sz="4" w:space="0"/>
              <w:bottom w:val="single" w:color="000000" w:sz="4" w:space="0"/>
              <w:right w:val="single" w:color="000000" w:sz="4" w:space="0"/>
            </w:tcBorders>
            <w:noWrap w:val="0"/>
            <w:vAlign w:val="center"/>
          </w:tcPr>
          <w:p w14:paraId="5EF406D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工作人员</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53F134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着装</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6503F6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着工作服</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2837E7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8F444D1">
            <w:pPr>
              <w:jc w:val="center"/>
              <w:rPr>
                <w:rFonts w:hint="eastAsia" w:ascii="宋体" w:hAnsi="宋体" w:eastAsia="宋体" w:cs="宋体"/>
                <w:i w:val="0"/>
                <w:iCs w:val="0"/>
                <w:color w:val="auto"/>
                <w:sz w:val="21"/>
                <w:szCs w:val="21"/>
                <w:u w:val="none"/>
              </w:rPr>
            </w:pPr>
          </w:p>
        </w:tc>
      </w:tr>
      <w:tr w14:paraId="1F316F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04429CED">
            <w:pPr>
              <w:jc w:val="center"/>
              <w:rPr>
                <w:rFonts w:hint="eastAsia" w:ascii="宋体" w:hAnsi="宋体" w:eastAsia="宋体" w:cs="宋体"/>
                <w:i w:val="0"/>
                <w:iCs w:val="0"/>
                <w:color w:val="auto"/>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77819B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在岗</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F6026A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无脱岗</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D0683B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37E039D">
            <w:pPr>
              <w:jc w:val="center"/>
              <w:rPr>
                <w:rFonts w:hint="eastAsia" w:ascii="宋体" w:hAnsi="宋体" w:eastAsia="宋体" w:cs="宋体"/>
                <w:i w:val="0"/>
                <w:iCs w:val="0"/>
                <w:color w:val="auto"/>
                <w:sz w:val="21"/>
                <w:szCs w:val="21"/>
                <w:u w:val="none"/>
              </w:rPr>
            </w:pPr>
          </w:p>
        </w:tc>
      </w:tr>
      <w:tr w14:paraId="7FB32E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1018494A">
            <w:pPr>
              <w:jc w:val="center"/>
              <w:rPr>
                <w:rFonts w:hint="eastAsia" w:ascii="宋体" w:hAnsi="宋体" w:eastAsia="宋体" w:cs="宋体"/>
                <w:i w:val="0"/>
                <w:iCs w:val="0"/>
                <w:color w:val="auto"/>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CDCCD7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服务</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8A23AD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及时主动</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23CF2E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B50B6A1">
            <w:pPr>
              <w:jc w:val="center"/>
              <w:rPr>
                <w:rFonts w:hint="eastAsia" w:ascii="宋体" w:hAnsi="宋体" w:eastAsia="宋体" w:cs="宋体"/>
                <w:i w:val="0"/>
                <w:iCs w:val="0"/>
                <w:color w:val="auto"/>
                <w:sz w:val="21"/>
                <w:szCs w:val="21"/>
                <w:u w:val="none"/>
              </w:rPr>
            </w:pPr>
          </w:p>
        </w:tc>
      </w:tr>
      <w:tr w14:paraId="0726FE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0" w:type="auto"/>
            <w:gridSpan w:val="3"/>
            <w:tcBorders>
              <w:top w:val="single" w:color="000000" w:sz="4" w:space="0"/>
              <w:left w:val="single" w:color="000000" w:sz="4" w:space="0"/>
              <w:bottom w:val="single" w:color="000000" w:sz="4" w:space="0"/>
              <w:right w:val="single" w:color="000000" w:sz="4" w:space="0"/>
            </w:tcBorders>
            <w:noWrap w:val="0"/>
            <w:vAlign w:val="center"/>
          </w:tcPr>
          <w:p w14:paraId="18C58E8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总分</w:t>
            </w:r>
          </w:p>
        </w:tc>
        <w:tc>
          <w:tcPr>
            <w:tcW w:w="0" w:type="auto"/>
            <w:tcBorders>
              <w:top w:val="single" w:color="000000" w:sz="4" w:space="0"/>
              <w:left w:val="nil"/>
              <w:bottom w:val="single" w:color="000000" w:sz="4" w:space="0"/>
              <w:right w:val="single" w:color="000000" w:sz="4" w:space="0"/>
            </w:tcBorders>
            <w:noWrap w:val="0"/>
            <w:vAlign w:val="center"/>
          </w:tcPr>
          <w:p w14:paraId="079A312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A53B8E2">
            <w:pPr>
              <w:jc w:val="center"/>
              <w:rPr>
                <w:rFonts w:hint="eastAsia" w:ascii="宋体" w:hAnsi="宋体" w:eastAsia="宋体" w:cs="宋体"/>
                <w:i w:val="0"/>
                <w:iCs w:val="0"/>
                <w:color w:val="auto"/>
                <w:sz w:val="21"/>
                <w:szCs w:val="21"/>
                <w:u w:val="none"/>
              </w:rPr>
            </w:pPr>
          </w:p>
        </w:tc>
      </w:tr>
      <w:tr w14:paraId="3C7091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0" w:type="auto"/>
            <w:gridSpan w:val="2"/>
            <w:tcBorders>
              <w:top w:val="nil"/>
              <w:left w:val="nil"/>
              <w:bottom w:val="nil"/>
              <w:right w:val="nil"/>
            </w:tcBorders>
            <w:noWrap w:val="0"/>
            <w:vAlign w:val="center"/>
          </w:tcPr>
          <w:p w14:paraId="41F459B2">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检查人：</w:t>
            </w:r>
          </w:p>
        </w:tc>
        <w:tc>
          <w:tcPr>
            <w:tcW w:w="0" w:type="auto"/>
            <w:gridSpan w:val="3"/>
            <w:tcBorders>
              <w:top w:val="nil"/>
              <w:left w:val="nil"/>
              <w:bottom w:val="nil"/>
              <w:right w:val="nil"/>
            </w:tcBorders>
            <w:noWrap w:val="0"/>
            <w:vAlign w:val="center"/>
          </w:tcPr>
          <w:p w14:paraId="4A592E2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时间：</w:t>
            </w:r>
          </w:p>
        </w:tc>
      </w:tr>
    </w:tbl>
    <w:p w14:paraId="6425FF7E">
      <w:pPr>
        <w:rPr>
          <w:rFonts w:hint="eastAsia" w:ascii="Times New Roman" w:hAnsi="Times New Roman" w:eastAsia="宋体" w:cs="Times New Roman"/>
          <w:color w:val="auto"/>
        </w:rPr>
      </w:pPr>
      <w:r>
        <w:rPr>
          <w:rFonts w:hint="eastAsia" w:ascii="Times New Roman" w:hAnsi="Times New Roman" w:eastAsia="宋体" w:cs="Times New Roman"/>
          <w:color w:val="auto"/>
        </w:rPr>
        <w:br w:type="page"/>
      </w:r>
    </w:p>
    <w:tbl>
      <w:tblPr>
        <w:tblStyle w:val="29"/>
        <w:tblW w:w="0" w:type="auto"/>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672"/>
        <w:gridCol w:w="1013"/>
        <w:gridCol w:w="1027"/>
        <w:gridCol w:w="1027"/>
        <w:gridCol w:w="1045"/>
        <w:gridCol w:w="1045"/>
        <w:gridCol w:w="1045"/>
        <w:gridCol w:w="966"/>
      </w:tblGrid>
      <w:tr w14:paraId="467E13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5" w:hRule="atLeast"/>
        </w:trPr>
        <w:tc>
          <w:tcPr>
            <w:tcW w:w="8840" w:type="dxa"/>
            <w:gridSpan w:val="8"/>
            <w:tcBorders>
              <w:top w:val="nil"/>
              <w:left w:val="nil"/>
              <w:bottom w:val="single" w:color="000000" w:sz="4" w:space="0"/>
              <w:right w:val="nil"/>
            </w:tcBorders>
            <w:noWrap/>
            <w:vAlign w:val="center"/>
          </w:tcPr>
          <w:p w14:paraId="105B80FF">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eastAsia" w:ascii="微软雅黑" w:hAnsi="微软雅黑" w:eastAsia="微软雅黑" w:cs="微软雅黑"/>
                <w:i w:val="0"/>
                <w:iCs w:val="0"/>
                <w:color w:val="auto"/>
                <w:kern w:val="0"/>
                <w:sz w:val="18"/>
                <w:szCs w:val="18"/>
                <w:u w:val="none"/>
                <w:lang w:val="en-US" w:eastAsia="zh-CN" w:bidi="ar"/>
              </w:rPr>
            </w:pPr>
            <w:r>
              <w:rPr>
                <w:rFonts w:hint="eastAsia" w:ascii="仿宋_GB2312" w:hAnsi="仿宋_GB2312" w:eastAsia="仿宋_GB2312" w:cs="仿宋_GB2312"/>
                <w:i w:val="0"/>
                <w:iCs w:val="0"/>
                <w:color w:val="auto"/>
                <w:kern w:val="0"/>
                <w:sz w:val="18"/>
                <w:szCs w:val="18"/>
                <w:u w:val="none"/>
                <w:lang w:val="en-US" w:eastAsia="zh-CN" w:bidi="ar"/>
              </w:rPr>
              <w:t>附件2</w:t>
            </w:r>
          </w:p>
          <w:p w14:paraId="6E505129">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18"/>
                <w:szCs w:val="18"/>
                <w:u w:val="none"/>
              </w:rPr>
            </w:pPr>
            <w:r>
              <w:rPr>
                <w:rStyle w:val="81"/>
                <w:rFonts w:hint="eastAsia" w:ascii="微软雅黑" w:hAnsi="微软雅黑" w:eastAsia="微软雅黑" w:cs="微软雅黑"/>
                <w:color w:val="auto"/>
                <w:sz w:val="18"/>
                <w:szCs w:val="18"/>
                <w:u w:val="single"/>
                <w:lang w:val="en-US" w:eastAsia="zh-CN" w:bidi="ar"/>
              </w:rPr>
              <w:t xml:space="preserve">     </w:t>
            </w:r>
            <w:r>
              <w:rPr>
                <w:rStyle w:val="81"/>
                <w:rFonts w:hint="eastAsia" w:ascii="微软雅黑" w:hAnsi="微软雅黑" w:eastAsia="微软雅黑" w:cs="微软雅黑"/>
                <w:color w:val="auto"/>
                <w:sz w:val="18"/>
                <w:szCs w:val="18"/>
                <w:lang w:val="en-US" w:eastAsia="zh-CN" w:bidi="ar"/>
              </w:rPr>
              <w:t>年</w:t>
            </w:r>
            <w:r>
              <w:rPr>
                <w:rStyle w:val="82"/>
                <w:rFonts w:hint="eastAsia" w:ascii="微软雅黑" w:hAnsi="微软雅黑" w:eastAsia="微软雅黑" w:cs="微软雅黑"/>
                <w:color w:val="auto"/>
                <w:sz w:val="18"/>
                <w:szCs w:val="18"/>
                <w:lang w:val="en-US" w:eastAsia="zh-CN" w:bidi="ar"/>
              </w:rPr>
              <w:t xml:space="preserve">  </w:t>
            </w:r>
            <w:r>
              <w:rPr>
                <w:rStyle w:val="81"/>
                <w:rFonts w:hint="eastAsia" w:ascii="微软雅黑" w:hAnsi="微软雅黑" w:eastAsia="微软雅黑" w:cs="微软雅黑"/>
                <w:color w:val="auto"/>
                <w:sz w:val="18"/>
                <w:szCs w:val="18"/>
                <w:lang w:val="en-US" w:eastAsia="zh-CN" w:bidi="ar"/>
              </w:rPr>
              <w:t>月延安职业技术学院绿化养护检查汇总表</w:t>
            </w:r>
          </w:p>
        </w:tc>
      </w:tr>
      <w:tr w14:paraId="096FD8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2685" w:type="dxa"/>
            <w:gridSpan w:val="2"/>
            <w:vMerge w:val="restart"/>
            <w:tcBorders>
              <w:top w:val="single" w:color="000000" w:sz="4" w:space="0"/>
              <w:left w:val="single" w:color="000000" w:sz="4" w:space="0"/>
              <w:bottom w:val="single" w:color="000000" w:sz="4" w:space="0"/>
              <w:right w:val="single" w:color="000000" w:sz="4" w:space="0"/>
            </w:tcBorders>
            <w:noWrap/>
            <w:vAlign w:val="center"/>
          </w:tcPr>
          <w:p w14:paraId="08A7CFF3">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检查内容</w:t>
            </w:r>
          </w:p>
        </w:tc>
        <w:tc>
          <w:tcPr>
            <w:tcW w:w="6155" w:type="dxa"/>
            <w:gridSpan w:val="6"/>
            <w:tcBorders>
              <w:top w:val="single" w:color="000000" w:sz="4" w:space="0"/>
              <w:left w:val="single" w:color="000000" w:sz="4" w:space="0"/>
              <w:bottom w:val="single" w:color="000000" w:sz="4" w:space="0"/>
              <w:right w:val="single" w:color="000000" w:sz="4" w:space="0"/>
            </w:tcBorders>
            <w:noWrap/>
            <w:vAlign w:val="center"/>
          </w:tcPr>
          <w:p w14:paraId="494801B5">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得分</w:t>
            </w:r>
          </w:p>
        </w:tc>
      </w:tr>
      <w:tr w14:paraId="492C4D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2685" w:type="dxa"/>
            <w:gridSpan w:val="2"/>
            <w:vMerge w:val="continue"/>
            <w:tcBorders>
              <w:top w:val="single" w:color="000000" w:sz="4" w:space="0"/>
              <w:left w:val="single" w:color="000000" w:sz="4" w:space="0"/>
              <w:bottom w:val="single" w:color="000000" w:sz="4" w:space="0"/>
              <w:right w:val="single" w:color="000000" w:sz="4" w:space="0"/>
            </w:tcBorders>
            <w:noWrap/>
            <w:vAlign w:val="center"/>
          </w:tcPr>
          <w:p w14:paraId="078FF77A">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18"/>
                <w:szCs w:val="18"/>
                <w:u w:val="none"/>
              </w:rPr>
            </w:pPr>
          </w:p>
        </w:tc>
        <w:tc>
          <w:tcPr>
            <w:tcW w:w="1027" w:type="dxa"/>
            <w:tcBorders>
              <w:top w:val="single" w:color="000000" w:sz="4" w:space="0"/>
              <w:left w:val="single" w:color="000000" w:sz="4" w:space="0"/>
              <w:bottom w:val="single" w:color="000000" w:sz="4" w:space="0"/>
              <w:right w:val="single" w:color="000000" w:sz="4" w:space="0"/>
            </w:tcBorders>
            <w:noWrap/>
            <w:vAlign w:val="center"/>
          </w:tcPr>
          <w:p w14:paraId="0E3F4A36">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第一周</w:t>
            </w:r>
          </w:p>
        </w:tc>
        <w:tc>
          <w:tcPr>
            <w:tcW w:w="1027" w:type="dxa"/>
            <w:tcBorders>
              <w:top w:val="single" w:color="000000" w:sz="4" w:space="0"/>
              <w:left w:val="single" w:color="000000" w:sz="4" w:space="0"/>
              <w:bottom w:val="single" w:color="000000" w:sz="4" w:space="0"/>
              <w:right w:val="single" w:color="000000" w:sz="4" w:space="0"/>
            </w:tcBorders>
            <w:noWrap/>
            <w:vAlign w:val="center"/>
          </w:tcPr>
          <w:p w14:paraId="781513AD">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第二周</w:t>
            </w:r>
          </w:p>
        </w:tc>
        <w:tc>
          <w:tcPr>
            <w:tcW w:w="1045" w:type="dxa"/>
            <w:tcBorders>
              <w:top w:val="single" w:color="000000" w:sz="4" w:space="0"/>
              <w:left w:val="single" w:color="000000" w:sz="4" w:space="0"/>
              <w:bottom w:val="single" w:color="000000" w:sz="4" w:space="0"/>
              <w:right w:val="single" w:color="000000" w:sz="4" w:space="0"/>
            </w:tcBorders>
            <w:noWrap/>
            <w:vAlign w:val="center"/>
          </w:tcPr>
          <w:p w14:paraId="14FA77E5">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第三周</w:t>
            </w:r>
          </w:p>
        </w:tc>
        <w:tc>
          <w:tcPr>
            <w:tcW w:w="1045" w:type="dxa"/>
            <w:tcBorders>
              <w:top w:val="single" w:color="000000" w:sz="4" w:space="0"/>
              <w:left w:val="single" w:color="000000" w:sz="4" w:space="0"/>
              <w:bottom w:val="single" w:color="000000" w:sz="4" w:space="0"/>
              <w:right w:val="single" w:color="000000" w:sz="4" w:space="0"/>
            </w:tcBorders>
            <w:noWrap/>
            <w:vAlign w:val="center"/>
          </w:tcPr>
          <w:p w14:paraId="7F1816B2">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第四周</w:t>
            </w:r>
          </w:p>
        </w:tc>
        <w:tc>
          <w:tcPr>
            <w:tcW w:w="1045" w:type="dxa"/>
            <w:tcBorders>
              <w:top w:val="single" w:color="000000" w:sz="4" w:space="0"/>
              <w:left w:val="single" w:color="000000" w:sz="4" w:space="0"/>
              <w:bottom w:val="single" w:color="000000" w:sz="4" w:space="0"/>
              <w:right w:val="single" w:color="000000" w:sz="4" w:space="0"/>
            </w:tcBorders>
            <w:noWrap/>
            <w:vAlign w:val="center"/>
          </w:tcPr>
          <w:p w14:paraId="1DED156A">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第五周</w:t>
            </w:r>
          </w:p>
        </w:tc>
        <w:tc>
          <w:tcPr>
            <w:tcW w:w="966" w:type="dxa"/>
            <w:tcBorders>
              <w:top w:val="single" w:color="000000" w:sz="4" w:space="0"/>
              <w:left w:val="single" w:color="000000" w:sz="4" w:space="0"/>
              <w:bottom w:val="single" w:color="000000" w:sz="4" w:space="0"/>
              <w:right w:val="single" w:color="000000" w:sz="4" w:space="0"/>
            </w:tcBorders>
            <w:noWrap/>
            <w:vAlign w:val="center"/>
          </w:tcPr>
          <w:p w14:paraId="625A5109">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平均分</w:t>
            </w:r>
          </w:p>
        </w:tc>
      </w:tr>
      <w:tr w14:paraId="765E4E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6" w:hRule="atLeast"/>
        </w:trPr>
        <w:tc>
          <w:tcPr>
            <w:tcW w:w="1672" w:type="dxa"/>
            <w:vMerge w:val="restart"/>
            <w:tcBorders>
              <w:top w:val="single" w:color="000000" w:sz="4" w:space="0"/>
              <w:left w:val="single" w:color="000000" w:sz="4" w:space="0"/>
              <w:bottom w:val="single" w:color="000000" w:sz="4" w:space="0"/>
              <w:right w:val="single" w:color="000000" w:sz="4" w:space="0"/>
            </w:tcBorders>
            <w:noWrap w:val="0"/>
            <w:vAlign w:val="center"/>
          </w:tcPr>
          <w:p w14:paraId="1E3E3208">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日常养护</w:t>
            </w:r>
          </w:p>
        </w:tc>
        <w:tc>
          <w:tcPr>
            <w:tcW w:w="1013" w:type="dxa"/>
            <w:tcBorders>
              <w:top w:val="single" w:color="000000" w:sz="4" w:space="0"/>
              <w:left w:val="single" w:color="000000" w:sz="4" w:space="0"/>
              <w:bottom w:val="single" w:color="000000" w:sz="4" w:space="0"/>
              <w:right w:val="single" w:color="000000" w:sz="4" w:space="0"/>
            </w:tcBorders>
            <w:noWrap w:val="0"/>
            <w:vAlign w:val="center"/>
          </w:tcPr>
          <w:p w14:paraId="08185A37">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清理杂物、杂草</w:t>
            </w:r>
          </w:p>
        </w:tc>
        <w:tc>
          <w:tcPr>
            <w:tcW w:w="1027" w:type="dxa"/>
            <w:tcBorders>
              <w:top w:val="single" w:color="000000" w:sz="4" w:space="0"/>
              <w:left w:val="single" w:color="000000" w:sz="4" w:space="0"/>
              <w:bottom w:val="single" w:color="000000" w:sz="4" w:space="0"/>
              <w:right w:val="single" w:color="000000" w:sz="4" w:space="0"/>
            </w:tcBorders>
            <w:noWrap w:val="0"/>
            <w:vAlign w:val="center"/>
          </w:tcPr>
          <w:p w14:paraId="6FB15929">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18"/>
                <w:szCs w:val="18"/>
                <w:u w:val="none"/>
              </w:rPr>
            </w:pPr>
          </w:p>
        </w:tc>
        <w:tc>
          <w:tcPr>
            <w:tcW w:w="1027" w:type="dxa"/>
            <w:tcBorders>
              <w:top w:val="single" w:color="000000" w:sz="4" w:space="0"/>
              <w:left w:val="single" w:color="000000" w:sz="4" w:space="0"/>
              <w:bottom w:val="single" w:color="000000" w:sz="4" w:space="0"/>
              <w:right w:val="single" w:color="000000" w:sz="4" w:space="0"/>
            </w:tcBorders>
            <w:noWrap w:val="0"/>
            <w:vAlign w:val="center"/>
          </w:tcPr>
          <w:p w14:paraId="3C9A5586">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18"/>
                <w:szCs w:val="18"/>
                <w:u w:val="none"/>
              </w:rPr>
            </w:pPr>
          </w:p>
        </w:tc>
        <w:tc>
          <w:tcPr>
            <w:tcW w:w="1045" w:type="dxa"/>
            <w:tcBorders>
              <w:top w:val="single" w:color="000000" w:sz="4" w:space="0"/>
              <w:left w:val="single" w:color="000000" w:sz="4" w:space="0"/>
              <w:bottom w:val="single" w:color="000000" w:sz="4" w:space="0"/>
              <w:right w:val="single" w:color="000000" w:sz="4" w:space="0"/>
            </w:tcBorders>
            <w:noWrap w:val="0"/>
            <w:vAlign w:val="center"/>
          </w:tcPr>
          <w:p w14:paraId="4D139846">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18"/>
                <w:szCs w:val="18"/>
                <w:u w:val="none"/>
              </w:rPr>
            </w:pPr>
          </w:p>
        </w:tc>
        <w:tc>
          <w:tcPr>
            <w:tcW w:w="1045" w:type="dxa"/>
            <w:tcBorders>
              <w:top w:val="single" w:color="000000" w:sz="4" w:space="0"/>
              <w:left w:val="single" w:color="000000" w:sz="4" w:space="0"/>
              <w:bottom w:val="single" w:color="000000" w:sz="4" w:space="0"/>
              <w:right w:val="single" w:color="000000" w:sz="4" w:space="0"/>
            </w:tcBorders>
            <w:noWrap w:val="0"/>
            <w:vAlign w:val="center"/>
          </w:tcPr>
          <w:p w14:paraId="42F2DDB6">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18"/>
                <w:szCs w:val="18"/>
                <w:u w:val="none"/>
              </w:rPr>
            </w:pPr>
          </w:p>
        </w:tc>
        <w:tc>
          <w:tcPr>
            <w:tcW w:w="1045" w:type="dxa"/>
            <w:tcBorders>
              <w:top w:val="single" w:color="000000" w:sz="4" w:space="0"/>
              <w:left w:val="single" w:color="000000" w:sz="4" w:space="0"/>
              <w:bottom w:val="single" w:color="000000" w:sz="4" w:space="0"/>
              <w:right w:val="single" w:color="000000" w:sz="4" w:space="0"/>
            </w:tcBorders>
            <w:noWrap w:val="0"/>
            <w:vAlign w:val="center"/>
          </w:tcPr>
          <w:p w14:paraId="41E46523">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18"/>
                <w:szCs w:val="18"/>
                <w:u w:val="none"/>
              </w:rPr>
            </w:pPr>
          </w:p>
        </w:tc>
        <w:tc>
          <w:tcPr>
            <w:tcW w:w="966" w:type="dxa"/>
            <w:tcBorders>
              <w:top w:val="single" w:color="000000" w:sz="4" w:space="0"/>
              <w:left w:val="single" w:color="000000" w:sz="4" w:space="0"/>
              <w:bottom w:val="single" w:color="000000" w:sz="4" w:space="0"/>
              <w:right w:val="single" w:color="000000" w:sz="4" w:space="0"/>
            </w:tcBorders>
            <w:noWrap/>
            <w:vAlign w:val="center"/>
          </w:tcPr>
          <w:p w14:paraId="75DB54F3">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18"/>
                <w:szCs w:val="18"/>
                <w:u w:val="none"/>
              </w:rPr>
            </w:pPr>
          </w:p>
        </w:tc>
      </w:tr>
      <w:tr w14:paraId="430C1C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16" w:hRule="atLeast"/>
        </w:trPr>
        <w:tc>
          <w:tcPr>
            <w:tcW w:w="1672" w:type="dxa"/>
            <w:vMerge w:val="continue"/>
            <w:tcBorders>
              <w:top w:val="single" w:color="000000" w:sz="4" w:space="0"/>
              <w:left w:val="single" w:color="000000" w:sz="4" w:space="0"/>
              <w:bottom w:val="single" w:color="000000" w:sz="4" w:space="0"/>
              <w:right w:val="single" w:color="000000" w:sz="4" w:space="0"/>
            </w:tcBorders>
            <w:noWrap w:val="0"/>
            <w:vAlign w:val="center"/>
          </w:tcPr>
          <w:p w14:paraId="3781FE88">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4" w:space="0"/>
            </w:tcBorders>
            <w:noWrap w:val="0"/>
            <w:vAlign w:val="center"/>
          </w:tcPr>
          <w:p w14:paraId="3BFEBF57">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树木草坪修剪整形</w:t>
            </w:r>
          </w:p>
        </w:tc>
        <w:tc>
          <w:tcPr>
            <w:tcW w:w="1027" w:type="dxa"/>
            <w:tcBorders>
              <w:top w:val="single" w:color="000000" w:sz="4" w:space="0"/>
              <w:left w:val="single" w:color="000000" w:sz="4" w:space="0"/>
              <w:bottom w:val="single" w:color="000000" w:sz="4" w:space="0"/>
              <w:right w:val="single" w:color="000000" w:sz="4" w:space="0"/>
            </w:tcBorders>
            <w:noWrap w:val="0"/>
            <w:vAlign w:val="center"/>
          </w:tcPr>
          <w:p w14:paraId="38F946E4">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18"/>
                <w:szCs w:val="18"/>
                <w:u w:val="none"/>
              </w:rPr>
            </w:pPr>
          </w:p>
        </w:tc>
        <w:tc>
          <w:tcPr>
            <w:tcW w:w="1027" w:type="dxa"/>
            <w:tcBorders>
              <w:top w:val="single" w:color="000000" w:sz="4" w:space="0"/>
              <w:left w:val="single" w:color="000000" w:sz="4" w:space="0"/>
              <w:bottom w:val="single" w:color="000000" w:sz="4" w:space="0"/>
              <w:right w:val="single" w:color="000000" w:sz="4" w:space="0"/>
            </w:tcBorders>
            <w:noWrap w:val="0"/>
            <w:vAlign w:val="center"/>
          </w:tcPr>
          <w:p w14:paraId="697E84EE">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18"/>
                <w:szCs w:val="18"/>
                <w:u w:val="none"/>
              </w:rPr>
            </w:pPr>
          </w:p>
        </w:tc>
        <w:tc>
          <w:tcPr>
            <w:tcW w:w="1045" w:type="dxa"/>
            <w:tcBorders>
              <w:top w:val="single" w:color="000000" w:sz="4" w:space="0"/>
              <w:left w:val="single" w:color="000000" w:sz="4" w:space="0"/>
              <w:bottom w:val="single" w:color="000000" w:sz="4" w:space="0"/>
              <w:right w:val="single" w:color="000000" w:sz="4" w:space="0"/>
            </w:tcBorders>
            <w:noWrap w:val="0"/>
            <w:vAlign w:val="center"/>
          </w:tcPr>
          <w:p w14:paraId="4BF1D4D8">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18"/>
                <w:szCs w:val="18"/>
                <w:u w:val="none"/>
              </w:rPr>
            </w:pPr>
          </w:p>
        </w:tc>
        <w:tc>
          <w:tcPr>
            <w:tcW w:w="1045" w:type="dxa"/>
            <w:tcBorders>
              <w:top w:val="single" w:color="000000" w:sz="4" w:space="0"/>
              <w:left w:val="single" w:color="000000" w:sz="4" w:space="0"/>
              <w:bottom w:val="single" w:color="000000" w:sz="4" w:space="0"/>
              <w:right w:val="single" w:color="000000" w:sz="4" w:space="0"/>
            </w:tcBorders>
            <w:noWrap w:val="0"/>
            <w:vAlign w:val="center"/>
          </w:tcPr>
          <w:p w14:paraId="7DA277C2">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18"/>
                <w:szCs w:val="18"/>
                <w:u w:val="none"/>
              </w:rPr>
            </w:pPr>
          </w:p>
        </w:tc>
        <w:tc>
          <w:tcPr>
            <w:tcW w:w="1045" w:type="dxa"/>
            <w:tcBorders>
              <w:top w:val="single" w:color="000000" w:sz="4" w:space="0"/>
              <w:left w:val="single" w:color="000000" w:sz="4" w:space="0"/>
              <w:bottom w:val="single" w:color="000000" w:sz="4" w:space="0"/>
              <w:right w:val="single" w:color="000000" w:sz="4" w:space="0"/>
            </w:tcBorders>
            <w:noWrap w:val="0"/>
            <w:vAlign w:val="center"/>
          </w:tcPr>
          <w:p w14:paraId="6291A59B">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18"/>
                <w:szCs w:val="18"/>
                <w:u w:val="none"/>
              </w:rPr>
            </w:pPr>
          </w:p>
        </w:tc>
        <w:tc>
          <w:tcPr>
            <w:tcW w:w="966" w:type="dxa"/>
            <w:tcBorders>
              <w:top w:val="single" w:color="000000" w:sz="4" w:space="0"/>
              <w:left w:val="single" w:color="000000" w:sz="4" w:space="0"/>
              <w:bottom w:val="single" w:color="000000" w:sz="4" w:space="0"/>
              <w:right w:val="single" w:color="000000" w:sz="4" w:space="0"/>
            </w:tcBorders>
            <w:noWrap/>
            <w:vAlign w:val="center"/>
          </w:tcPr>
          <w:p w14:paraId="4A43BA86">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18"/>
                <w:szCs w:val="18"/>
                <w:u w:val="none"/>
              </w:rPr>
            </w:pPr>
          </w:p>
        </w:tc>
      </w:tr>
      <w:tr w14:paraId="0F6C21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1672" w:type="dxa"/>
            <w:vMerge w:val="continue"/>
            <w:tcBorders>
              <w:top w:val="single" w:color="000000" w:sz="4" w:space="0"/>
              <w:left w:val="single" w:color="000000" w:sz="4" w:space="0"/>
              <w:bottom w:val="single" w:color="000000" w:sz="4" w:space="0"/>
              <w:right w:val="single" w:color="000000" w:sz="4" w:space="0"/>
            </w:tcBorders>
            <w:noWrap w:val="0"/>
            <w:vAlign w:val="center"/>
          </w:tcPr>
          <w:p w14:paraId="2FBED263">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4" w:space="0"/>
            </w:tcBorders>
            <w:noWrap w:val="0"/>
            <w:vAlign w:val="center"/>
          </w:tcPr>
          <w:p w14:paraId="08C36DF3">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浇水</w:t>
            </w:r>
          </w:p>
        </w:tc>
        <w:tc>
          <w:tcPr>
            <w:tcW w:w="1027" w:type="dxa"/>
            <w:tcBorders>
              <w:top w:val="single" w:color="000000" w:sz="4" w:space="0"/>
              <w:left w:val="single" w:color="000000" w:sz="4" w:space="0"/>
              <w:bottom w:val="single" w:color="000000" w:sz="4" w:space="0"/>
              <w:right w:val="single" w:color="000000" w:sz="4" w:space="0"/>
            </w:tcBorders>
            <w:noWrap w:val="0"/>
            <w:vAlign w:val="center"/>
          </w:tcPr>
          <w:p w14:paraId="78630853">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18"/>
                <w:szCs w:val="18"/>
                <w:u w:val="none"/>
              </w:rPr>
            </w:pPr>
          </w:p>
        </w:tc>
        <w:tc>
          <w:tcPr>
            <w:tcW w:w="1027" w:type="dxa"/>
            <w:tcBorders>
              <w:top w:val="single" w:color="000000" w:sz="4" w:space="0"/>
              <w:left w:val="single" w:color="000000" w:sz="4" w:space="0"/>
              <w:bottom w:val="single" w:color="000000" w:sz="4" w:space="0"/>
              <w:right w:val="single" w:color="000000" w:sz="4" w:space="0"/>
            </w:tcBorders>
            <w:noWrap w:val="0"/>
            <w:vAlign w:val="center"/>
          </w:tcPr>
          <w:p w14:paraId="0F1EB6FA">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18"/>
                <w:szCs w:val="18"/>
                <w:u w:val="none"/>
              </w:rPr>
            </w:pPr>
          </w:p>
        </w:tc>
        <w:tc>
          <w:tcPr>
            <w:tcW w:w="1045" w:type="dxa"/>
            <w:tcBorders>
              <w:top w:val="single" w:color="000000" w:sz="4" w:space="0"/>
              <w:left w:val="single" w:color="000000" w:sz="4" w:space="0"/>
              <w:bottom w:val="single" w:color="000000" w:sz="4" w:space="0"/>
              <w:right w:val="single" w:color="000000" w:sz="4" w:space="0"/>
            </w:tcBorders>
            <w:noWrap w:val="0"/>
            <w:vAlign w:val="center"/>
          </w:tcPr>
          <w:p w14:paraId="6896909C">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18"/>
                <w:szCs w:val="18"/>
                <w:u w:val="none"/>
              </w:rPr>
            </w:pPr>
          </w:p>
        </w:tc>
        <w:tc>
          <w:tcPr>
            <w:tcW w:w="1045" w:type="dxa"/>
            <w:tcBorders>
              <w:top w:val="single" w:color="000000" w:sz="4" w:space="0"/>
              <w:left w:val="single" w:color="000000" w:sz="4" w:space="0"/>
              <w:bottom w:val="single" w:color="000000" w:sz="4" w:space="0"/>
              <w:right w:val="single" w:color="000000" w:sz="4" w:space="0"/>
            </w:tcBorders>
            <w:noWrap w:val="0"/>
            <w:vAlign w:val="center"/>
          </w:tcPr>
          <w:p w14:paraId="1C33FD20">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18"/>
                <w:szCs w:val="18"/>
                <w:u w:val="none"/>
              </w:rPr>
            </w:pPr>
          </w:p>
        </w:tc>
        <w:tc>
          <w:tcPr>
            <w:tcW w:w="1045" w:type="dxa"/>
            <w:tcBorders>
              <w:top w:val="single" w:color="000000" w:sz="4" w:space="0"/>
              <w:left w:val="single" w:color="000000" w:sz="4" w:space="0"/>
              <w:bottom w:val="single" w:color="000000" w:sz="4" w:space="0"/>
              <w:right w:val="single" w:color="000000" w:sz="4" w:space="0"/>
            </w:tcBorders>
            <w:noWrap w:val="0"/>
            <w:vAlign w:val="center"/>
          </w:tcPr>
          <w:p w14:paraId="0D23232D">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18"/>
                <w:szCs w:val="18"/>
                <w:u w:val="none"/>
              </w:rPr>
            </w:pPr>
          </w:p>
        </w:tc>
        <w:tc>
          <w:tcPr>
            <w:tcW w:w="966" w:type="dxa"/>
            <w:tcBorders>
              <w:top w:val="single" w:color="000000" w:sz="4" w:space="0"/>
              <w:left w:val="single" w:color="000000" w:sz="4" w:space="0"/>
              <w:bottom w:val="single" w:color="000000" w:sz="4" w:space="0"/>
              <w:right w:val="single" w:color="000000" w:sz="4" w:space="0"/>
            </w:tcBorders>
            <w:noWrap/>
            <w:vAlign w:val="center"/>
          </w:tcPr>
          <w:p w14:paraId="76529E2B">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18"/>
                <w:szCs w:val="18"/>
                <w:u w:val="none"/>
              </w:rPr>
            </w:pPr>
          </w:p>
        </w:tc>
      </w:tr>
      <w:tr w14:paraId="17D8CB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1" w:hRule="atLeast"/>
        </w:trPr>
        <w:tc>
          <w:tcPr>
            <w:tcW w:w="1672" w:type="dxa"/>
            <w:vMerge w:val="continue"/>
            <w:tcBorders>
              <w:top w:val="single" w:color="000000" w:sz="4" w:space="0"/>
              <w:left w:val="single" w:color="000000" w:sz="4" w:space="0"/>
              <w:bottom w:val="single" w:color="000000" w:sz="4" w:space="0"/>
              <w:right w:val="single" w:color="000000" w:sz="4" w:space="0"/>
            </w:tcBorders>
            <w:noWrap w:val="0"/>
            <w:vAlign w:val="center"/>
          </w:tcPr>
          <w:p w14:paraId="3D9DAC58">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4" w:space="0"/>
            </w:tcBorders>
            <w:noWrap w:val="0"/>
            <w:vAlign w:val="center"/>
          </w:tcPr>
          <w:p w14:paraId="11CF8822">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病虫害防治</w:t>
            </w:r>
          </w:p>
        </w:tc>
        <w:tc>
          <w:tcPr>
            <w:tcW w:w="1027" w:type="dxa"/>
            <w:tcBorders>
              <w:top w:val="single" w:color="000000" w:sz="4" w:space="0"/>
              <w:left w:val="single" w:color="000000" w:sz="4" w:space="0"/>
              <w:bottom w:val="single" w:color="000000" w:sz="4" w:space="0"/>
              <w:right w:val="single" w:color="000000" w:sz="4" w:space="0"/>
            </w:tcBorders>
            <w:noWrap w:val="0"/>
            <w:vAlign w:val="center"/>
          </w:tcPr>
          <w:p w14:paraId="13DEEF2F">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18"/>
                <w:szCs w:val="18"/>
                <w:u w:val="none"/>
              </w:rPr>
            </w:pPr>
          </w:p>
        </w:tc>
        <w:tc>
          <w:tcPr>
            <w:tcW w:w="1027" w:type="dxa"/>
            <w:tcBorders>
              <w:top w:val="single" w:color="000000" w:sz="4" w:space="0"/>
              <w:left w:val="single" w:color="000000" w:sz="4" w:space="0"/>
              <w:bottom w:val="single" w:color="000000" w:sz="4" w:space="0"/>
              <w:right w:val="single" w:color="000000" w:sz="4" w:space="0"/>
            </w:tcBorders>
            <w:noWrap w:val="0"/>
            <w:vAlign w:val="center"/>
          </w:tcPr>
          <w:p w14:paraId="4BDD5C79">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18"/>
                <w:szCs w:val="18"/>
                <w:u w:val="none"/>
              </w:rPr>
            </w:pPr>
          </w:p>
        </w:tc>
        <w:tc>
          <w:tcPr>
            <w:tcW w:w="1045" w:type="dxa"/>
            <w:tcBorders>
              <w:top w:val="single" w:color="000000" w:sz="4" w:space="0"/>
              <w:left w:val="single" w:color="000000" w:sz="4" w:space="0"/>
              <w:bottom w:val="single" w:color="000000" w:sz="4" w:space="0"/>
              <w:right w:val="single" w:color="000000" w:sz="4" w:space="0"/>
            </w:tcBorders>
            <w:noWrap w:val="0"/>
            <w:vAlign w:val="center"/>
          </w:tcPr>
          <w:p w14:paraId="41CA0593">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18"/>
                <w:szCs w:val="18"/>
                <w:u w:val="none"/>
              </w:rPr>
            </w:pPr>
          </w:p>
        </w:tc>
        <w:tc>
          <w:tcPr>
            <w:tcW w:w="1045" w:type="dxa"/>
            <w:tcBorders>
              <w:top w:val="single" w:color="000000" w:sz="4" w:space="0"/>
              <w:left w:val="single" w:color="000000" w:sz="4" w:space="0"/>
              <w:bottom w:val="single" w:color="000000" w:sz="4" w:space="0"/>
              <w:right w:val="single" w:color="000000" w:sz="4" w:space="0"/>
            </w:tcBorders>
            <w:noWrap w:val="0"/>
            <w:vAlign w:val="center"/>
          </w:tcPr>
          <w:p w14:paraId="0357B5F3">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18"/>
                <w:szCs w:val="18"/>
                <w:u w:val="none"/>
              </w:rPr>
            </w:pPr>
          </w:p>
        </w:tc>
        <w:tc>
          <w:tcPr>
            <w:tcW w:w="1045" w:type="dxa"/>
            <w:tcBorders>
              <w:top w:val="single" w:color="000000" w:sz="4" w:space="0"/>
              <w:left w:val="single" w:color="000000" w:sz="4" w:space="0"/>
              <w:bottom w:val="single" w:color="000000" w:sz="4" w:space="0"/>
              <w:right w:val="single" w:color="000000" w:sz="4" w:space="0"/>
            </w:tcBorders>
            <w:noWrap w:val="0"/>
            <w:vAlign w:val="center"/>
          </w:tcPr>
          <w:p w14:paraId="39271CD6">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18"/>
                <w:szCs w:val="18"/>
                <w:u w:val="none"/>
              </w:rPr>
            </w:pPr>
          </w:p>
        </w:tc>
        <w:tc>
          <w:tcPr>
            <w:tcW w:w="966" w:type="dxa"/>
            <w:tcBorders>
              <w:top w:val="single" w:color="000000" w:sz="4" w:space="0"/>
              <w:left w:val="single" w:color="000000" w:sz="4" w:space="0"/>
              <w:bottom w:val="single" w:color="000000" w:sz="4" w:space="0"/>
              <w:right w:val="single" w:color="000000" w:sz="4" w:space="0"/>
            </w:tcBorders>
            <w:noWrap/>
            <w:vAlign w:val="center"/>
          </w:tcPr>
          <w:p w14:paraId="4681BA4E">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18"/>
                <w:szCs w:val="18"/>
                <w:u w:val="none"/>
              </w:rPr>
            </w:pPr>
          </w:p>
        </w:tc>
      </w:tr>
      <w:tr w14:paraId="700CF5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73" w:hRule="atLeast"/>
        </w:trPr>
        <w:tc>
          <w:tcPr>
            <w:tcW w:w="1672" w:type="dxa"/>
            <w:tcBorders>
              <w:top w:val="single" w:color="000000" w:sz="4" w:space="0"/>
              <w:left w:val="single" w:color="000000" w:sz="4" w:space="0"/>
              <w:bottom w:val="single" w:color="000000" w:sz="4" w:space="0"/>
              <w:right w:val="single" w:color="000000" w:sz="4" w:space="0"/>
            </w:tcBorders>
            <w:noWrap w:val="0"/>
            <w:vAlign w:val="center"/>
          </w:tcPr>
          <w:p w14:paraId="188A1AD3">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季节性养护</w:t>
            </w:r>
          </w:p>
        </w:tc>
        <w:tc>
          <w:tcPr>
            <w:tcW w:w="1013" w:type="dxa"/>
            <w:tcBorders>
              <w:top w:val="single" w:color="000000" w:sz="4" w:space="0"/>
              <w:left w:val="single" w:color="000000" w:sz="4" w:space="0"/>
              <w:bottom w:val="single" w:color="000000" w:sz="4" w:space="0"/>
              <w:right w:val="single" w:color="000000" w:sz="4" w:space="0"/>
            </w:tcBorders>
            <w:noWrap w:val="0"/>
            <w:vAlign w:val="center"/>
          </w:tcPr>
          <w:p w14:paraId="1127B4B0">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草坪补植、苗木补种、施肥、清园、防冻措施等</w:t>
            </w:r>
          </w:p>
        </w:tc>
        <w:tc>
          <w:tcPr>
            <w:tcW w:w="1027" w:type="dxa"/>
            <w:tcBorders>
              <w:top w:val="single" w:color="000000" w:sz="4" w:space="0"/>
              <w:left w:val="single" w:color="000000" w:sz="4" w:space="0"/>
              <w:bottom w:val="single" w:color="000000" w:sz="4" w:space="0"/>
              <w:right w:val="single" w:color="000000" w:sz="4" w:space="0"/>
            </w:tcBorders>
            <w:noWrap w:val="0"/>
            <w:vAlign w:val="center"/>
          </w:tcPr>
          <w:p w14:paraId="58F99B66">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18"/>
                <w:szCs w:val="18"/>
                <w:u w:val="none"/>
              </w:rPr>
            </w:pPr>
          </w:p>
        </w:tc>
        <w:tc>
          <w:tcPr>
            <w:tcW w:w="1027" w:type="dxa"/>
            <w:tcBorders>
              <w:top w:val="single" w:color="000000" w:sz="4" w:space="0"/>
              <w:left w:val="single" w:color="000000" w:sz="4" w:space="0"/>
              <w:bottom w:val="single" w:color="000000" w:sz="4" w:space="0"/>
              <w:right w:val="single" w:color="000000" w:sz="4" w:space="0"/>
            </w:tcBorders>
            <w:noWrap w:val="0"/>
            <w:vAlign w:val="center"/>
          </w:tcPr>
          <w:p w14:paraId="6E073116">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18"/>
                <w:szCs w:val="18"/>
                <w:u w:val="none"/>
              </w:rPr>
            </w:pPr>
          </w:p>
        </w:tc>
        <w:tc>
          <w:tcPr>
            <w:tcW w:w="1045" w:type="dxa"/>
            <w:tcBorders>
              <w:top w:val="single" w:color="000000" w:sz="4" w:space="0"/>
              <w:left w:val="single" w:color="000000" w:sz="4" w:space="0"/>
              <w:bottom w:val="single" w:color="000000" w:sz="4" w:space="0"/>
              <w:right w:val="single" w:color="000000" w:sz="4" w:space="0"/>
            </w:tcBorders>
            <w:noWrap w:val="0"/>
            <w:vAlign w:val="center"/>
          </w:tcPr>
          <w:p w14:paraId="1F9A8F72">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18"/>
                <w:szCs w:val="18"/>
                <w:u w:val="none"/>
              </w:rPr>
            </w:pPr>
          </w:p>
        </w:tc>
        <w:tc>
          <w:tcPr>
            <w:tcW w:w="1045" w:type="dxa"/>
            <w:tcBorders>
              <w:top w:val="single" w:color="000000" w:sz="4" w:space="0"/>
              <w:left w:val="single" w:color="000000" w:sz="4" w:space="0"/>
              <w:bottom w:val="single" w:color="000000" w:sz="4" w:space="0"/>
              <w:right w:val="single" w:color="000000" w:sz="4" w:space="0"/>
            </w:tcBorders>
            <w:noWrap w:val="0"/>
            <w:vAlign w:val="center"/>
          </w:tcPr>
          <w:p w14:paraId="3E9B7FC4">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18"/>
                <w:szCs w:val="18"/>
                <w:u w:val="none"/>
              </w:rPr>
            </w:pPr>
          </w:p>
        </w:tc>
        <w:tc>
          <w:tcPr>
            <w:tcW w:w="1045" w:type="dxa"/>
            <w:tcBorders>
              <w:top w:val="single" w:color="000000" w:sz="4" w:space="0"/>
              <w:left w:val="single" w:color="000000" w:sz="4" w:space="0"/>
              <w:bottom w:val="single" w:color="000000" w:sz="4" w:space="0"/>
              <w:right w:val="single" w:color="000000" w:sz="4" w:space="0"/>
            </w:tcBorders>
            <w:noWrap w:val="0"/>
            <w:vAlign w:val="center"/>
          </w:tcPr>
          <w:p w14:paraId="7582E0FB">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18"/>
                <w:szCs w:val="18"/>
                <w:u w:val="none"/>
              </w:rPr>
            </w:pPr>
          </w:p>
        </w:tc>
        <w:tc>
          <w:tcPr>
            <w:tcW w:w="966" w:type="dxa"/>
            <w:tcBorders>
              <w:top w:val="single" w:color="000000" w:sz="4" w:space="0"/>
              <w:left w:val="single" w:color="000000" w:sz="4" w:space="0"/>
              <w:bottom w:val="single" w:color="000000" w:sz="4" w:space="0"/>
              <w:right w:val="single" w:color="000000" w:sz="4" w:space="0"/>
            </w:tcBorders>
            <w:noWrap/>
            <w:vAlign w:val="center"/>
          </w:tcPr>
          <w:p w14:paraId="777BDCB6">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18"/>
                <w:szCs w:val="18"/>
                <w:u w:val="none"/>
              </w:rPr>
            </w:pPr>
          </w:p>
        </w:tc>
      </w:tr>
      <w:tr w14:paraId="6F4226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1672" w:type="dxa"/>
            <w:vMerge w:val="restart"/>
            <w:tcBorders>
              <w:top w:val="single" w:color="000000" w:sz="4" w:space="0"/>
              <w:left w:val="single" w:color="000000" w:sz="4" w:space="0"/>
              <w:bottom w:val="single" w:color="000000" w:sz="4" w:space="0"/>
              <w:right w:val="single" w:color="000000" w:sz="4" w:space="0"/>
            </w:tcBorders>
            <w:noWrap w:val="0"/>
            <w:vAlign w:val="center"/>
          </w:tcPr>
          <w:p w14:paraId="321D3D03">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工作人员</w:t>
            </w:r>
          </w:p>
        </w:tc>
        <w:tc>
          <w:tcPr>
            <w:tcW w:w="1013" w:type="dxa"/>
            <w:tcBorders>
              <w:top w:val="single" w:color="000000" w:sz="4" w:space="0"/>
              <w:left w:val="single" w:color="000000" w:sz="4" w:space="0"/>
              <w:bottom w:val="single" w:color="000000" w:sz="4" w:space="0"/>
              <w:right w:val="single" w:color="000000" w:sz="4" w:space="0"/>
            </w:tcBorders>
            <w:noWrap w:val="0"/>
            <w:vAlign w:val="center"/>
          </w:tcPr>
          <w:p w14:paraId="7C303AAE">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着装</w:t>
            </w:r>
          </w:p>
        </w:tc>
        <w:tc>
          <w:tcPr>
            <w:tcW w:w="1027" w:type="dxa"/>
            <w:tcBorders>
              <w:top w:val="single" w:color="000000" w:sz="4" w:space="0"/>
              <w:left w:val="single" w:color="000000" w:sz="4" w:space="0"/>
              <w:bottom w:val="single" w:color="000000" w:sz="4" w:space="0"/>
              <w:right w:val="single" w:color="000000" w:sz="4" w:space="0"/>
            </w:tcBorders>
            <w:noWrap w:val="0"/>
            <w:vAlign w:val="center"/>
          </w:tcPr>
          <w:p w14:paraId="38425098">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18"/>
                <w:szCs w:val="18"/>
                <w:u w:val="none"/>
              </w:rPr>
            </w:pPr>
          </w:p>
        </w:tc>
        <w:tc>
          <w:tcPr>
            <w:tcW w:w="1027" w:type="dxa"/>
            <w:tcBorders>
              <w:top w:val="single" w:color="000000" w:sz="4" w:space="0"/>
              <w:left w:val="single" w:color="000000" w:sz="4" w:space="0"/>
              <w:bottom w:val="single" w:color="000000" w:sz="4" w:space="0"/>
              <w:right w:val="single" w:color="000000" w:sz="4" w:space="0"/>
            </w:tcBorders>
            <w:noWrap w:val="0"/>
            <w:vAlign w:val="center"/>
          </w:tcPr>
          <w:p w14:paraId="19880DD3">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18"/>
                <w:szCs w:val="18"/>
                <w:u w:val="none"/>
              </w:rPr>
            </w:pPr>
          </w:p>
        </w:tc>
        <w:tc>
          <w:tcPr>
            <w:tcW w:w="1045" w:type="dxa"/>
            <w:tcBorders>
              <w:top w:val="single" w:color="000000" w:sz="4" w:space="0"/>
              <w:left w:val="single" w:color="000000" w:sz="4" w:space="0"/>
              <w:bottom w:val="single" w:color="000000" w:sz="4" w:space="0"/>
              <w:right w:val="single" w:color="000000" w:sz="4" w:space="0"/>
            </w:tcBorders>
            <w:noWrap w:val="0"/>
            <w:vAlign w:val="center"/>
          </w:tcPr>
          <w:p w14:paraId="2DEF07FD">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18"/>
                <w:szCs w:val="18"/>
                <w:u w:val="none"/>
              </w:rPr>
            </w:pPr>
          </w:p>
        </w:tc>
        <w:tc>
          <w:tcPr>
            <w:tcW w:w="1045" w:type="dxa"/>
            <w:tcBorders>
              <w:top w:val="single" w:color="000000" w:sz="4" w:space="0"/>
              <w:left w:val="single" w:color="000000" w:sz="4" w:space="0"/>
              <w:bottom w:val="single" w:color="000000" w:sz="4" w:space="0"/>
              <w:right w:val="single" w:color="000000" w:sz="4" w:space="0"/>
            </w:tcBorders>
            <w:noWrap w:val="0"/>
            <w:vAlign w:val="center"/>
          </w:tcPr>
          <w:p w14:paraId="72A4DCE3">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18"/>
                <w:szCs w:val="18"/>
                <w:u w:val="none"/>
              </w:rPr>
            </w:pPr>
          </w:p>
        </w:tc>
        <w:tc>
          <w:tcPr>
            <w:tcW w:w="1045" w:type="dxa"/>
            <w:tcBorders>
              <w:top w:val="single" w:color="000000" w:sz="4" w:space="0"/>
              <w:left w:val="single" w:color="000000" w:sz="4" w:space="0"/>
              <w:bottom w:val="single" w:color="000000" w:sz="4" w:space="0"/>
              <w:right w:val="single" w:color="000000" w:sz="4" w:space="0"/>
            </w:tcBorders>
            <w:noWrap w:val="0"/>
            <w:vAlign w:val="center"/>
          </w:tcPr>
          <w:p w14:paraId="40DCB194">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18"/>
                <w:szCs w:val="18"/>
                <w:u w:val="none"/>
              </w:rPr>
            </w:pPr>
          </w:p>
        </w:tc>
        <w:tc>
          <w:tcPr>
            <w:tcW w:w="966" w:type="dxa"/>
            <w:tcBorders>
              <w:top w:val="single" w:color="000000" w:sz="4" w:space="0"/>
              <w:left w:val="single" w:color="000000" w:sz="4" w:space="0"/>
              <w:bottom w:val="single" w:color="000000" w:sz="4" w:space="0"/>
              <w:right w:val="single" w:color="000000" w:sz="4" w:space="0"/>
            </w:tcBorders>
            <w:noWrap/>
            <w:vAlign w:val="center"/>
          </w:tcPr>
          <w:p w14:paraId="54EE629E">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18"/>
                <w:szCs w:val="18"/>
                <w:u w:val="none"/>
              </w:rPr>
            </w:pPr>
          </w:p>
        </w:tc>
      </w:tr>
      <w:tr w14:paraId="406D49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1672" w:type="dxa"/>
            <w:vMerge w:val="continue"/>
            <w:tcBorders>
              <w:top w:val="single" w:color="000000" w:sz="4" w:space="0"/>
              <w:left w:val="single" w:color="000000" w:sz="4" w:space="0"/>
              <w:bottom w:val="single" w:color="000000" w:sz="4" w:space="0"/>
              <w:right w:val="single" w:color="000000" w:sz="4" w:space="0"/>
            </w:tcBorders>
            <w:noWrap w:val="0"/>
            <w:vAlign w:val="center"/>
          </w:tcPr>
          <w:p w14:paraId="48F937CE">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4" w:space="0"/>
            </w:tcBorders>
            <w:noWrap w:val="0"/>
            <w:vAlign w:val="center"/>
          </w:tcPr>
          <w:p w14:paraId="3826FFFA">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在岗</w:t>
            </w:r>
          </w:p>
        </w:tc>
        <w:tc>
          <w:tcPr>
            <w:tcW w:w="1027" w:type="dxa"/>
            <w:tcBorders>
              <w:top w:val="single" w:color="000000" w:sz="4" w:space="0"/>
              <w:left w:val="single" w:color="000000" w:sz="4" w:space="0"/>
              <w:bottom w:val="single" w:color="000000" w:sz="4" w:space="0"/>
              <w:right w:val="single" w:color="000000" w:sz="4" w:space="0"/>
            </w:tcBorders>
            <w:noWrap w:val="0"/>
            <w:vAlign w:val="center"/>
          </w:tcPr>
          <w:p w14:paraId="2BC1691F">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18"/>
                <w:szCs w:val="18"/>
                <w:u w:val="none"/>
              </w:rPr>
            </w:pPr>
          </w:p>
        </w:tc>
        <w:tc>
          <w:tcPr>
            <w:tcW w:w="1027" w:type="dxa"/>
            <w:tcBorders>
              <w:top w:val="single" w:color="000000" w:sz="4" w:space="0"/>
              <w:left w:val="single" w:color="000000" w:sz="4" w:space="0"/>
              <w:bottom w:val="single" w:color="000000" w:sz="4" w:space="0"/>
              <w:right w:val="single" w:color="000000" w:sz="4" w:space="0"/>
            </w:tcBorders>
            <w:noWrap w:val="0"/>
            <w:vAlign w:val="center"/>
          </w:tcPr>
          <w:p w14:paraId="54375FC8">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18"/>
                <w:szCs w:val="18"/>
                <w:u w:val="none"/>
              </w:rPr>
            </w:pPr>
          </w:p>
        </w:tc>
        <w:tc>
          <w:tcPr>
            <w:tcW w:w="1045" w:type="dxa"/>
            <w:tcBorders>
              <w:top w:val="single" w:color="000000" w:sz="4" w:space="0"/>
              <w:left w:val="single" w:color="000000" w:sz="4" w:space="0"/>
              <w:bottom w:val="single" w:color="000000" w:sz="4" w:space="0"/>
              <w:right w:val="single" w:color="000000" w:sz="4" w:space="0"/>
            </w:tcBorders>
            <w:noWrap w:val="0"/>
            <w:vAlign w:val="center"/>
          </w:tcPr>
          <w:p w14:paraId="3ECDD663">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18"/>
                <w:szCs w:val="18"/>
                <w:u w:val="none"/>
              </w:rPr>
            </w:pPr>
          </w:p>
        </w:tc>
        <w:tc>
          <w:tcPr>
            <w:tcW w:w="1045" w:type="dxa"/>
            <w:tcBorders>
              <w:top w:val="single" w:color="000000" w:sz="4" w:space="0"/>
              <w:left w:val="single" w:color="000000" w:sz="4" w:space="0"/>
              <w:bottom w:val="single" w:color="000000" w:sz="4" w:space="0"/>
              <w:right w:val="single" w:color="000000" w:sz="4" w:space="0"/>
            </w:tcBorders>
            <w:noWrap w:val="0"/>
            <w:vAlign w:val="center"/>
          </w:tcPr>
          <w:p w14:paraId="17221313">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18"/>
                <w:szCs w:val="18"/>
                <w:u w:val="none"/>
              </w:rPr>
            </w:pPr>
          </w:p>
        </w:tc>
        <w:tc>
          <w:tcPr>
            <w:tcW w:w="1045" w:type="dxa"/>
            <w:tcBorders>
              <w:top w:val="single" w:color="000000" w:sz="4" w:space="0"/>
              <w:left w:val="single" w:color="000000" w:sz="4" w:space="0"/>
              <w:bottom w:val="single" w:color="000000" w:sz="4" w:space="0"/>
              <w:right w:val="single" w:color="000000" w:sz="4" w:space="0"/>
            </w:tcBorders>
            <w:noWrap w:val="0"/>
            <w:vAlign w:val="center"/>
          </w:tcPr>
          <w:p w14:paraId="2000D658">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18"/>
                <w:szCs w:val="18"/>
                <w:u w:val="none"/>
              </w:rPr>
            </w:pPr>
          </w:p>
        </w:tc>
        <w:tc>
          <w:tcPr>
            <w:tcW w:w="966" w:type="dxa"/>
            <w:tcBorders>
              <w:top w:val="single" w:color="000000" w:sz="4" w:space="0"/>
              <w:left w:val="single" w:color="000000" w:sz="4" w:space="0"/>
              <w:bottom w:val="single" w:color="000000" w:sz="4" w:space="0"/>
              <w:right w:val="single" w:color="000000" w:sz="4" w:space="0"/>
            </w:tcBorders>
            <w:noWrap/>
            <w:vAlign w:val="center"/>
          </w:tcPr>
          <w:p w14:paraId="7A2FBEF9">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18"/>
                <w:szCs w:val="18"/>
                <w:u w:val="none"/>
              </w:rPr>
            </w:pPr>
          </w:p>
        </w:tc>
      </w:tr>
      <w:tr w14:paraId="6735E4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1672" w:type="dxa"/>
            <w:vMerge w:val="continue"/>
            <w:tcBorders>
              <w:top w:val="single" w:color="000000" w:sz="4" w:space="0"/>
              <w:left w:val="single" w:color="000000" w:sz="4" w:space="0"/>
              <w:bottom w:val="single" w:color="000000" w:sz="4" w:space="0"/>
              <w:right w:val="single" w:color="000000" w:sz="4" w:space="0"/>
            </w:tcBorders>
            <w:noWrap w:val="0"/>
            <w:vAlign w:val="center"/>
          </w:tcPr>
          <w:p w14:paraId="3B26ED8F">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18"/>
                <w:szCs w:val="18"/>
                <w:u w:val="none"/>
              </w:rPr>
            </w:pPr>
          </w:p>
        </w:tc>
        <w:tc>
          <w:tcPr>
            <w:tcW w:w="1013" w:type="dxa"/>
            <w:tcBorders>
              <w:top w:val="single" w:color="000000" w:sz="4" w:space="0"/>
              <w:left w:val="single" w:color="000000" w:sz="4" w:space="0"/>
              <w:bottom w:val="single" w:color="000000" w:sz="4" w:space="0"/>
              <w:right w:val="single" w:color="000000" w:sz="4" w:space="0"/>
            </w:tcBorders>
            <w:noWrap w:val="0"/>
            <w:vAlign w:val="center"/>
          </w:tcPr>
          <w:p w14:paraId="6D04FDCD">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服务</w:t>
            </w:r>
          </w:p>
        </w:tc>
        <w:tc>
          <w:tcPr>
            <w:tcW w:w="1027" w:type="dxa"/>
            <w:tcBorders>
              <w:top w:val="single" w:color="000000" w:sz="4" w:space="0"/>
              <w:left w:val="single" w:color="000000" w:sz="4" w:space="0"/>
              <w:bottom w:val="single" w:color="000000" w:sz="4" w:space="0"/>
              <w:right w:val="single" w:color="000000" w:sz="4" w:space="0"/>
            </w:tcBorders>
            <w:noWrap w:val="0"/>
            <w:vAlign w:val="center"/>
          </w:tcPr>
          <w:p w14:paraId="4F6B6C51">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18"/>
                <w:szCs w:val="18"/>
                <w:u w:val="none"/>
              </w:rPr>
            </w:pPr>
          </w:p>
        </w:tc>
        <w:tc>
          <w:tcPr>
            <w:tcW w:w="1027" w:type="dxa"/>
            <w:tcBorders>
              <w:top w:val="single" w:color="000000" w:sz="4" w:space="0"/>
              <w:left w:val="single" w:color="000000" w:sz="4" w:space="0"/>
              <w:bottom w:val="single" w:color="000000" w:sz="4" w:space="0"/>
              <w:right w:val="single" w:color="000000" w:sz="4" w:space="0"/>
            </w:tcBorders>
            <w:noWrap w:val="0"/>
            <w:vAlign w:val="center"/>
          </w:tcPr>
          <w:p w14:paraId="2F56C355">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18"/>
                <w:szCs w:val="18"/>
                <w:u w:val="none"/>
              </w:rPr>
            </w:pPr>
          </w:p>
        </w:tc>
        <w:tc>
          <w:tcPr>
            <w:tcW w:w="1045" w:type="dxa"/>
            <w:tcBorders>
              <w:top w:val="single" w:color="000000" w:sz="4" w:space="0"/>
              <w:left w:val="single" w:color="000000" w:sz="4" w:space="0"/>
              <w:bottom w:val="single" w:color="000000" w:sz="4" w:space="0"/>
              <w:right w:val="single" w:color="000000" w:sz="4" w:space="0"/>
            </w:tcBorders>
            <w:noWrap w:val="0"/>
            <w:vAlign w:val="center"/>
          </w:tcPr>
          <w:p w14:paraId="0FAD97CD">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18"/>
                <w:szCs w:val="18"/>
                <w:u w:val="none"/>
              </w:rPr>
            </w:pPr>
          </w:p>
        </w:tc>
        <w:tc>
          <w:tcPr>
            <w:tcW w:w="1045" w:type="dxa"/>
            <w:tcBorders>
              <w:top w:val="single" w:color="000000" w:sz="4" w:space="0"/>
              <w:left w:val="single" w:color="000000" w:sz="4" w:space="0"/>
              <w:bottom w:val="single" w:color="000000" w:sz="4" w:space="0"/>
              <w:right w:val="single" w:color="000000" w:sz="4" w:space="0"/>
            </w:tcBorders>
            <w:noWrap w:val="0"/>
            <w:vAlign w:val="center"/>
          </w:tcPr>
          <w:p w14:paraId="2449D28D">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18"/>
                <w:szCs w:val="18"/>
                <w:u w:val="none"/>
              </w:rPr>
            </w:pPr>
          </w:p>
        </w:tc>
        <w:tc>
          <w:tcPr>
            <w:tcW w:w="1045" w:type="dxa"/>
            <w:tcBorders>
              <w:top w:val="single" w:color="000000" w:sz="4" w:space="0"/>
              <w:left w:val="single" w:color="000000" w:sz="4" w:space="0"/>
              <w:bottom w:val="single" w:color="000000" w:sz="4" w:space="0"/>
              <w:right w:val="single" w:color="000000" w:sz="4" w:space="0"/>
            </w:tcBorders>
            <w:noWrap w:val="0"/>
            <w:vAlign w:val="center"/>
          </w:tcPr>
          <w:p w14:paraId="4CE8D669">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18"/>
                <w:szCs w:val="18"/>
                <w:u w:val="none"/>
              </w:rPr>
            </w:pPr>
          </w:p>
        </w:tc>
        <w:tc>
          <w:tcPr>
            <w:tcW w:w="966" w:type="dxa"/>
            <w:tcBorders>
              <w:top w:val="single" w:color="000000" w:sz="4" w:space="0"/>
              <w:left w:val="single" w:color="000000" w:sz="4" w:space="0"/>
              <w:bottom w:val="single" w:color="000000" w:sz="4" w:space="0"/>
              <w:right w:val="single" w:color="000000" w:sz="4" w:space="0"/>
            </w:tcBorders>
            <w:noWrap/>
            <w:vAlign w:val="center"/>
          </w:tcPr>
          <w:p w14:paraId="1F0C5E30">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18"/>
                <w:szCs w:val="18"/>
                <w:u w:val="none"/>
              </w:rPr>
            </w:pPr>
          </w:p>
        </w:tc>
      </w:tr>
      <w:tr w14:paraId="014BC0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2685" w:type="dxa"/>
            <w:gridSpan w:val="2"/>
            <w:tcBorders>
              <w:top w:val="single" w:color="000000" w:sz="4" w:space="0"/>
              <w:left w:val="single" w:color="000000" w:sz="4" w:space="0"/>
              <w:bottom w:val="single" w:color="000000" w:sz="4" w:space="0"/>
              <w:right w:val="single" w:color="000000" w:sz="4" w:space="0"/>
            </w:tcBorders>
            <w:noWrap/>
            <w:vAlign w:val="center"/>
          </w:tcPr>
          <w:p w14:paraId="5E73403F">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总分</w:t>
            </w:r>
          </w:p>
        </w:tc>
        <w:tc>
          <w:tcPr>
            <w:tcW w:w="1027" w:type="dxa"/>
            <w:tcBorders>
              <w:top w:val="single" w:color="000000" w:sz="4" w:space="0"/>
              <w:left w:val="single" w:color="000000" w:sz="4" w:space="0"/>
              <w:bottom w:val="single" w:color="000000" w:sz="4" w:space="0"/>
              <w:right w:val="single" w:color="000000" w:sz="4" w:space="0"/>
            </w:tcBorders>
            <w:noWrap/>
            <w:vAlign w:val="center"/>
          </w:tcPr>
          <w:p w14:paraId="548051B1">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18"/>
                <w:szCs w:val="18"/>
                <w:u w:val="none"/>
              </w:rPr>
            </w:pPr>
          </w:p>
        </w:tc>
        <w:tc>
          <w:tcPr>
            <w:tcW w:w="1027" w:type="dxa"/>
            <w:tcBorders>
              <w:top w:val="single" w:color="000000" w:sz="4" w:space="0"/>
              <w:left w:val="single" w:color="000000" w:sz="4" w:space="0"/>
              <w:bottom w:val="single" w:color="000000" w:sz="4" w:space="0"/>
              <w:right w:val="single" w:color="000000" w:sz="4" w:space="0"/>
            </w:tcBorders>
            <w:noWrap/>
            <w:vAlign w:val="center"/>
          </w:tcPr>
          <w:p w14:paraId="1D627A98">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18"/>
                <w:szCs w:val="18"/>
                <w:u w:val="none"/>
              </w:rPr>
            </w:pPr>
          </w:p>
        </w:tc>
        <w:tc>
          <w:tcPr>
            <w:tcW w:w="1045" w:type="dxa"/>
            <w:tcBorders>
              <w:top w:val="single" w:color="000000" w:sz="4" w:space="0"/>
              <w:left w:val="single" w:color="000000" w:sz="4" w:space="0"/>
              <w:bottom w:val="single" w:color="000000" w:sz="4" w:space="0"/>
              <w:right w:val="single" w:color="000000" w:sz="4" w:space="0"/>
            </w:tcBorders>
            <w:noWrap/>
            <w:vAlign w:val="center"/>
          </w:tcPr>
          <w:p w14:paraId="089E4ABC">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18"/>
                <w:szCs w:val="18"/>
                <w:u w:val="none"/>
              </w:rPr>
            </w:pPr>
          </w:p>
        </w:tc>
        <w:tc>
          <w:tcPr>
            <w:tcW w:w="1045" w:type="dxa"/>
            <w:tcBorders>
              <w:top w:val="single" w:color="000000" w:sz="4" w:space="0"/>
              <w:left w:val="single" w:color="000000" w:sz="4" w:space="0"/>
              <w:bottom w:val="single" w:color="000000" w:sz="4" w:space="0"/>
              <w:right w:val="single" w:color="000000" w:sz="4" w:space="0"/>
            </w:tcBorders>
            <w:noWrap/>
            <w:vAlign w:val="center"/>
          </w:tcPr>
          <w:p w14:paraId="300819CF">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18"/>
                <w:szCs w:val="18"/>
                <w:u w:val="none"/>
              </w:rPr>
            </w:pPr>
          </w:p>
        </w:tc>
        <w:tc>
          <w:tcPr>
            <w:tcW w:w="1045" w:type="dxa"/>
            <w:tcBorders>
              <w:top w:val="single" w:color="000000" w:sz="4" w:space="0"/>
              <w:left w:val="single" w:color="000000" w:sz="4" w:space="0"/>
              <w:bottom w:val="single" w:color="000000" w:sz="4" w:space="0"/>
              <w:right w:val="single" w:color="000000" w:sz="4" w:space="0"/>
            </w:tcBorders>
            <w:noWrap/>
            <w:vAlign w:val="center"/>
          </w:tcPr>
          <w:p w14:paraId="05E7E22F">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18"/>
                <w:szCs w:val="18"/>
                <w:u w:val="none"/>
              </w:rPr>
            </w:pPr>
          </w:p>
        </w:tc>
        <w:tc>
          <w:tcPr>
            <w:tcW w:w="966" w:type="dxa"/>
            <w:tcBorders>
              <w:top w:val="single" w:color="000000" w:sz="4" w:space="0"/>
              <w:left w:val="single" w:color="000000" w:sz="4" w:space="0"/>
              <w:bottom w:val="single" w:color="000000" w:sz="4" w:space="0"/>
              <w:right w:val="single" w:color="000000" w:sz="4" w:space="0"/>
            </w:tcBorders>
            <w:noWrap/>
            <w:vAlign w:val="center"/>
          </w:tcPr>
          <w:p w14:paraId="212BE5EF">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18"/>
                <w:szCs w:val="18"/>
                <w:u w:val="none"/>
              </w:rPr>
            </w:pPr>
          </w:p>
        </w:tc>
      </w:tr>
      <w:tr w14:paraId="4CB911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70" w:hRule="atLeast"/>
        </w:trPr>
        <w:tc>
          <w:tcPr>
            <w:tcW w:w="1672" w:type="dxa"/>
            <w:tcBorders>
              <w:top w:val="single" w:color="000000" w:sz="4" w:space="0"/>
              <w:left w:val="single" w:color="000000" w:sz="4" w:space="0"/>
              <w:bottom w:val="single" w:color="000000" w:sz="4" w:space="0"/>
              <w:right w:val="single" w:color="000000" w:sz="4" w:space="0"/>
            </w:tcBorders>
            <w:noWrap/>
            <w:vAlign w:val="center"/>
          </w:tcPr>
          <w:p w14:paraId="70488EFE">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备注</w:t>
            </w:r>
          </w:p>
        </w:tc>
        <w:tc>
          <w:tcPr>
            <w:tcW w:w="7168" w:type="dxa"/>
            <w:gridSpan w:val="7"/>
            <w:tcBorders>
              <w:top w:val="single" w:color="000000" w:sz="4" w:space="0"/>
              <w:left w:val="single" w:color="000000" w:sz="4" w:space="0"/>
              <w:bottom w:val="single" w:color="000000" w:sz="4" w:space="0"/>
              <w:right w:val="single" w:color="000000" w:sz="4" w:space="0"/>
            </w:tcBorders>
            <w:noWrap w:val="0"/>
            <w:vAlign w:val="center"/>
          </w:tcPr>
          <w:p w14:paraId="0A98EC30">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 评分达到90分以上者（含90分）视为合格，不扣罚。</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 评分在90分以下者视为不合格，按照分值高低和累计次数扣罚。按分值具体扣罚办法如下:</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①80-89.9分时，按年累计次数计算，第一次扣月平均费用的2%；第二次扣月平均费用的5%；第三次扣月平均费用的8%；第四次扣月平均费用的10%；第五次除扣月平均费用的15%外，采购人有权单方面终止合同，并且不补偿、不赔偿中标人任何费用。</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②70-79.9分时，按年累计次数计算，第一次扣月平均费用的5%，第二次扣月平均费用的8%；第三次扣月平均费用的10%；第四次扣除月平均费用的15%外；采购人有权单方面终止合同，并且不补偿、不赔偿中标人任何费用。</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③60-69.9分时，按年累计次数计算，第一次扣月平均费用的10%；第二次扣月平均费用的15%；第三次除扣月平均费用的20%外，采购人有权单方面终止合同，并且不补偿、不赔偿中标人任何费用。</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④低于60分时，采购人有权单方面终止合同，并且不补偿、不赔偿中标人任何费用。</w:t>
            </w:r>
          </w:p>
        </w:tc>
      </w:tr>
      <w:tr w14:paraId="35499F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1672" w:type="dxa"/>
            <w:tcBorders>
              <w:top w:val="nil"/>
              <w:left w:val="nil"/>
              <w:bottom w:val="nil"/>
              <w:right w:val="nil"/>
            </w:tcBorders>
            <w:noWrap/>
            <w:vAlign w:val="center"/>
          </w:tcPr>
          <w:p w14:paraId="786EB8CD">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后勤管理处：</w:t>
            </w:r>
          </w:p>
        </w:tc>
        <w:tc>
          <w:tcPr>
            <w:tcW w:w="1013" w:type="dxa"/>
            <w:tcBorders>
              <w:top w:val="nil"/>
              <w:left w:val="nil"/>
              <w:bottom w:val="nil"/>
              <w:right w:val="nil"/>
            </w:tcBorders>
            <w:noWrap/>
            <w:vAlign w:val="center"/>
          </w:tcPr>
          <w:p w14:paraId="20D466F3">
            <w:pPr>
              <w:keepNext w:val="0"/>
              <w:keepLines w:val="0"/>
              <w:pageBreakBefore w:val="0"/>
              <w:widowControl/>
              <w:kinsoku/>
              <w:wordWrap/>
              <w:overflowPunct/>
              <w:topLinePunct w:val="0"/>
              <w:autoSpaceDE/>
              <w:autoSpaceDN/>
              <w:bidi w:val="0"/>
              <w:adjustRightInd/>
              <w:snapToGrid/>
              <w:spacing w:line="360" w:lineRule="exact"/>
              <w:rPr>
                <w:rFonts w:hint="eastAsia" w:ascii="宋体" w:hAnsi="宋体" w:eastAsia="宋体" w:cs="宋体"/>
                <w:i w:val="0"/>
                <w:iCs w:val="0"/>
                <w:color w:val="auto"/>
                <w:sz w:val="18"/>
                <w:szCs w:val="18"/>
                <w:u w:val="none"/>
              </w:rPr>
            </w:pPr>
          </w:p>
        </w:tc>
        <w:tc>
          <w:tcPr>
            <w:tcW w:w="1027" w:type="dxa"/>
            <w:tcBorders>
              <w:top w:val="nil"/>
              <w:left w:val="nil"/>
              <w:bottom w:val="nil"/>
              <w:right w:val="nil"/>
            </w:tcBorders>
            <w:noWrap/>
            <w:vAlign w:val="center"/>
          </w:tcPr>
          <w:p w14:paraId="7C7D7587">
            <w:pPr>
              <w:keepNext w:val="0"/>
              <w:keepLines w:val="0"/>
              <w:pageBreakBefore w:val="0"/>
              <w:widowControl/>
              <w:kinsoku/>
              <w:wordWrap/>
              <w:overflowPunct/>
              <w:topLinePunct w:val="0"/>
              <w:autoSpaceDE/>
              <w:autoSpaceDN/>
              <w:bidi w:val="0"/>
              <w:adjustRightInd/>
              <w:snapToGrid/>
              <w:spacing w:line="360" w:lineRule="exact"/>
              <w:rPr>
                <w:rFonts w:hint="eastAsia" w:ascii="宋体" w:hAnsi="宋体" w:eastAsia="宋体" w:cs="宋体"/>
                <w:i w:val="0"/>
                <w:iCs w:val="0"/>
                <w:color w:val="auto"/>
                <w:sz w:val="18"/>
                <w:szCs w:val="18"/>
                <w:u w:val="none"/>
              </w:rPr>
            </w:pPr>
          </w:p>
        </w:tc>
        <w:tc>
          <w:tcPr>
            <w:tcW w:w="1027" w:type="dxa"/>
            <w:tcBorders>
              <w:top w:val="nil"/>
              <w:left w:val="nil"/>
              <w:bottom w:val="nil"/>
              <w:right w:val="nil"/>
            </w:tcBorders>
            <w:noWrap/>
            <w:vAlign w:val="center"/>
          </w:tcPr>
          <w:p w14:paraId="4D04D34C">
            <w:pPr>
              <w:keepNext w:val="0"/>
              <w:keepLines w:val="0"/>
              <w:pageBreakBefore w:val="0"/>
              <w:widowControl/>
              <w:kinsoku/>
              <w:wordWrap/>
              <w:overflowPunct/>
              <w:topLinePunct w:val="0"/>
              <w:autoSpaceDE/>
              <w:autoSpaceDN/>
              <w:bidi w:val="0"/>
              <w:adjustRightInd/>
              <w:snapToGrid/>
              <w:spacing w:line="360" w:lineRule="exact"/>
              <w:rPr>
                <w:rFonts w:hint="eastAsia" w:ascii="宋体" w:hAnsi="宋体" w:eastAsia="宋体" w:cs="宋体"/>
                <w:i w:val="0"/>
                <w:iCs w:val="0"/>
                <w:color w:val="auto"/>
                <w:sz w:val="18"/>
                <w:szCs w:val="18"/>
                <w:u w:val="none"/>
              </w:rPr>
            </w:pPr>
          </w:p>
        </w:tc>
        <w:tc>
          <w:tcPr>
            <w:tcW w:w="1045" w:type="dxa"/>
            <w:tcBorders>
              <w:top w:val="nil"/>
              <w:left w:val="nil"/>
              <w:bottom w:val="nil"/>
              <w:right w:val="nil"/>
            </w:tcBorders>
            <w:noWrap/>
            <w:vAlign w:val="center"/>
          </w:tcPr>
          <w:p w14:paraId="0F39A231">
            <w:pPr>
              <w:keepNext w:val="0"/>
              <w:keepLines w:val="0"/>
              <w:pageBreakBefore w:val="0"/>
              <w:widowControl/>
              <w:kinsoku/>
              <w:wordWrap/>
              <w:overflowPunct/>
              <w:topLinePunct w:val="0"/>
              <w:autoSpaceDE/>
              <w:autoSpaceDN/>
              <w:bidi w:val="0"/>
              <w:adjustRightInd/>
              <w:snapToGrid/>
              <w:spacing w:line="360" w:lineRule="exact"/>
              <w:rPr>
                <w:rFonts w:hint="eastAsia" w:ascii="宋体" w:hAnsi="宋体" w:eastAsia="宋体" w:cs="宋体"/>
                <w:i w:val="0"/>
                <w:iCs w:val="0"/>
                <w:color w:val="auto"/>
                <w:sz w:val="18"/>
                <w:szCs w:val="18"/>
                <w:u w:val="none"/>
              </w:rPr>
            </w:pPr>
          </w:p>
        </w:tc>
        <w:tc>
          <w:tcPr>
            <w:tcW w:w="1045" w:type="dxa"/>
            <w:tcBorders>
              <w:top w:val="nil"/>
              <w:left w:val="nil"/>
              <w:bottom w:val="nil"/>
              <w:right w:val="nil"/>
            </w:tcBorders>
            <w:noWrap/>
            <w:vAlign w:val="center"/>
          </w:tcPr>
          <w:p w14:paraId="551B2823">
            <w:pPr>
              <w:keepNext w:val="0"/>
              <w:keepLines w:val="0"/>
              <w:pageBreakBefore w:val="0"/>
              <w:widowControl/>
              <w:kinsoku/>
              <w:wordWrap/>
              <w:overflowPunct/>
              <w:topLinePunct w:val="0"/>
              <w:autoSpaceDE/>
              <w:autoSpaceDN/>
              <w:bidi w:val="0"/>
              <w:adjustRightInd/>
              <w:snapToGrid/>
              <w:spacing w:line="360" w:lineRule="exact"/>
              <w:rPr>
                <w:rFonts w:hint="eastAsia" w:ascii="宋体" w:hAnsi="宋体" w:eastAsia="宋体" w:cs="宋体"/>
                <w:i w:val="0"/>
                <w:iCs w:val="0"/>
                <w:color w:val="auto"/>
                <w:sz w:val="18"/>
                <w:szCs w:val="18"/>
                <w:u w:val="none"/>
              </w:rPr>
            </w:pPr>
          </w:p>
        </w:tc>
        <w:tc>
          <w:tcPr>
            <w:tcW w:w="1045" w:type="dxa"/>
            <w:tcBorders>
              <w:top w:val="nil"/>
              <w:left w:val="nil"/>
              <w:bottom w:val="nil"/>
              <w:right w:val="nil"/>
            </w:tcBorders>
            <w:noWrap/>
            <w:vAlign w:val="center"/>
          </w:tcPr>
          <w:p w14:paraId="13273011">
            <w:pPr>
              <w:keepNext w:val="0"/>
              <w:keepLines w:val="0"/>
              <w:pageBreakBefore w:val="0"/>
              <w:widowControl/>
              <w:kinsoku/>
              <w:wordWrap/>
              <w:overflowPunct/>
              <w:topLinePunct w:val="0"/>
              <w:autoSpaceDE/>
              <w:autoSpaceDN/>
              <w:bidi w:val="0"/>
              <w:adjustRightInd/>
              <w:snapToGrid/>
              <w:spacing w:line="360" w:lineRule="exact"/>
              <w:rPr>
                <w:rFonts w:hint="eastAsia" w:ascii="宋体" w:hAnsi="宋体" w:eastAsia="宋体" w:cs="宋体"/>
                <w:i w:val="0"/>
                <w:iCs w:val="0"/>
                <w:color w:val="auto"/>
                <w:sz w:val="18"/>
                <w:szCs w:val="18"/>
                <w:u w:val="none"/>
              </w:rPr>
            </w:pPr>
          </w:p>
        </w:tc>
        <w:tc>
          <w:tcPr>
            <w:tcW w:w="966" w:type="dxa"/>
            <w:tcBorders>
              <w:top w:val="nil"/>
              <w:left w:val="nil"/>
              <w:bottom w:val="nil"/>
              <w:right w:val="nil"/>
            </w:tcBorders>
            <w:noWrap/>
            <w:vAlign w:val="center"/>
          </w:tcPr>
          <w:p w14:paraId="50CEDAFD">
            <w:pPr>
              <w:keepNext w:val="0"/>
              <w:keepLines w:val="0"/>
              <w:pageBreakBefore w:val="0"/>
              <w:widowControl/>
              <w:kinsoku/>
              <w:wordWrap/>
              <w:overflowPunct/>
              <w:topLinePunct w:val="0"/>
              <w:autoSpaceDE/>
              <w:autoSpaceDN/>
              <w:bidi w:val="0"/>
              <w:adjustRightInd/>
              <w:snapToGrid/>
              <w:spacing w:line="360" w:lineRule="exact"/>
              <w:rPr>
                <w:rFonts w:hint="eastAsia" w:ascii="宋体" w:hAnsi="宋体" w:eastAsia="宋体" w:cs="宋体"/>
                <w:i w:val="0"/>
                <w:iCs w:val="0"/>
                <w:color w:val="auto"/>
                <w:sz w:val="18"/>
                <w:szCs w:val="18"/>
                <w:u w:val="none"/>
              </w:rPr>
            </w:pPr>
          </w:p>
        </w:tc>
      </w:tr>
      <w:tr w14:paraId="0D3C17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5" w:hRule="atLeast"/>
        </w:trPr>
        <w:tc>
          <w:tcPr>
            <w:tcW w:w="2685" w:type="dxa"/>
            <w:gridSpan w:val="2"/>
            <w:tcBorders>
              <w:top w:val="nil"/>
              <w:left w:val="nil"/>
              <w:bottom w:val="nil"/>
              <w:right w:val="nil"/>
            </w:tcBorders>
            <w:noWrap/>
            <w:vAlign w:val="center"/>
          </w:tcPr>
          <w:p w14:paraId="25A916BD">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经办人：</w:t>
            </w:r>
          </w:p>
        </w:tc>
        <w:tc>
          <w:tcPr>
            <w:tcW w:w="1027" w:type="dxa"/>
            <w:tcBorders>
              <w:top w:val="nil"/>
              <w:left w:val="nil"/>
              <w:bottom w:val="nil"/>
              <w:right w:val="nil"/>
            </w:tcBorders>
            <w:noWrap/>
            <w:vAlign w:val="center"/>
          </w:tcPr>
          <w:p w14:paraId="46F601CA">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18"/>
                <w:szCs w:val="18"/>
                <w:u w:val="none"/>
              </w:rPr>
            </w:pPr>
          </w:p>
        </w:tc>
        <w:tc>
          <w:tcPr>
            <w:tcW w:w="1027" w:type="dxa"/>
            <w:tcBorders>
              <w:top w:val="nil"/>
              <w:left w:val="nil"/>
              <w:bottom w:val="nil"/>
              <w:right w:val="nil"/>
            </w:tcBorders>
            <w:noWrap/>
            <w:vAlign w:val="center"/>
          </w:tcPr>
          <w:p w14:paraId="51DC4D9A">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时间：</w:t>
            </w:r>
          </w:p>
        </w:tc>
        <w:tc>
          <w:tcPr>
            <w:tcW w:w="1045" w:type="dxa"/>
            <w:tcBorders>
              <w:top w:val="nil"/>
              <w:left w:val="nil"/>
              <w:bottom w:val="nil"/>
              <w:right w:val="nil"/>
            </w:tcBorders>
            <w:noWrap/>
            <w:vAlign w:val="center"/>
          </w:tcPr>
          <w:p w14:paraId="0722578E">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18"/>
                <w:szCs w:val="18"/>
                <w:u w:val="none"/>
              </w:rPr>
            </w:pPr>
          </w:p>
        </w:tc>
        <w:tc>
          <w:tcPr>
            <w:tcW w:w="1045" w:type="dxa"/>
            <w:tcBorders>
              <w:top w:val="nil"/>
              <w:left w:val="nil"/>
              <w:bottom w:val="nil"/>
              <w:right w:val="nil"/>
            </w:tcBorders>
            <w:noWrap/>
            <w:vAlign w:val="center"/>
          </w:tcPr>
          <w:p w14:paraId="2475893F">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18"/>
                <w:szCs w:val="18"/>
                <w:u w:val="none"/>
              </w:rPr>
            </w:pPr>
          </w:p>
        </w:tc>
        <w:tc>
          <w:tcPr>
            <w:tcW w:w="1045" w:type="dxa"/>
            <w:tcBorders>
              <w:top w:val="nil"/>
              <w:left w:val="nil"/>
              <w:bottom w:val="nil"/>
              <w:right w:val="nil"/>
            </w:tcBorders>
            <w:noWrap/>
            <w:vAlign w:val="center"/>
          </w:tcPr>
          <w:p w14:paraId="7EA7E629">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i w:val="0"/>
                <w:iCs w:val="0"/>
                <w:color w:val="auto"/>
                <w:sz w:val="18"/>
                <w:szCs w:val="18"/>
                <w:u w:val="none"/>
              </w:rPr>
            </w:pPr>
          </w:p>
        </w:tc>
        <w:tc>
          <w:tcPr>
            <w:tcW w:w="966" w:type="dxa"/>
            <w:tcBorders>
              <w:top w:val="nil"/>
              <w:left w:val="nil"/>
              <w:bottom w:val="nil"/>
              <w:right w:val="nil"/>
            </w:tcBorders>
            <w:noWrap/>
            <w:vAlign w:val="center"/>
          </w:tcPr>
          <w:p w14:paraId="691105B2">
            <w:pPr>
              <w:keepNext w:val="0"/>
              <w:keepLines w:val="0"/>
              <w:pageBreakBefore w:val="0"/>
              <w:widowControl/>
              <w:kinsoku/>
              <w:wordWrap/>
              <w:overflowPunct/>
              <w:topLinePunct w:val="0"/>
              <w:autoSpaceDE/>
              <w:autoSpaceDN/>
              <w:bidi w:val="0"/>
              <w:adjustRightInd/>
              <w:snapToGrid/>
              <w:spacing w:line="360" w:lineRule="exact"/>
              <w:rPr>
                <w:rFonts w:hint="eastAsia" w:ascii="宋体" w:hAnsi="宋体" w:eastAsia="宋体" w:cs="宋体"/>
                <w:i w:val="0"/>
                <w:iCs w:val="0"/>
                <w:color w:val="auto"/>
                <w:sz w:val="18"/>
                <w:szCs w:val="18"/>
                <w:u w:val="none"/>
              </w:rPr>
            </w:pPr>
          </w:p>
        </w:tc>
      </w:tr>
    </w:tbl>
    <w:p w14:paraId="4EFAA163">
      <w:pPr>
        <w:numPr>
          <w:ilvl w:val="0"/>
          <w:numId w:val="0"/>
        </w:numPr>
        <w:rPr>
          <w:rFonts w:hint="eastAsia" w:ascii="华文仿宋" w:hAnsi="华文仿宋" w:cs="华文仿宋"/>
          <w:b w:val="0"/>
          <w:bCs w:val="0"/>
          <w:color w:val="000000"/>
          <w:sz w:val="28"/>
          <w:szCs w:val="28"/>
          <w:lang w:val="en-US" w:eastAsia="zh-CN"/>
        </w:rPr>
      </w:pPr>
    </w:p>
    <w:p w14:paraId="5347A087">
      <w:pPr>
        <w:keepNext w:val="0"/>
        <w:keepLines w:val="0"/>
        <w:pageBreakBefore w:val="0"/>
        <w:widowControl/>
        <w:overflowPunct/>
        <w:topLinePunct w:val="0"/>
        <w:bidi w:val="0"/>
        <w:spacing w:line="560" w:lineRule="exact"/>
        <w:rPr>
          <w:rFonts w:hint="eastAsia" w:ascii="华文仿宋" w:hAnsi="华文仿宋" w:cs="华文仿宋"/>
          <w:sz w:val="28"/>
          <w:szCs w:val="28"/>
          <w:lang w:val="en-US" w:eastAsia="zh-CN"/>
        </w:rPr>
      </w:pPr>
      <w:r>
        <w:rPr>
          <w:rFonts w:hint="eastAsia" w:ascii="华文仿宋" w:hAnsi="华文仿宋" w:cs="华文仿宋"/>
          <w:b/>
          <w:bCs/>
          <w:sz w:val="28"/>
          <w:szCs w:val="28"/>
          <w:lang w:val="en-US" w:eastAsia="zh-CN"/>
        </w:rPr>
        <w:t>二标段合同草案条款：</w:t>
      </w:r>
    </w:p>
    <w:p w14:paraId="460F44EA">
      <w:pPr>
        <w:pStyle w:val="3"/>
        <w:keepNext w:val="0"/>
        <w:widowControl w:val="0"/>
        <w:spacing w:line="500" w:lineRule="exact"/>
        <w:ind w:firstLine="567"/>
        <w:rPr>
          <w:rFonts w:hint="default"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一、</w:t>
      </w:r>
      <w:r>
        <w:rPr>
          <w:rFonts w:hint="default" w:ascii="华文仿宋" w:hAnsi="华文仿宋" w:cs="华文仿宋"/>
          <w:b w:val="0"/>
          <w:bCs w:val="0"/>
          <w:sz w:val="28"/>
          <w:szCs w:val="28"/>
          <w:lang w:val="en-US" w:eastAsia="zh-CN"/>
        </w:rPr>
        <w:t>环境卫生保洁项目概况</w:t>
      </w:r>
    </w:p>
    <w:p w14:paraId="1C6C26AB">
      <w:pPr>
        <w:pStyle w:val="3"/>
        <w:keepNext w:val="0"/>
        <w:widowControl w:val="0"/>
        <w:spacing w:line="500" w:lineRule="exact"/>
        <w:ind w:firstLine="567"/>
        <w:rPr>
          <w:rFonts w:hint="default" w:ascii="华文仿宋" w:hAnsi="华文仿宋" w:cs="华文仿宋"/>
          <w:b w:val="0"/>
          <w:bCs w:val="0"/>
          <w:sz w:val="28"/>
          <w:szCs w:val="28"/>
          <w:lang w:val="en-US" w:eastAsia="zh-CN"/>
        </w:rPr>
      </w:pPr>
      <w:r>
        <w:rPr>
          <w:rFonts w:hint="default" w:ascii="华文仿宋" w:hAnsi="华文仿宋" w:cs="华文仿宋"/>
          <w:b w:val="0"/>
          <w:bCs w:val="0"/>
          <w:sz w:val="28"/>
          <w:szCs w:val="28"/>
          <w:lang w:val="en-US" w:eastAsia="zh-CN"/>
        </w:rPr>
        <w:t>教学区除餐厅（3号餐厅、16号餐厅）、学生公寓楼（4号学生公寓楼、5号学生公寓楼、6号学生公寓楼、15号学生公寓楼）的室内部分外，其他所有建筑物室内外公共区域（包括屋面、散水、连廊等区域）的环境卫生保洁工作；整个教学区所有道路（包括绿化区域的步道）、广场、亭子、6号学生公寓楼和9号办公楼地下停车场、所有地上停车场、第一运动场、第二运动场、第三运动场、大门内外、各个角落等区域（含公用设施）的环境卫生保洁服务工作；晨曦运动场及定向培养学院学员训练场等区域的环境卫生保洁服务，教学实训轮船水池及周边的卫生保洁（不含轮船室内保洁），负责水池注水、排水及日常管护等；校园内所有生活垃圾的收集、外运与处理等工作；大学生活动中心的日常管理；服务范围内各楼宇的卫生间、室外垃圾箱（桶）、垃圾压缩站公共区域的防疫消毒工作；教学区内所有设施、设备、牌匾、工艺品、休闲用品、楼道公共区域玻璃（不含高空）、扶手、栏杆、柱子、公共场所所有门窗、各类门牌、标识、灯具、消防器材等区域的清洁、保洁工作等。</w:t>
      </w:r>
    </w:p>
    <w:p w14:paraId="1E24B98D">
      <w:pPr>
        <w:pStyle w:val="3"/>
        <w:keepNext w:val="0"/>
        <w:widowControl w:val="0"/>
        <w:spacing w:line="500" w:lineRule="exact"/>
        <w:ind w:firstLine="567"/>
        <w:rPr>
          <w:rFonts w:hint="default"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二、</w:t>
      </w:r>
      <w:r>
        <w:rPr>
          <w:rFonts w:hint="default" w:ascii="华文仿宋" w:hAnsi="华文仿宋" w:cs="华文仿宋"/>
          <w:b w:val="0"/>
          <w:bCs w:val="0"/>
          <w:sz w:val="28"/>
          <w:szCs w:val="28"/>
          <w:lang w:val="en-US" w:eastAsia="zh-CN"/>
        </w:rPr>
        <w:t>合同期限</w:t>
      </w:r>
    </w:p>
    <w:p w14:paraId="6C75043F">
      <w:pPr>
        <w:pStyle w:val="3"/>
        <w:keepNext w:val="0"/>
        <w:widowControl w:val="0"/>
        <w:spacing w:line="500" w:lineRule="exact"/>
        <w:ind w:firstLine="567"/>
        <w:rPr>
          <w:rFonts w:hint="default" w:ascii="华文仿宋" w:hAnsi="华文仿宋" w:cs="华文仿宋"/>
          <w:b w:val="0"/>
          <w:bCs w:val="0"/>
          <w:sz w:val="28"/>
          <w:szCs w:val="28"/>
          <w:lang w:val="en-US" w:eastAsia="zh-CN"/>
        </w:rPr>
      </w:pPr>
      <w:r>
        <w:rPr>
          <w:rFonts w:hint="default" w:ascii="华文仿宋" w:hAnsi="华文仿宋" w:cs="华文仿宋"/>
          <w:b w:val="0"/>
          <w:bCs w:val="0"/>
          <w:sz w:val="28"/>
          <w:szCs w:val="28"/>
          <w:lang w:val="en-US" w:eastAsia="zh-CN"/>
        </w:rPr>
        <w:t>合同期限自签订之日起2年（一年一签）。</w:t>
      </w:r>
    </w:p>
    <w:p w14:paraId="7A721EB5">
      <w:pPr>
        <w:pStyle w:val="3"/>
        <w:keepNext w:val="0"/>
        <w:widowControl w:val="0"/>
        <w:spacing w:line="500" w:lineRule="exact"/>
        <w:ind w:firstLine="567"/>
        <w:rPr>
          <w:rFonts w:hint="default"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三、</w:t>
      </w:r>
      <w:r>
        <w:rPr>
          <w:rFonts w:hint="default" w:ascii="华文仿宋" w:hAnsi="华文仿宋" w:cs="华文仿宋"/>
          <w:b w:val="0"/>
          <w:bCs w:val="0"/>
          <w:sz w:val="28"/>
          <w:szCs w:val="28"/>
          <w:lang w:val="en-US" w:eastAsia="zh-CN"/>
        </w:rPr>
        <w:t>服务范围</w:t>
      </w:r>
    </w:p>
    <w:p w14:paraId="1CD6254F">
      <w:pPr>
        <w:pStyle w:val="3"/>
        <w:keepNext w:val="0"/>
        <w:widowControl w:val="0"/>
        <w:spacing w:line="500" w:lineRule="exact"/>
        <w:ind w:firstLine="567"/>
        <w:rPr>
          <w:rFonts w:hint="default" w:ascii="华文仿宋" w:hAnsi="华文仿宋" w:cs="华文仿宋"/>
          <w:b w:val="0"/>
          <w:bCs w:val="0"/>
          <w:sz w:val="28"/>
          <w:szCs w:val="28"/>
          <w:lang w:val="en-US" w:eastAsia="zh-CN"/>
        </w:rPr>
      </w:pPr>
      <w:r>
        <w:rPr>
          <w:rFonts w:hint="default" w:ascii="华文仿宋" w:hAnsi="华文仿宋" w:cs="华文仿宋"/>
          <w:b w:val="0"/>
          <w:bCs w:val="0"/>
          <w:sz w:val="28"/>
          <w:szCs w:val="28"/>
          <w:lang w:val="en-US" w:eastAsia="zh-CN"/>
        </w:rPr>
        <w:t>1.教学区除餐厅（3号餐厅、16号餐厅）、各学生公寓楼（4号学生公寓楼、5号学生公寓楼楼、6号学生公寓楼、15号学生公寓楼）的室内部分外，其他所有建筑物室内外公共区域（包括楼梯、楼道、卫生间、连廊、地下室、电梯间、平台、楼顶、从楼外连接楼内的所有踏步、通道、大厅、楼外散水等区域）的环境卫生保洁工作。</w:t>
      </w:r>
    </w:p>
    <w:p w14:paraId="6D021A16">
      <w:pPr>
        <w:pStyle w:val="3"/>
        <w:keepNext w:val="0"/>
        <w:widowControl w:val="0"/>
        <w:spacing w:line="500" w:lineRule="exact"/>
        <w:ind w:firstLine="567"/>
        <w:rPr>
          <w:rFonts w:hint="default" w:ascii="华文仿宋" w:hAnsi="华文仿宋" w:cs="华文仿宋"/>
          <w:b w:val="0"/>
          <w:bCs w:val="0"/>
          <w:sz w:val="28"/>
          <w:szCs w:val="28"/>
          <w:lang w:val="en-US" w:eastAsia="zh-CN"/>
        </w:rPr>
      </w:pPr>
      <w:r>
        <w:rPr>
          <w:rFonts w:hint="default" w:ascii="华文仿宋" w:hAnsi="华文仿宋" w:cs="华文仿宋"/>
          <w:b w:val="0"/>
          <w:bCs w:val="0"/>
          <w:sz w:val="28"/>
          <w:szCs w:val="28"/>
          <w:lang w:val="en-US" w:eastAsia="zh-CN"/>
        </w:rPr>
        <w:t>2.教学区内所有设施、设备、牌匾、工艺品、休闲用品、楼道公共区域玻璃（不含高空）、扶手、栏杆、柱子、公共场所所有门窗、各类门牌、标识、灯具、消防器材等区域的清洁、保洁工作。</w:t>
      </w:r>
    </w:p>
    <w:p w14:paraId="79D7A92C">
      <w:pPr>
        <w:pStyle w:val="3"/>
        <w:keepNext w:val="0"/>
        <w:widowControl w:val="0"/>
        <w:spacing w:line="500" w:lineRule="exact"/>
        <w:ind w:firstLine="567"/>
        <w:rPr>
          <w:rFonts w:hint="default" w:ascii="华文仿宋" w:hAnsi="华文仿宋" w:cs="华文仿宋"/>
          <w:b w:val="0"/>
          <w:bCs w:val="0"/>
          <w:sz w:val="28"/>
          <w:szCs w:val="28"/>
          <w:lang w:val="en-US" w:eastAsia="zh-CN"/>
        </w:rPr>
      </w:pPr>
      <w:r>
        <w:rPr>
          <w:rFonts w:hint="default" w:ascii="华文仿宋" w:hAnsi="华文仿宋" w:cs="华文仿宋"/>
          <w:b w:val="0"/>
          <w:bCs w:val="0"/>
          <w:sz w:val="28"/>
          <w:szCs w:val="28"/>
          <w:lang w:val="en-US" w:eastAsia="zh-CN"/>
        </w:rPr>
        <w:t>3.整个教学区所有道路（包括绿化区域的步道）、广场、亭子、6号学生公寓楼和9号办公楼地下停车场、所有地上停车场、第一运动场、第二运动场、第三运动场、大门内外、各个角落等区域（含公用设施）的环境卫生保洁服务工作。</w:t>
      </w:r>
    </w:p>
    <w:p w14:paraId="553329A4">
      <w:pPr>
        <w:pStyle w:val="3"/>
        <w:keepNext w:val="0"/>
        <w:widowControl w:val="0"/>
        <w:spacing w:line="500" w:lineRule="exact"/>
        <w:ind w:firstLine="567"/>
        <w:rPr>
          <w:rFonts w:hint="default" w:ascii="华文仿宋" w:hAnsi="华文仿宋" w:cs="华文仿宋"/>
          <w:b w:val="0"/>
          <w:bCs w:val="0"/>
          <w:sz w:val="28"/>
          <w:szCs w:val="28"/>
          <w:lang w:val="en-US" w:eastAsia="zh-CN"/>
        </w:rPr>
      </w:pPr>
      <w:r>
        <w:rPr>
          <w:rFonts w:hint="default" w:ascii="华文仿宋" w:hAnsi="华文仿宋" w:cs="华文仿宋"/>
          <w:b w:val="0"/>
          <w:bCs w:val="0"/>
          <w:sz w:val="28"/>
          <w:szCs w:val="28"/>
          <w:lang w:val="en-US" w:eastAsia="zh-CN"/>
        </w:rPr>
        <w:t>4.晨曦运动场及定向培养学员训练场等区域的环境卫生保洁服务；教学实训轮船水池及周边的卫生保洁（不含轮船室内保洁），负责水池注水、排水及日常管护等。</w:t>
      </w:r>
    </w:p>
    <w:p w14:paraId="7EC34F98">
      <w:pPr>
        <w:pStyle w:val="3"/>
        <w:keepNext w:val="0"/>
        <w:widowControl w:val="0"/>
        <w:spacing w:line="500" w:lineRule="exact"/>
        <w:ind w:firstLine="567"/>
        <w:rPr>
          <w:rFonts w:hint="default" w:ascii="华文仿宋" w:hAnsi="华文仿宋" w:cs="华文仿宋"/>
          <w:b w:val="0"/>
          <w:bCs w:val="0"/>
          <w:sz w:val="28"/>
          <w:szCs w:val="28"/>
          <w:lang w:val="en-US" w:eastAsia="zh-CN"/>
        </w:rPr>
      </w:pPr>
      <w:r>
        <w:rPr>
          <w:rFonts w:hint="default" w:ascii="华文仿宋" w:hAnsi="华文仿宋" w:cs="华文仿宋"/>
          <w:b w:val="0"/>
          <w:bCs w:val="0"/>
          <w:sz w:val="28"/>
          <w:szCs w:val="28"/>
          <w:lang w:val="en-US" w:eastAsia="zh-CN"/>
        </w:rPr>
        <w:t>5.校园内所有生活垃圾的收集、外运与处理等工作，其中垃圾的外运与处理过程必须符合环保部门和环卫部门的要求。</w:t>
      </w:r>
    </w:p>
    <w:p w14:paraId="45DD175D">
      <w:pPr>
        <w:pStyle w:val="3"/>
        <w:keepNext w:val="0"/>
        <w:widowControl w:val="0"/>
        <w:spacing w:line="500" w:lineRule="exact"/>
        <w:ind w:firstLine="567"/>
        <w:rPr>
          <w:rFonts w:hint="default" w:ascii="华文仿宋" w:hAnsi="华文仿宋" w:cs="华文仿宋"/>
          <w:b w:val="0"/>
          <w:bCs w:val="0"/>
          <w:sz w:val="28"/>
          <w:szCs w:val="28"/>
          <w:lang w:val="en-US" w:eastAsia="zh-CN"/>
        </w:rPr>
      </w:pPr>
      <w:r>
        <w:rPr>
          <w:rFonts w:hint="default" w:ascii="华文仿宋" w:hAnsi="华文仿宋" w:cs="华文仿宋"/>
          <w:b w:val="0"/>
          <w:bCs w:val="0"/>
          <w:sz w:val="28"/>
          <w:szCs w:val="28"/>
          <w:lang w:val="en-US" w:eastAsia="zh-CN"/>
        </w:rPr>
        <w:t>6.负责大学生活动中心的日常管理，且至少安排2名专职管理人员。</w:t>
      </w:r>
    </w:p>
    <w:p w14:paraId="17774B72">
      <w:pPr>
        <w:pStyle w:val="3"/>
        <w:keepNext w:val="0"/>
        <w:widowControl w:val="0"/>
        <w:spacing w:line="500" w:lineRule="exact"/>
        <w:ind w:firstLine="567"/>
        <w:rPr>
          <w:rFonts w:hint="default" w:ascii="华文仿宋" w:hAnsi="华文仿宋" w:cs="华文仿宋"/>
          <w:b w:val="0"/>
          <w:bCs w:val="0"/>
          <w:sz w:val="28"/>
          <w:szCs w:val="28"/>
          <w:lang w:val="en-US" w:eastAsia="zh-CN"/>
        </w:rPr>
      </w:pPr>
      <w:r>
        <w:rPr>
          <w:rFonts w:hint="default" w:ascii="华文仿宋" w:hAnsi="华文仿宋" w:cs="华文仿宋"/>
          <w:b w:val="0"/>
          <w:bCs w:val="0"/>
          <w:sz w:val="28"/>
          <w:szCs w:val="28"/>
          <w:lang w:val="en-US" w:eastAsia="zh-CN"/>
        </w:rPr>
        <w:t>7.负责服务范围内各楼宇的卫生间、电梯、室外垃圾箱（桶）、垃圾压缩站公共区域的防疫消毒工作。</w:t>
      </w:r>
    </w:p>
    <w:p w14:paraId="6DFA072D">
      <w:pPr>
        <w:pStyle w:val="3"/>
        <w:keepNext w:val="0"/>
        <w:widowControl w:val="0"/>
        <w:spacing w:line="500" w:lineRule="exact"/>
        <w:ind w:firstLine="567"/>
        <w:rPr>
          <w:rFonts w:hint="default" w:ascii="华文仿宋" w:hAnsi="华文仿宋" w:cs="华文仿宋"/>
          <w:b w:val="0"/>
          <w:bCs w:val="0"/>
          <w:sz w:val="28"/>
          <w:szCs w:val="28"/>
          <w:lang w:val="en-US" w:eastAsia="zh-CN"/>
        </w:rPr>
      </w:pPr>
      <w:r>
        <w:rPr>
          <w:rFonts w:hint="default" w:ascii="华文仿宋" w:hAnsi="华文仿宋" w:cs="华文仿宋"/>
          <w:b w:val="0"/>
          <w:bCs w:val="0"/>
          <w:sz w:val="28"/>
          <w:szCs w:val="28"/>
          <w:lang w:val="en-US" w:eastAsia="zh-CN"/>
        </w:rPr>
        <w:t>8.服务范围内所有垃圾桶（箱）、纸篓、卫生洁具的使用与管理。</w:t>
      </w:r>
    </w:p>
    <w:p w14:paraId="47378493">
      <w:pPr>
        <w:pStyle w:val="3"/>
        <w:keepNext w:val="0"/>
        <w:widowControl w:val="0"/>
        <w:spacing w:line="500" w:lineRule="exact"/>
        <w:ind w:firstLine="567"/>
        <w:rPr>
          <w:rFonts w:hint="default" w:ascii="华文仿宋" w:hAnsi="华文仿宋" w:cs="华文仿宋"/>
          <w:b w:val="0"/>
          <w:bCs w:val="0"/>
          <w:sz w:val="28"/>
          <w:szCs w:val="28"/>
          <w:lang w:val="en-US" w:eastAsia="zh-CN"/>
        </w:rPr>
      </w:pPr>
      <w:r>
        <w:rPr>
          <w:rFonts w:hint="default" w:ascii="华文仿宋" w:hAnsi="华文仿宋" w:cs="华文仿宋"/>
          <w:b w:val="0"/>
          <w:bCs w:val="0"/>
          <w:sz w:val="28"/>
          <w:szCs w:val="28"/>
          <w:lang w:val="en-US" w:eastAsia="zh-CN"/>
        </w:rPr>
        <w:t>9.采购人指定的其他区域(具体范围以现场确认为准）。</w:t>
      </w:r>
    </w:p>
    <w:p w14:paraId="0952DF7B">
      <w:pPr>
        <w:pStyle w:val="3"/>
        <w:keepNext w:val="0"/>
        <w:widowControl w:val="0"/>
        <w:spacing w:line="500" w:lineRule="exact"/>
        <w:ind w:firstLine="567"/>
        <w:rPr>
          <w:rFonts w:hint="default"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四、</w:t>
      </w:r>
      <w:r>
        <w:rPr>
          <w:rFonts w:hint="default" w:ascii="华文仿宋" w:hAnsi="华文仿宋" w:cs="华文仿宋"/>
          <w:b w:val="0"/>
          <w:bCs w:val="0"/>
          <w:sz w:val="28"/>
          <w:szCs w:val="28"/>
          <w:lang w:val="en-US" w:eastAsia="zh-CN"/>
        </w:rPr>
        <w:t>具体服务内容</w:t>
      </w:r>
    </w:p>
    <w:p w14:paraId="5EAAF4FF">
      <w:pPr>
        <w:pStyle w:val="3"/>
        <w:keepNext w:val="0"/>
        <w:widowControl w:val="0"/>
        <w:spacing w:line="500" w:lineRule="exact"/>
        <w:ind w:firstLine="567"/>
        <w:rPr>
          <w:rFonts w:hint="default" w:ascii="华文仿宋" w:hAnsi="华文仿宋" w:cs="华文仿宋"/>
          <w:b w:val="0"/>
          <w:bCs w:val="0"/>
          <w:sz w:val="28"/>
          <w:szCs w:val="28"/>
          <w:lang w:val="en-US" w:eastAsia="zh-CN"/>
        </w:rPr>
      </w:pPr>
      <w:r>
        <w:rPr>
          <w:rFonts w:hint="default" w:ascii="华文仿宋" w:hAnsi="华文仿宋" w:cs="华文仿宋"/>
          <w:b w:val="0"/>
          <w:bCs w:val="0"/>
          <w:sz w:val="28"/>
          <w:szCs w:val="28"/>
          <w:lang w:val="en-US" w:eastAsia="zh-CN"/>
        </w:rPr>
        <w:t>1.教学区除餐厅、学生公寓楼外其他所有建筑物（6＃图书楼、8＃办公楼、9＃办公楼、10＃实验楼、11#教学楼、12#教学楼、13#教学楼、14#教学楼、大学生活动中心、垃圾压缩站等）的所有楼梯、楼道、卫生间、连廊、地下室、电梯间、平台、楼顶、从楼外连接楼内的所有踏步、通道、大厅、楼外散水的清洁、保洁工作。</w:t>
      </w:r>
    </w:p>
    <w:p w14:paraId="4EA9C6E2">
      <w:pPr>
        <w:pStyle w:val="3"/>
        <w:keepNext w:val="0"/>
        <w:widowControl w:val="0"/>
        <w:spacing w:line="500" w:lineRule="exact"/>
        <w:ind w:firstLine="567"/>
        <w:rPr>
          <w:rFonts w:hint="default" w:ascii="华文仿宋" w:hAnsi="华文仿宋" w:cs="华文仿宋"/>
          <w:b w:val="0"/>
          <w:bCs w:val="0"/>
          <w:sz w:val="28"/>
          <w:szCs w:val="28"/>
          <w:lang w:val="en-US" w:eastAsia="zh-CN"/>
        </w:rPr>
      </w:pPr>
      <w:r>
        <w:rPr>
          <w:rFonts w:hint="default" w:ascii="华文仿宋" w:hAnsi="华文仿宋" w:cs="华文仿宋"/>
          <w:b w:val="0"/>
          <w:bCs w:val="0"/>
          <w:sz w:val="28"/>
          <w:szCs w:val="28"/>
          <w:lang w:val="en-US" w:eastAsia="zh-CN"/>
        </w:rPr>
        <w:t>2.服务范围内所有设施、设备、牌匾、工艺品、休闲用品、楼道公共区域玻璃（不含高空）、扶手、栏杆、柱子、公共场所有门窗、各类门牌、标识、灯具、消防器材等区域的清洁、保洁工作。</w:t>
      </w:r>
    </w:p>
    <w:p w14:paraId="47714AB8">
      <w:pPr>
        <w:pStyle w:val="3"/>
        <w:keepNext w:val="0"/>
        <w:widowControl w:val="0"/>
        <w:spacing w:line="500" w:lineRule="exact"/>
        <w:ind w:firstLine="567"/>
        <w:rPr>
          <w:rFonts w:hint="default" w:ascii="华文仿宋" w:hAnsi="华文仿宋" w:cs="华文仿宋"/>
          <w:b w:val="0"/>
          <w:bCs w:val="0"/>
          <w:sz w:val="28"/>
          <w:szCs w:val="28"/>
          <w:lang w:val="en-US" w:eastAsia="zh-CN"/>
        </w:rPr>
      </w:pPr>
      <w:r>
        <w:rPr>
          <w:rFonts w:hint="default" w:ascii="华文仿宋" w:hAnsi="华文仿宋" w:cs="华文仿宋"/>
          <w:b w:val="0"/>
          <w:bCs w:val="0"/>
          <w:sz w:val="28"/>
          <w:szCs w:val="28"/>
          <w:lang w:val="en-US" w:eastAsia="zh-CN"/>
        </w:rPr>
        <w:t>3.整个教学区所有道路（包括绿化区域的步道）、广场、亭子、6号学生公寓楼和9号办公楼地下停车场、所有地上停车场、第一运动场、第二运动场、第三运动场、大门内外、各个角落等区域（含公用设施）的环境卫生保洁服务工作。晨曦运动场及定向培养学员训练场的环境卫生保洁服务。</w:t>
      </w:r>
    </w:p>
    <w:p w14:paraId="7327821B">
      <w:pPr>
        <w:pStyle w:val="3"/>
        <w:keepNext w:val="0"/>
        <w:widowControl w:val="0"/>
        <w:spacing w:line="500" w:lineRule="exact"/>
        <w:ind w:firstLine="567"/>
        <w:rPr>
          <w:rFonts w:hint="default" w:ascii="华文仿宋" w:hAnsi="华文仿宋" w:cs="华文仿宋"/>
          <w:b w:val="0"/>
          <w:bCs w:val="0"/>
          <w:sz w:val="28"/>
          <w:szCs w:val="28"/>
          <w:lang w:val="en-US" w:eastAsia="zh-CN"/>
        </w:rPr>
      </w:pPr>
      <w:r>
        <w:rPr>
          <w:rFonts w:hint="default" w:ascii="华文仿宋" w:hAnsi="华文仿宋" w:cs="华文仿宋"/>
          <w:b w:val="0"/>
          <w:bCs w:val="0"/>
          <w:sz w:val="28"/>
          <w:szCs w:val="28"/>
          <w:lang w:val="en-US" w:eastAsia="zh-CN"/>
        </w:rPr>
        <w:t>4.3号、16号食堂室外楼梯以下的清洁与保洁工作。</w:t>
      </w:r>
    </w:p>
    <w:p w14:paraId="6AF5765E">
      <w:pPr>
        <w:pStyle w:val="3"/>
        <w:keepNext w:val="0"/>
        <w:widowControl w:val="0"/>
        <w:spacing w:line="500" w:lineRule="exact"/>
        <w:ind w:firstLine="567"/>
        <w:rPr>
          <w:rFonts w:hint="default" w:ascii="华文仿宋" w:hAnsi="华文仿宋" w:cs="华文仿宋"/>
          <w:b w:val="0"/>
          <w:bCs w:val="0"/>
          <w:sz w:val="28"/>
          <w:szCs w:val="28"/>
          <w:lang w:val="en-US" w:eastAsia="zh-CN"/>
        </w:rPr>
      </w:pPr>
      <w:r>
        <w:rPr>
          <w:rFonts w:hint="default" w:ascii="华文仿宋" w:hAnsi="华文仿宋" w:cs="华文仿宋"/>
          <w:b w:val="0"/>
          <w:bCs w:val="0"/>
          <w:sz w:val="28"/>
          <w:szCs w:val="28"/>
          <w:lang w:val="en-US" w:eastAsia="zh-CN"/>
        </w:rPr>
        <w:t>5.服务范围内所有垃圾桶（箱）、纸篓、卫生洁具的使用与管理工作。</w:t>
      </w:r>
    </w:p>
    <w:p w14:paraId="15B62D1E">
      <w:pPr>
        <w:pStyle w:val="3"/>
        <w:keepNext w:val="0"/>
        <w:widowControl w:val="0"/>
        <w:spacing w:line="500" w:lineRule="exact"/>
        <w:ind w:firstLine="567"/>
        <w:rPr>
          <w:rFonts w:hint="default" w:ascii="华文仿宋" w:hAnsi="华文仿宋" w:cs="华文仿宋"/>
          <w:b w:val="0"/>
          <w:bCs w:val="0"/>
          <w:sz w:val="28"/>
          <w:szCs w:val="28"/>
          <w:lang w:val="en-US" w:eastAsia="zh-CN"/>
        </w:rPr>
      </w:pPr>
      <w:r>
        <w:rPr>
          <w:rFonts w:hint="default" w:ascii="华文仿宋" w:hAnsi="华文仿宋" w:cs="华文仿宋"/>
          <w:b w:val="0"/>
          <w:bCs w:val="0"/>
          <w:sz w:val="28"/>
          <w:szCs w:val="28"/>
          <w:lang w:val="en-US" w:eastAsia="zh-CN"/>
        </w:rPr>
        <w:t>6.校园内全部生活垃圾的外运与处理工作，其中垃圾的外运与处理过程必须符合环保部门和环卫部门的要求。</w:t>
      </w:r>
    </w:p>
    <w:p w14:paraId="748402D4">
      <w:pPr>
        <w:pStyle w:val="3"/>
        <w:keepNext w:val="0"/>
        <w:widowControl w:val="0"/>
        <w:spacing w:line="500" w:lineRule="exact"/>
        <w:ind w:firstLine="567"/>
        <w:rPr>
          <w:rFonts w:hint="default" w:ascii="华文仿宋" w:hAnsi="华文仿宋" w:cs="华文仿宋"/>
          <w:b w:val="0"/>
          <w:bCs w:val="0"/>
          <w:sz w:val="28"/>
          <w:szCs w:val="28"/>
          <w:lang w:val="en-US" w:eastAsia="zh-CN"/>
        </w:rPr>
      </w:pPr>
      <w:r>
        <w:rPr>
          <w:rFonts w:hint="default" w:ascii="华文仿宋" w:hAnsi="华文仿宋" w:cs="华文仿宋"/>
          <w:b w:val="0"/>
          <w:bCs w:val="0"/>
          <w:sz w:val="28"/>
          <w:szCs w:val="28"/>
          <w:lang w:val="en-US" w:eastAsia="zh-CN"/>
        </w:rPr>
        <w:t>7.服务范围内所有硬化道路、休闲学习场所等区域的清洁与保洁工作（含积雪、积水）。</w:t>
      </w:r>
    </w:p>
    <w:p w14:paraId="62C11F29">
      <w:pPr>
        <w:pStyle w:val="3"/>
        <w:keepNext w:val="0"/>
        <w:widowControl w:val="0"/>
        <w:spacing w:line="500" w:lineRule="exact"/>
        <w:ind w:firstLine="567"/>
        <w:rPr>
          <w:rFonts w:hint="default" w:ascii="华文仿宋" w:hAnsi="华文仿宋" w:cs="华文仿宋"/>
          <w:b w:val="0"/>
          <w:bCs w:val="0"/>
          <w:sz w:val="28"/>
          <w:szCs w:val="28"/>
          <w:lang w:val="en-US" w:eastAsia="zh-CN"/>
        </w:rPr>
      </w:pPr>
      <w:r>
        <w:rPr>
          <w:rFonts w:hint="default" w:ascii="华文仿宋" w:hAnsi="华文仿宋" w:cs="华文仿宋"/>
          <w:b w:val="0"/>
          <w:bCs w:val="0"/>
          <w:sz w:val="28"/>
          <w:szCs w:val="28"/>
          <w:lang w:val="en-US" w:eastAsia="zh-CN"/>
        </w:rPr>
        <w:t>8.服务范围内雨水口的清理工作。</w:t>
      </w:r>
    </w:p>
    <w:p w14:paraId="4433B91E">
      <w:pPr>
        <w:pStyle w:val="3"/>
        <w:keepNext w:val="0"/>
        <w:widowControl w:val="0"/>
        <w:spacing w:line="500" w:lineRule="exact"/>
        <w:ind w:firstLine="567"/>
        <w:rPr>
          <w:rFonts w:hint="default" w:ascii="华文仿宋" w:hAnsi="华文仿宋" w:cs="华文仿宋"/>
          <w:b w:val="0"/>
          <w:bCs w:val="0"/>
          <w:sz w:val="28"/>
          <w:szCs w:val="28"/>
          <w:lang w:val="en-US" w:eastAsia="zh-CN"/>
        </w:rPr>
      </w:pPr>
      <w:r>
        <w:rPr>
          <w:rFonts w:hint="default" w:ascii="华文仿宋" w:hAnsi="华文仿宋" w:cs="华文仿宋"/>
          <w:b w:val="0"/>
          <w:bCs w:val="0"/>
          <w:sz w:val="28"/>
          <w:szCs w:val="28"/>
          <w:lang w:val="en-US" w:eastAsia="zh-CN"/>
        </w:rPr>
        <w:t>9.采购人指定的其他区域的清洁与保洁工作。</w:t>
      </w:r>
    </w:p>
    <w:p w14:paraId="1671A105">
      <w:pPr>
        <w:pStyle w:val="3"/>
        <w:keepNext w:val="0"/>
        <w:widowControl w:val="0"/>
        <w:spacing w:line="500" w:lineRule="exact"/>
        <w:ind w:firstLine="567"/>
        <w:rPr>
          <w:rFonts w:hint="default" w:ascii="华文仿宋" w:hAnsi="华文仿宋" w:cs="华文仿宋"/>
          <w:b w:val="0"/>
          <w:bCs w:val="0"/>
          <w:sz w:val="28"/>
          <w:szCs w:val="28"/>
          <w:lang w:val="en-US" w:eastAsia="zh-CN"/>
        </w:rPr>
      </w:pPr>
      <w:r>
        <w:rPr>
          <w:rFonts w:hint="default" w:ascii="华文仿宋" w:hAnsi="华文仿宋" w:cs="华文仿宋"/>
          <w:b w:val="0"/>
          <w:bCs w:val="0"/>
          <w:sz w:val="28"/>
          <w:szCs w:val="28"/>
          <w:lang w:val="en-US" w:eastAsia="zh-CN"/>
        </w:rPr>
        <w:t>10.负责大学生活动中心的日常管理。</w:t>
      </w:r>
    </w:p>
    <w:p w14:paraId="7A27895F">
      <w:pPr>
        <w:pStyle w:val="3"/>
        <w:keepNext w:val="0"/>
        <w:widowControl w:val="0"/>
        <w:spacing w:line="500" w:lineRule="exact"/>
        <w:ind w:firstLine="567"/>
        <w:rPr>
          <w:rFonts w:hint="default" w:ascii="华文仿宋" w:hAnsi="华文仿宋" w:cs="华文仿宋"/>
          <w:b w:val="0"/>
          <w:bCs w:val="0"/>
          <w:sz w:val="28"/>
          <w:szCs w:val="28"/>
          <w:lang w:val="en-US" w:eastAsia="zh-CN"/>
        </w:rPr>
      </w:pPr>
      <w:r>
        <w:rPr>
          <w:rFonts w:hint="default" w:ascii="华文仿宋" w:hAnsi="华文仿宋" w:cs="华文仿宋"/>
          <w:b w:val="0"/>
          <w:bCs w:val="0"/>
          <w:sz w:val="28"/>
          <w:szCs w:val="28"/>
          <w:lang w:val="en-US" w:eastAsia="zh-CN"/>
        </w:rPr>
        <w:t>11.各楼宇的卫生间、电梯、室外垃圾箱（桶）、垃圾压缩站公共区域的防疫消毒工作等。</w:t>
      </w:r>
    </w:p>
    <w:p w14:paraId="427FC1CF">
      <w:pPr>
        <w:pStyle w:val="3"/>
        <w:keepNext w:val="0"/>
        <w:widowControl w:val="0"/>
        <w:spacing w:line="500" w:lineRule="exact"/>
        <w:ind w:firstLine="567"/>
        <w:rPr>
          <w:rFonts w:hint="default"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五、</w:t>
      </w:r>
      <w:r>
        <w:rPr>
          <w:rFonts w:hint="default" w:ascii="华文仿宋" w:hAnsi="华文仿宋" w:cs="华文仿宋"/>
          <w:b w:val="0"/>
          <w:bCs w:val="0"/>
          <w:sz w:val="28"/>
          <w:szCs w:val="28"/>
          <w:lang w:val="en-US" w:eastAsia="zh-CN"/>
        </w:rPr>
        <w:t>服务要求</w:t>
      </w:r>
    </w:p>
    <w:p w14:paraId="12D173CB">
      <w:pPr>
        <w:pStyle w:val="3"/>
        <w:keepNext w:val="0"/>
        <w:widowControl w:val="0"/>
        <w:spacing w:line="500" w:lineRule="exact"/>
        <w:ind w:firstLine="567"/>
        <w:rPr>
          <w:rFonts w:hint="default" w:ascii="华文仿宋" w:hAnsi="华文仿宋" w:cs="华文仿宋"/>
          <w:b w:val="0"/>
          <w:bCs w:val="0"/>
          <w:sz w:val="28"/>
          <w:szCs w:val="28"/>
          <w:lang w:val="en-US" w:eastAsia="zh-CN"/>
        </w:rPr>
      </w:pPr>
      <w:r>
        <w:rPr>
          <w:rFonts w:hint="default" w:ascii="华文仿宋" w:hAnsi="华文仿宋" w:cs="华文仿宋"/>
          <w:b w:val="0"/>
          <w:bCs w:val="0"/>
          <w:sz w:val="28"/>
          <w:szCs w:val="28"/>
          <w:lang w:val="en-US" w:eastAsia="zh-CN"/>
        </w:rPr>
        <w:t>1.保洁服务的具体要求</w:t>
      </w:r>
    </w:p>
    <w:p w14:paraId="2141FB00">
      <w:pPr>
        <w:pStyle w:val="3"/>
        <w:keepNext w:val="0"/>
        <w:widowControl w:val="0"/>
        <w:spacing w:line="500" w:lineRule="exact"/>
        <w:ind w:firstLine="567"/>
        <w:rPr>
          <w:rFonts w:hint="default" w:ascii="华文仿宋" w:hAnsi="华文仿宋" w:cs="华文仿宋"/>
          <w:b w:val="0"/>
          <w:bCs w:val="0"/>
          <w:sz w:val="28"/>
          <w:szCs w:val="28"/>
          <w:lang w:val="en-US" w:eastAsia="zh-CN"/>
        </w:rPr>
      </w:pPr>
      <w:r>
        <w:rPr>
          <w:rFonts w:hint="default" w:ascii="华文仿宋" w:hAnsi="华文仿宋" w:cs="华文仿宋"/>
          <w:b w:val="0"/>
          <w:bCs w:val="0"/>
          <w:sz w:val="28"/>
          <w:szCs w:val="28"/>
          <w:lang w:val="en-US" w:eastAsia="zh-CN"/>
        </w:rPr>
        <w:t>（1）规定区域内所有楼梯、楼道、连廊、地下室、电梯间、平台及楼顶的保洁工作，每天至少清洁3次以上；卫生间每天至少清洁5次以上，确保无异味、无积水。</w:t>
      </w:r>
    </w:p>
    <w:p w14:paraId="508AF561">
      <w:pPr>
        <w:pStyle w:val="3"/>
        <w:keepNext w:val="0"/>
        <w:widowControl w:val="0"/>
        <w:spacing w:line="500" w:lineRule="exact"/>
        <w:ind w:firstLine="567"/>
        <w:rPr>
          <w:rFonts w:hint="default" w:ascii="华文仿宋" w:hAnsi="华文仿宋" w:cs="华文仿宋"/>
          <w:b w:val="0"/>
          <w:bCs w:val="0"/>
          <w:sz w:val="28"/>
          <w:szCs w:val="28"/>
          <w:lang w:val="en-US" w:eastAsia="zh-CN"/>
        </w:rPr>
      </w:pPr>
      <w:r>
        <w:rPr>
          <w:rFonts w:hint="default" w:ascii="华文仿宋" w:hAnsi="华文仿宋" w:cs="华文仿宋"/>
          <w:b w:val="0"/>
          <w:bCs w:val="0"/>
          <w:sz w:val="28"/>
          <w:szCs w:val="28"/>
          <w:lang w:val="en-US" w:eastAsia="zh-CN"/>
        </w:rPr>
        <w:t>（2）服务范围内所有设施、设备、牌匾、内外玻璃及扶手、栏杆、柱子等区域的清洁与保洁工作，每周至少清洁1次，确保无积尘。</w:t>
      </w:r>
    </w:p>
    <w:p w14:paraId="16C0402D">
      <w:pPr>
        <w:pStyle w:val="3"/>
        <w:keepNext w:val="0"/>
        <w:widowControl w:val="0"/>
        <w:spacing w:line="500" w:lineRule="exact"/>
        <w:ind w:firstLine="567"/>
        <w:rPr>
          <w:rFonts w:hint="default" w:ascii="华文仿宋" w:hAnsi="华文仿宋" w:cs="华文仿宋"/>
          <w:b w:val="0"/>
          <w:bCs w:val="0"/>
          <w:sz w:val="28"/>
          <w:szCs w:val="28"/>
          <w:lang w:val="en-US" w:eastAsia="zh-CN"/>
        </w:rPr>
      </w:pPr>
      <w:r>
        <w:rPr>
          <w:rFonts w:hint="default" w:ascii="华文仿宋" w:hAnsi="华文仿宋" w:cs="华文仿宋"/>
          <w:b w:val="0"/>
          <w:bCs w:val="0"/>
          <w:sz w:val="28"/>
          <w:szCs w:val="28"/>
          <w:lang w:val="en-US" w:eastAsia="zh-CN"/>
        </w:rPr>
        <w:t>（3）从楼外连接楼内的所有踏步、通道、大厅、楼外散水的清洁与保洁工作，每天至少清洁1次。</w:t>
      </w:r>
    </w:p>
    <w:p w14:paraId="504074F8">
      <w:pPr>
        <w:pStyle w:val="3"/>
        <w:keepNext w:val="0"/>
        <w:widowControl w:val="0"/>
        <w:spacing w:line="500" w:lineRule="exact"/>
        <w:ind w:firstLine="567"/>
        <w:rPr>
          <w:rFonts w:hint="default" w:ascii="华文仿宋" w:hAnsi="华文仿宋" w:cs="华文仿宋"/>
          <w:b w:val="0"/>
          <w:bCs w:val="0"/>
          <w:sz w:val="28"/>
          <w:szCs w:val="28"/>
          <w:lang w:val="en-US" w:eastAsia="zh-CN"/>
        </w:rPr>
      </w:pPr>
      <w:r>
        <w:rPr>
          <w:rFonts w:hint="default" w:ascii="华文仿宋" w:hAnsi="华文仿宋" w:cs="华文仿宋"/>
          <w:b w:val="0"/>
          <w:bCs w:val="0"/>
          <w:sz w:val="28"/>
          <w:szCs w:val="28"/>
          <w:lang w:val="en-US" w:eastAsia="zh-CN"/>
        </w:rPr>
        <w:t>（4）公共场所门窗和各类门牌、标识的清洁与日常保洁工作。</w:t>
      </w:r>
    </w:p>
    <w:p w14:paraId="04DC281E">
      <w:pPr>
        <w:pStyle w:val="3"/>
        <w:keepNext w:val="0"/>
        <w:widowControl w:val="0"/>
        <w:spacing w:line="500" w:lineRule="exact"/>
        <w:ind w:firstLine="567"/>
        <w:rPr>
          <w:rFonts w:hint="default" w:ascii="华文仿宋" w:hAnsi="华文仿宋" w:cs="华文仿宋"/>
          <w:b w:val="0"/>
          <w:bCs w:val="0"/>
          <w:sz w:val="28"/>
          <w:szCs w:val="28"/>
          <w:lang w:val="en-US" w:eastAsia="zh-CN"/>
        </w:rPr>
      </w:pPr>
      <w:r>
        <w:rPr>
          <w:rFonts w:hint="default" w:ascii="华文仿宋" w:hAnsi="华文仿宋" w:cs="华文仿宋"/>
          <w:b w:val="0"/>
          <w:bCs w:val="0"/>
          <w:sz w:val="28"/>
          <w:szCs w:val="28"/>
          <w:lang w:val="en-US" w:eastAsia="zh-CN"/>
        </w:rPr>
        <w:t>（5）各楼所有灯具、换气扇、消防器材的清洁与保洁工作，每周至少清洁1次，确保无积尘。</w:t>
      </w:r>
    </w:p>
    <w:p w14:paraId="48D07919">
      <w:pPr>
        <w:pStyle w:val="3"/>
        <w:keepNext w:val="0"/>
        <w:widowControl w:val="0"/>
        <w:spacing w:line="500" w:lineRule="exact"/>
        <w:ind w:firstLine="567"/>
        <w:rPr>
          <w:rFonts w:hint="default" w:ascii="华文仿宋" w:hAnsi="华文仿宋" w:cs="华文仿宋"/>
          <w:b w:val="0"/>
          <w:bCs w:val="0"/>
          <w:sz w:val="28"/>
          <w:szCs w:val="28"/>
          <w:lang w:val="en-US" w:eastAsia="zh-CN"/>
        </w:rPr>
      </w:pPr>
      <w:r>
        <w:rPr>
          <w:rFonts w:hint="default" w:ascii="华文仿宋" w:hAnsi="华文仿宋" w:cs="华文仿宋"/>
          <w:b w:val="0"/>
          <w:bCs w:val="0"/>
          <w:sz w:val="28"/>
          <w:szCs w:val="28"/>
          <w:lang w:val="en-US" w:eastAsia="zh-CN"/>
        </w:rPr>
        <w:t>（6）9号办公楼卫生间内手纸、手纸盒、手纸篓、自动喷香机电池、香氛盒、洗手液等消耗品由中标人负责提供并及时补充。</w:t>
      </w:r>
    </w:p>
    <w:p w14:paraId="64916A13">
      <w:pPr>
        <w:pStyle w:val="3"/>
        <w:keepNext w:val="0"/>
        <w:widowControl w:val="0"/>
        <w:spacing w:line="500" w:lineRule="exact"/>
        <w:ind w:firstLine="567"/>
        <w:rPr>
          <w:rFonts w:hint="default" w:ascii="华文仿宋" w:hAnsi="华文仿宋" w:cs="华文仿宋"/>
          <w:b w:val="0"/>
          <w:bCs w:val="0"/>
          <w:sz w:val="28"/>
          <w:szCs w:val="28"/>
          <w:lang w:val="en-US" w:eastAsia="zh-CN"/>
        </w:rPr>
      </w:pPr>
      <w:r>
        <w:rPr>
          <w:rFonts w:hint="default" w:ascii="华文仿宋" w:hAnsi="华文仿宋" w:cs="华文仿宋"/>
          <w:b w:val="0"/>
          <w:bCs w:val="0"/>
          <w:sz w:val="28"/>
          <w:szCs w:val="28"/>
          <w:lang w:val="en-US" w:eastAsia="zh-CN"/>
        </w:rPr>
        <w:t>（7）大学生活动中心所有门厅、观众台、主席台、楼梯、楼道、卫生间、室外散水及楼顶等范围的保洁工作。</w:t>
      </w:r>
    </w:p>
    <w:p w14:paraId="4ABF69C4">
      <w:pPr>
        <w:pStyle w:val="3"/>
        <w:keepNext w:val="0"/>
        <w:widowControl w:val="0"/>
        <w:spacing w:line="500" w:lineRule="exact"/>
        <w:ind w:firstLine="567"/>
        <w:rPr>
          <w:rFonts w:hint="default" w:ascii="华文仿宋" w:hAnsi="华文仿宋" w:cs="华文仿宋"/>
          <w:b w:val="0"/>
          <w:bCs w:val="0"/>
          <w:sz w:val="28"/>
          <w:szCs w:val="28"/>
          <w:lang w:val="en-US" w:eastAsia="zh-CN"/>
        </w:rPr>
      </w:pPr>
      <w:r>
        <w:rPr>
          <w:rFonts w:hint="default" w:ascii="华文仿宋" w:hAnsi="华文仿宋" w:cs="华文仿宋"/>
          <w:b w:val="0"/>
          <w:bCs w:val="0"/>
          <w:sz w:val="28"/>
          <w:szCs w:val="28"/>
          <w:lang w:val="en-US" w:eastAsia="zh-CN"/>
        </w:rPr>
        <w:t>（8）晨曦运动场及定向培养学员训练场的日常保洁工作。</w:t>
      </w:r>
    </w:p>
    <w:p w14:paraId="4D7E9B09">
      <w:pPr>
        <w:pStyle w:val="3"/>
        <w:keepNext w:val="0"/>
        <w:widowControl w:val="0"/>
        <w:spacing w:line="500" w:lineRule="exact"/>
        <w:ind w:firstLine="567"/>
        <w:rPr>
          <w:rFonts w:hint="default" w:ascii="华文仿宋" w:hAnsi="华文仿宋" w:cs="华文仿宋"/>
          <w:b w:val="0"/>
          <w:bCs w:val="0"/>
          <w:sz w:val="28"/>
          <w:szCs w:val="28"/>
          <w:lang w:val="en-US" w:eastAsia="zh-CN"/>
        </w:rPr>
      </w:pPr>
      <w:r>
        <w:rPr>
          <w:rFonts w:hint="default" w:ascii="华文仿宋" w:hAnsi="华文仿宋" w:cs="华文仿宋"/>
          <w:b w:val="0"/>
          <w:bCs w:val="0"/>
          <w:sz w:val="28"/>
          <w:szCs w:val="28"/>
          <w:lang w:val="en-US" w:eastAsia="zh-CN"/>
        </w:rPr>
        <w:t>（9）服务范围内所有垃圾桶（箱）、纸篓、卫生洁具的使用与管理。</w:t>
      </w:r>
    </w:p>
    <w:p w14:paraId="62E76539">
      <w:pPr>
        <w:pStyle w:val="3"/>
        <w:keepNext w:val="0"/>
        <w:widowControl w:val="0"/>
        <w:spacing w:line="500" w:lineRule="exact"/>
        <w:ind w:firstLine="567"/>
        <w:rPr>
          <w:rFonts w:hint="default" w:ascii="华文仿宋" w:hAnsi="华文仿宋" w:cs="华文仿宋"/>
          <w:b w:val="0"/>
          <w:bCs w:val="0"/>
          <w:sz w:val="28"/>
          <w:szCs w:val="28"/>
          <w:lang w:val="en-US" w:eastAsia="zh-CN"/>
        </w:rPr>
      </w:pPr>
      <w:r>
        <w:rPr>
          <w:rFonts w:hint="default" w:ascii="华文仿宋" w:hAnsi="华文仿宋" w:cs="华文仿宋"/>
          <w:b w:val="0"/>
          <w:bCs w:val="0"/>
          <w:sz w:val="28"/>
          <w:szCs w:val="28"/>
          <w:lang w:val="en-US" w:eastAsia="zh-CN"/>
        </w:rPr>
        <w:t>（10）服务范围内所有生活垃圾及时进行收集和清理，做到日产日清；垃圾场垃圾及时外运，垃圾箱外不得堆放垃圾。</w:t>
      </w:r>
    </w:p>
    <w:p w14:paraId="2A60C3CB">
      <w:pPr>
        <w:pStyle w:val="3"/>
        <w:keepNext w:val="0"/>
        <w:widowControl w:val="0"/>
        <w:spacing w:line="500" w:lineRule="exact"/>
        <w:ind w:firstLine="567"/>
        <w:rPr>
          <w:rFonts w:hint="default" w:ascii="华文仿宋" w:hAnsi="华文仿宋" w:cs="华文仿宋"/>
          <w:b w:val="0"/>
          <w:bCs w:val="0"/>
          <w:sz w:val="28"/>
          <w:szCs w:val="28"/>
          <w:lang w:val="en-US" w:eastAsia="zh-CN"/>
        </w:rPr>
      </w:pPr>
      <w:r>
        <w:rPr>
          <w:rFonts w:hint="default" w:ascii="华文仿宋" w:hAnsi="华文仿宋" w:cs="华文仿宋"/>
          <w:b w:val="0"/>
          <w:bCs w:val="0"/>
          <w:sz w:val="28"/>
          <w:szCs w:val="28"/>
          <w:lang w:val="en-US" w:eastAsia="zh-CN"/>
        </w:rPr>
        <w:t>（11）服务范围内所有硬化道路等区域的清洁与保洁工作（含积雪、积水的清扫和处理）。</w:t>
      </w:r>
    </w:p>
    <w:p w14:paraId="4D5590EC">
      <w:pPr>
        <w:pStyle w:val="3"/>
        <w:keepNext w:val="0"/>
        <w:widowControl w:val="0"/>
        <w:spacing w:line="500" w:lineRule="exact"/>
        <w:ind w:firstLine="567"/>
        <w:rPr>
          <w:rFonts w:hint="default" w:ascii="华文仿宋" w:hAnsi="华文仿宋" w:cs="华文仿宋"/>
          <w:b w:val="0"/>
          <w:bCs w:val="0"/>
          <w:sz w:val="28"/>
          <w:szCs w:val="28"/>
          <w:lang w:val="en-US" w:eastAsia="zh-CN"/>
        </w:rPr>
      </w:pPr>
      <w:r>
        <w:rPr>
          <w:rFonts w:hint="default" w:ascii="华文仿宋" w:hAnsi="华文仿宋" w:cs="华文仿宋"/>
          <w:b w:val="0"/>
          <w:bCs w:val="0"/>
          <w:sz w:val="28"/>
          <w:szCs w:val="28"/>
          <w:lang w:val="en-US" w:eastAsia="zh-CN"/>
        </w:rPr>
        <w:t>（12）服务范围内室外雨水口的及时清理工作，确保雨水口无杂物及泥土堆积，排水顺畅。</w:t>
      </w:r>
    </w:p>
    <w:p w14:paraId="28F04106">
      <w:pPr>
        <w:pStyle w:val="3"/>
        <w:keepNext w:val="0"/>
        <w:widowControl w:val="0"/>
        <w:spacing w:line="500" w:lineRule="exact"/>
        <w:ind w:firstLine="567"/>
        <w:rPr>
          <w:rFonts w:hint="default" w:ascii="华文仿宋" w:hAnsi="华文仿宋" w:cs="华文仿宋"/>
          <w:b w:val="0"/>
          <w:bCs w:val="0"/>
          <w:sz w:val="28"/>
          <w:szCs w:val="28"/>
          <w:lang w:val="en-US" w:eastAsia="zh-CN"/>
        </w:rPr>
      </w:pPr>
      <w:r>
        <w:rPr>
          <w:rFonts w:hint="default" w:ascii="华文仿宋" w:hAnsi="华文仿宋" w:cs="华文仿宋"/>
          <w:b w:val="0"/>
          <w:bCs w:val="0"/>
          <w:sz w:val="28"/>
          <w:szCs w:val="28"/>
          <w:lang w:val="en-US" w:eastAsia="zh-CN"/>
        </w:rPr>
        <w:t>（13）校园内生活垃圾桶的清洁，桶内垃圾及时收集，确保无堆积。</w:t>
      </w:r>
    </w:p>
    <w:p w14:paraId="387B855D">
      <w:pPr>
        <w:pStyle w:val="3"/>
        <w:keepNext w:val="0"/>
        <w:widowControl w:val="0"/>
        <w:spacing w:line="500" w:lineRule="exact"/>
        <w:ind w:firstLine="567"/>
        <w:rPr>
          <w:rFonts w:hint="default" w:ascii="华文仿宋" w:hAnsi="华文仿宋" w:cs="华文仿宋"/>
          <w:b w:val="0"/>
          <w:bCs w:val="0"/>
          <w:sz w:val="28"/>
          <w:szCs w:val="28"/>
          <w:lang w:val="en-US" w:eastAsia="zh-CN"/>
        </w:rPr>
      </w:pPr>
      <w:r>
        <w:rPr>
          <w:rFonts w:hint="default" w:ascii="华文仿宋" w:hAnsi="华文仿宋" w:cs="华文仿宋"/>
          <w:b w:val="0"/>
          <w:bCs w:val="0"/>
          <w:sz w:val="28"/>
          <w:szCs w:val="28"/>
          <w:lang w:val="en-US" w:eastAsia="zh-CN"/>
        </w:rPr>
        <w:t>（14）各楼宇卫生间、电梯、室外垃圾箱（桶）、垃圾压缩站等公共区域的防疫消毒工作按照相关规定执行。</w:t>
      </w:r>
    </w:p>
    <w:p w14:paraId="0A0E9FB4">
      <w:pPr>
        <w:pStyle w:val="3"/>
        <w:keepNext w:val="0"/>
        <w:widowControl w:val="0"/>
        <w:spacing w:line="500" w:lineRule="exact"/>
        <w:ind w:firstLine="567"/>
        <w:rPr>
          <w:rFonts w:hint="default" w:ascii="华文仿宋" w:hAnsi="华文仿宋" w:cs="华文仿宋"/>
          <w:b w:val="0"/>
          <w:bCs w:val="0"/>
          <w:sz w:val="28"/>
          <w:szCs w:val="28"/>
          <w:lang w:val="en-US" w:eastAsia="zh-CN"/>
        </w:rPr>
      </w:pPr>
      <w:r>
        <w:rPr>
          <w:rFonts w:hint="default" w:ascii="华文仿宋" w:hAnsi="华文仿宋" w:cs="华文仿宋"/>
          <w:b w:val="0"/>
          <w:bCs w:val="0"/>
          <w:sz w:val="28"/>
          <w:szCs w:val="28"/>
          <w:lang w:val="en-US" w:eastAsia="zh-CN"/>
        </w:rPr>
        <w:t>2.工作人员及保洁时间要求</w:t>
      </w:r>
    </w:p>
    <w:p w14:paraId="025F2E6E">
      <w:pPr>
        <w:pStyle w:val="3"/>
        <w:keepNext w:val="0"/>
        <w:widowControl w:val="0"/>
        <w:spacing w:line="500" w:lineRule="exact"/>
        <w:ind w:firstLine="567"/>
        <w:rPr>
          <w:rFonts w:hint="default" w:ascii="华文仿宋" w:hAnsi="华文仿宋" w:cs="华文仿宋"/>
          <w:b w:val="0"/>
          <w:bCs w:val="0"/>
          <w:sz w:val="28"/>
          <w:szCs w:val="28"/>
          <w:lang w:val="en-US" w:eastAsia="zh-CN"/>
        </w:rPr>
      </w:pPr>
      <w:r>
        <w:rPr>
          <w:rFonts w:hint="default" w:ascii="华文仿宋" w:hAnsi="华文仿宋" w:cs="华文仿宋"/>
          <w:b w:val="0"/>
          <w:bCs w:val="0"/>
          <w:sz w:val="28"/>
          <w:szCs w:val="28"/>
          <w:lang w:val="en-US" w:eastAsia="zh-CN"/>
        </w:rPr>
        <w:t>（1）从业人员符合《中华人民共和国劳动法》规定的各项条件，身体健康、无不良纪录。</w:t>
      </w:r>
    </w:p>
    <w:p w14:paraId="1FE786E1">
      <w:pPr>
        <w:pStyle w:val="3"/>
        <w:keepNext w:val="0"/>
        <w:widowControl w:val="0"/>
        <w:spacing w:line="500" w:lineRule="exact"/>
        <w:ind w:firstLine="567"/>
        <w:rPr>
          <w:rFonts w:hint="default" w:ascii="华文仿宋" w:hAnsi="华文仿宋" w:cs="华文仿宋"/>
          <w:b w:val="0"/>
          <w:bCs w:val="0"/>
          <w:sz w:val="28"/>
          <w:szCs w:val="28"/>
          <w:lang w:val="en-US" w:eastAsia="zh-CN"/>
        </w:rPr>
      </w:pPr>
      <w:r>
        <w:rPr>
          <w:rFonts w:hint="default" w:ascii="华文仿宋" w:hAnsi="华文仿宋" w:cs="华文仿宋"/>
          <w:b w:val="0"/>
          <w:bCs w:val="0"/>
          <w:sz w:val="28"/>
          <w:szCs w:val="28"/>
          <w:lang w:val="en-US" w:eastAsia="zh-CN"/>
        </w:rPr>
        <w:t>（2）中标人应与雇佣人员均签订劳动合同，给其缴纳各类养老保险，并购买意外险等社会保险，双方严格遵守合同。</w:t>
      </w:r>
    </w:p>
    <w:p w14:paraId="38E0C6BF">
      <w:pPr>
        <w:pStyle w:val="3"/>
        <w:keepNext w:val="0"/>
        <w:widowControl w:val="0"/>
        <w:spacing w:line="500" w:lineRule="exact"/>
        <w:ind w:firstLine="567"/>
        <w:rPr>
          <w:rFonts w:hint="default" w:ascii="华文仿宋" w:hAnsi="华文仿宋" w:cs="华文仿宋"/>
          <w:b w:val="0"/>
          <w:bCs w:val="0"/>
          <w:sz w:val="28"/>
          <w:szCs w:val="28"/>
          <w:lang w:val="en-US" w:eastAsia="zh-CN"/>
        </w:rPr>
      </w:pPr>
      <w:r>
        <w:rPr>
          <w:rFonts w:hint="default" w:ascii="华文仿宋" w:hAnsi="华文仿宋" w:cs="华文仿宋"/>
          <w:b w:val="0"/>
          <w:bCs w:val="0"/>
          <w:sz w:val="28"/>
          <w:szCs w:val="28"/>
          <w:lang w:val="en-US" w:eastAsia="zh-CN"/>
        </w:rPr>
        <w:t>（3）从业人员与中标人存在的劳动关系，与采购人无任何关系。</w:t>
      </w:r>
    </w:p>
    <w:p w14:paraId="552299AA">
      <w:pPr>
        <w:pStyle w:val="3"/>
        <w:keepNext w:val="0"/>
        <w:widowControl w:val="0"/>
        <w:spacing w:line="500" w:lineRule="exact"/>
        <w:ind w:firstLine="567"/>
        <w:rPr>
          <w:rFonts w:hint="default" w:ascii="华文仿宋" w:hAnsi="华文仿宋" w:cs="华文仿宋"/>
          <w:b w:val="0"/>
          <w:bCs w:val="0"/>
          <w:sz w:val="28"/>
          <w:szCs w:val="28"/>
          <w:lang w:val="en-US" w:eastAsia="zh-CN"/>
        </w:rPr>
      </w:pPr>
      <w:r>
        <w:rPr>
          <w:rFonts w:hint="default" w:ascii="华文仿宋" w:hAnsi="华文仿宋" w:cs="华文仿宋"/>
          <w:b w:val="0"/>
          <w:bCs w:val="0"/>
          <w:sz w:val="28"/>
          <w:szCs w:val="28"/>
          <w:lang w:val="en-US" w:eastAsia="zh-CN"/>
        </w:rPr>
        <w:t>（4）中标人必须指派至少1名管理人员进驻采购人，搞好管理工作，从业人员不得少于58人，并给采购人备案。</w:t>
      </w:r>
    </w:p>
    <w:p w14:paraId="0BBC8223">
      <w:pPr>
        <w:pStyle w:val="3"/>
        <w:keepNext w:val="0"/>
        <w:widowControl w:val="0"/>
        <w:spacing w:line="500" w:lineRule="exact"/>
        <w:ind w:firstLine="567"/>
        <w:rPr>
          <w:rFonts w:hint="default" w:ascii="华文仿宋" w:hAnsi="华文仿宋" w:cs="华文仿宋"/>
          <w:b w:val="0"/>
          <w:bCs w:val="0"/>
          <w:sz w:val="28"/>
          <w:szCs w:val="28"/>
          <w:lang w:val="en-US" w:eastAsia="zh-CN"/>
        </w:rPr>
      </w:pPr>
      <w:r>
        <w:rPr>
          <w:rFonts w:hint="default" w:ascii="华文仿宋" w:hAnsi="华文仿宋" w:cs="华文仿宋"/>
          <w:b w:val="0"/>
          <w:bCs w:val="0"/>
          <w:sz w:val="28"/>
          <w:szCs w:val="28"/>
          <w:lang w:val="en-US" w:eastAsia="zh-CN"/>
        </w:rPr>
        <w:t>（5）公共区域的卫生保洁应在广大师生上班、上课前清理完毕，责任区域巡回保洁。</w:t>
      </w:r>
    </w:p>
    <w:p w14:paraId="0A3BDADC">
      <w:pPr>
        <w:pStyle w:val="3"/>
        <w:keepNext w:val="0"/>
        <w:widowControl w:val="0"/>
        <w:spacing w:line="500" w:lineRule="exact"/>
        <w:ind w:firstLine="567"/>
        <w:rPr>
          <w:rFonts w:hint="default" w:ascii="华文仿宋" w:hAnsi="华文仿宋" w:cs="华文仿宋"/>
          <w:b w:val="0"/>
          <w:bCs w:val="0"/>
          <w:sz w:val="28"/>
          <w:szCs w:val="28"/>
          <w:lang w:val="en-US" w:eastAsia="zh-CN"/>
        </w:rPr>
      </w:pPr>
      <w:r>
        <w:rPr>
          <w:rFonts w:hint="default" w:ascii="华文仿宋" w:hAnsi="华文仿宋" w:cs="华文仿宋"/>
          <w:b w:val="0"/>
          <w:bCs w:val="0"/>
          <w:sz w:val="28"/>
          <w:szCs w:val="28"/>
          <w:lang w:val="en-US" w:eastAsia="zh-CN"/>
        </w:rPr>
        <w:t>（6）日常管理、保洁等工作包括所有的节假日和寒暑假期间。</w:t>
      </w:r>
    </w:p>
    <w:p w14:paraId="68514112">
      <w:pPr>
        <w:pStyle w:val="3"/>
        <w:keepNext w:val="0"/>
        <w:widowControl w:val="0"/>
        <w:spacing w:line="500" w:lineRule="exact"/>
        <w:ind w:firstLine="567"/>
        <w:rPr>
          <w:rFonts w:hint="default" w:ascii="华文仿宋" w:hAnsi="华文仿宋" w:cs="华文仿宋"/>
          <w:b w:val="0"/>
          <w:bCs w:val="0"/>
          <w:sz w:val="28"/>
          <w:szCs w:val="28"/>
          <w:lang w:val="en-US" w:eastAsia="zh-CN"/>
        </w:rPr>
      </w:pPr>
      <w:r>
        <w:rPr>
          <w:rFonts w:hint="default" w:ascii="华文仿宋" w:hAnsi="华文仿宋" w:cs="华文仿宋"/>
          <w:b w:val="0"/>
          <w:bCs w:val="0"/>
          <w:sz w:val="28"/>
          <w:szCs w:val="28"/>
          <w:lang w:val="en-US" w:eastAsia="zh-CN"/>
        </w:rPr>
        <w:t>（7）中标人在服务过程中，要严格遵守安全生产的有关规定，若造成采购人或第三方的财产损失和人员伤害时，由中标人承担全部责任，与采购人无任何责任。</w:t>
      </w:r>
    </w:p>
    <w:p w14:paraId="2A4922A7">
      <w:pPr>
        <w:pStyle w:val="3"/>
        <w:keepNext w:val="0"/>
        <w:widowControl w:val="0"/>
        <w:spacing w:line="500" w:lineRule="exact"/>
        <w:ind w:firstLine="567"/>
        <w:rPr>
          <w:rFonts w:hint="default"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六、</w:t>
      </w:r>
      <w:r>
        <w:rPr>
          <w:rFonts w:hint="default" w:ascii="华文仿宋" w:hAnsi="华文仿宋" w:cs="华文仿宋"/>
          <w:b w:val="0"/>
          <w:bCs w:val="0"/>
          <w:sz w:val="28"/>
          <w:szCs w:val="28"/>
          <w:lang w:val="en-US" w:eastAsia="zh-CN"/>
        </w:rPr>
        <w:t>合同金额与付款方式</w:t>
      </w:r>
    </w:p>
    <w:p w14:paraId="1F2E4D91">
      <w:pPr>
        <w:pStyle w:val="3"/>
        <w:keepNext w:val="0"/>
        <w:widowControl w:val="0"/>
        <w:spacing w:line="500" w:lineRule="exact"/>
        <w:ind w:firstLine="567"/>
        <w:rPr>
          <w:rFonts w:hint="default" w:ascii="华文仿宋" w:hAnsi="华文仿宋" w:cs="华文仿宋"/>
          <w:b w:val="0"/>
          <w:bCs w:val="0"/>
          <w:sz w:val="28"/>
          <w:szCs w:val="28"/>
          <w:lang w:val="en-US" w:eastAsia="zh-CN"/>
        </w:rPr>
      </w:pPr>
      <w:r>
        <w:rPr>
          <w:rFonts w:hint="default" w:ascii="华文仿宋" w:hAnsi="华文仿宋" w:cs="华文仿宋"/>
          <w:b w:val="0"/>
          <w:bCs w:val="0"/>
          <w:sz w:val="28"/>
          <w:szCs w:val="28"/>
          <w:lang w:val="en-US" w:eastAsia="zh-CN"/>
        </w:rPr>
        <w:t>1.合同金额即中标价格；其金额不受人工、材料市场价格变化的影响。</w:t>
      </w:r>
    </w:p>
    <w:p w14:paraId="32750B81">
      <w:pPr>
        <w:pStyle w:val="3"/>
        <w:keepNext w:val="0"/>
        <w:widowControl w:val="0"/>
        <w:spacing w:line="500" w:lineRule="exact"/>
        <w:ind w:firstLine="567"/>
        <w:rPr>
          <w:rFonts w:hint="default" w:ascii="华文仿宋" w:hAnsi="华文仿宋" w:cs="华文仿宋"/>
          <w:b w:val="0"/>
          <w:bCs w:val="0"/>
          <w:sz w:val="28"/>
          <w:szCs w:val="28"/>
          <w:lang w:val="en-US" w:eastAsia="zh-CN"/>
        </w:rPr>
      </w:pPr>
      <w:r>
        <w:rPr>
          <w:rFonts w:hint="default" w:ascii="华文仿宋" w:hAnsi="华文仿宋" w:cs="华文仿宋"/>
          <w:b w:val="0"/>
          <w:bCs w:val="0"/>
          <w:sz w:val="28"/>
          <w:szCs w:val="28"/>
          <w:lang w:val="en-US" w:eastAsia="zh-CN"/>
        </w:rPr>
        <w:t>2.合同签订前，中标人须向甲方缴纳合同总价款5%的履约保证金（账号：6100 1683 8110 5250 3314，开户行：建行延安东关支行）。项目履约完成后，经甲方验收合格无任何问题后，由中标人申请，甲方一次性无息退付履约保证金。</w:t>
      </w:r>
    </w:p>
    <w:p w14:paraId="43D7BB04">
      <w:pPr>
        <w:pStyle w:val="3"/>
        <w:keepNext w:val="0"/>
        <w:widowControl w:val="0"/>
        <w:spacing w:line="500" w:lineRule="exact"/>
        <w:ind w:firstLine="567"/>
        <w:rPr>
          <w:rFonts w:hint="default" w:ascii="华文仿宋" w:hAnsi="华文仿宋" w:cs="华文仿宋"/>
          <w:b w:val="0"/>
          <w:bCs w:val="0"/>
          <w:sz w:val="28"/>
          <w:szCs w:val="28"/>
          <w:lang w:val="en-US" w:eastAsia="zh-CN"/>
        </w:rPr>
      </w:pPr>
      <w:r>
        <w:rPr>
          <w:rFonts w:hint="default" w:ascii="华文仿宋" w:hAnsi="华文仿宋" w:cs="华文仿宋"/>
          <w:b w:val="0"/>
          <w:bCs w:val="0"/>
          <w:sz w:val="28"/>
          <w:szCs w:val="28"/>
          <w:lang w:val="en-US" w:eastAsia="zh-CN"/>
        </w:rPr>
        <w:t>3.服务费所包括的内容</w:t>
      </w:r>
    </w:p>
    <w:p w14:paraId="16C2CC43">
      <w:pPr>
        <w:pStyle w:val="3"/>
        <w:keepNext w:val="0"/>
        <w:widowControl w:val="0"/>
        <w:spacing w:line="500" w:lineRule="exact"/>
        <w:ind w:firstLine="567"/>
        <w:rPr>
          <w:rFonts w:hint="default" w:ascii="华文仿宋" w:hAnsi="华文仿宋" w:cs="华文仿宋"/>
          <w:b w:val="0"/>
          <w:bCs w:val="0"/>
          <w:sz w:val="28"/>
          <w:szCs w:val="28"/>
          <w:lang w:val="en-US" w:eastAsia="zh-CN"/>
        </w:rPr>
      </w:pPr>
      <w:r>
        <w:rPr>
          <w:rFonts w:hint="default" w:ascii="华文仿宋" w:hAnsi="华文仿宋" w:cs="华文仿宋"/>
          <w:b w:val="0"/>
          <w:bCs w:val="0"/>
          <w:sz w:val="28"/>
          <w:szCs w:val="28"/>
          <w:lang w:val="en-US" w:eastAsia="zh-CN"/>
        </w:rPr>
        <w:t>（1）清洁与保洁工具（扫帚、拖把、水桶等）、维修工具（梯子、简易疏通器等）、耗材（手纸、手纸盒、手纸篓、自动喷香机电池、香氛盒、洗手液、塑料垃圾袋、玻璃水、清洁剂、亮光剂、小便香球、抹布、灭杀蚊、蝇、老鼠必备的器材、药剂等）、劳保（洗衣粉、肥皂、毛巾、手套、袖套、工作服等）、办公用品（办公桌椅柜、电话、电脑设备等）等完成本项目一切物品的费用。</w:t>
      </w:r>
    </w:p>
    <w:p w14:paraId="0001F82C">
      <w:pPr>
        <w:pStyle w:val="3"/>
        <w:keepNext w:val="0"/>
        <w:widowControl w:val="0"/>
        <w:spacing w:line="500" w:lineRule="exact"/>
        <w:ind w:firstLine="567"/>
        <w:rPr>
          <w:rFonts w:hint="default" w:ascii="华文仿宋" w:hAnsi="华文仿宋" w:cs="华文仿宋"/>
          <w:b w:val="0"/>
          <w:bCs w:val="0"/>
          <w:sz w:val="28"/>
          <w:szCs w:val="28"/>
          <w:lang w:val="en-US" w:eastAsia="zh-CN"/>
        </w:rPr>
      </w:pPr>
      <w:r>
        <w:rPr>
          <w:rFonts w:hint="default" w:ascii="华文仿宋" w:hAnsi="华文仿宋" w:cs="华文仿宋"/>
          <w:b w:val="0"/>
          <w:bCs w:val="0"/>
          <w:sz w:val="28"/>
          <w:szCs w:val="28"/>
          <w:lang w:val="en-US" w:eastAsia="zh-CN"/>
        </w:rPr>
        <w:t>（2）工作人员的工资、福利、各类社会保险及经济补偿等。</w:t>
      </w:r>
    </w:p>
    <w:p w14:paraId="52C54FF7">
      <w:pPr>
        <w:pStyle w:val="3"/>
        <w:keepNext w:val="0"/>
        <w:widowControl w:val="0"/>
        <w:spacing w:line="500" w:lineRule="exact"/>
        <w:ind w:firstLine="567"/>
        <w:rPr>
          <w:rFonts w:hint="default" w:ascii="华文仿宋" w:hAnsi="华文仿宋" w:cs="华文仿宋"/>
          <w:b w:val="0"/>
          <w:bCs w:val="0"/>
          <w:sz w:val="28"/>
          <w:szCs w:val="28"/>
          <w:lang w:val="en-US" w:eastAsia="zh-CN"/>
        </w:rPr>
      </w:pPr>
      <w:r>
        <w:rPr>
          <w:rFonts w:hint="default" w:ascii="华文仿宋" w:hAnsi="华文仿宋" w:cs="华文仿宋"/>
          <w:b w:val="0"/>
          <w:bCs w:val="0"/>
          <w:sz w:val="28"/>
          <w:szCs w:val="28"/>
          <w:lang w:val="en-US" w:eastAsia="zh-CN"/>
        </w:rPr>
        <w:t>（3）工作人员的劳保费、办证费、培训费等。</w:t>
      </w:r>
    </w:p>
    <w:p w14:paraId="31363105">
      <w:pPr>
        <w:pStyle w:val="3"/>
        <w:keepNext w:val="0"/>
        <w:widowControl w:val="0"/>
        <w:spacing w:line="500" w:lineRule="exact"/>
        <w:ind w:firstLine="567"/>
        <w:rPr>
          <w:rFonts w:hint="default" w:ascii="华文仿宋" w:hAnsi="华文仿宋" w:cs="华文仿宋"/>
          <w:b w:val="0"/>
          <w:bCs w:val="0"/>
          <w:sz w:val="28"/>
          <w:szCs w:val="28"/>
          <w:lang w:val="en-US" w:eastAsia="zh-CN"/>
        </w:rPr>
      </w:pPr>
      <w:r>
        <w:rPr>
          <w:rFonts w:hint="default" w:ascii="华文仿宋" w:hAnsi="华文仿宋" w:cs="华文仿宋"/>
          <w:b w:val="0"/>
          <w:bCs w:val="0"/>
          <w:sz w:val="28"/>
          <w:szCs w:val="28"/>
          <w:lang w:val="en-US" w:eastAsia="zh-CN"/>
        </w:rPr>
        <w:t>（4）校园内所有垃圾的外运与处理费。</w:t>
      </w:r>
    </w:p>
    <w:p w14:paraId="1D16EA53">
      <w:pPr>
        <w:pStyle w:val="3"/>
        <w:keepNext w:val="0"/>
        <w:widowControl w:val="0"/>
        <w:spacing w:line="500" w:lineRule="exact"/>
        <w:ind w:firstLine="567"/>
        <w:rPr>
          <w:rFonts w:hint="default" w:ascii="华文仿宋" w:hAnsi="华文仿宋" w:cs="华文仿宋"/>
          <w:b w:val="0"/>
          <w:bCs w:val="0"/>
          <w:sz w:val="28"/>
          <w:szCs w:val="28"/>
          <w:lang w:val="en-US" w:eastAsia="zh-CN"/>
        </w:rPr>
      </w:pPr>
      <w:r>
        <w:rPr>
          <w:rFonts w:hint="default" w:ascii="华文仿宋" w:hAnsi="华文仿宋" w:cs="华文仿宋"/>
          <w:b w:val="0"/>
          <w:bCs w:val="0"/>
          <w:sz w:val="28"/>
          <w:szCs w:val="28"/>
          <w:lang w:val="en-US" w:eastAsia="zh-CN"/>
        </w:rPr>
        <w:t>（5）服务范围内区域的清洁保洁工作的费用。</w:t>
      </w:r>
    </w:p>
    <w:p w14:paraId="0B5436E3">
      <w:pPr>
        <w:pStyle w:val="3"/>
        <w:keepNext w:val="0"/>
        <w:widowControl w:val="0"/>
        <w:spacing w:line="500" w:lineRule="exact"/>
        <w:ind w:firstLine="567"/>
        <w:rPr>
          <w:rFonts w:hint="default" w:ascii="华文仿宋" w:hAnsi="华文仿宋" w:cs="华文仿宋"/>
          <w:b w:val="0"/>
          <w:bCs w:val="0"/>
          <w:sz w:val="28"/>
          <w:szCs w:val="28"/>
          <w:lang w:val="en-US" w:eastAsia="zh-CN"/>
        </w:rPr>
      </w:pPr>
      <w:r>
        <w:rPr>
          <w:rFonts w:hint="default" w:ascii="华文仿宋" w:hAnsi="华文仿宋" w:cs="华文仿宋"/>
          <w:b w:val="0"/>
          <w:bCs w:val="0"/>
          <w:sz w:val="28"/>
          <w:szCs w:val="28"/>
          <w:lang w:val="en-US" w:eastAsia="zh-CN"/>
        </w:rPr>
        <w:t>（6）服务范围内所有垃圾桶（箱）等设施的保养与维修费用。</w:t>
      </w:r>
    </w:p>
    <w:p w14:paraId="0CFFC822">
      <w:pPr>
        <w:pStyle w:val="3"/>
        <w:keepNext w:val="0"/>
        <w:widowControl w:val="0"/>
        <w:spacing w:line="500" w:lineRule="exact"/>
        <w:ind w:firstLine="567"/>
        <w:rPr>
          <w:rFonts w:hint="default" w:ascii="华文仿宋" w:hAnsi="华文仿宋" w:cs="华文仿宋"/>
          <w:b w:val="0"/>
          <w:bCs w:val="0"/>
          <w:sz w:val="28"/>
          <w:szCs w:val="28"/>
          <w:lang w:val="en-US" w:eastAsia="zh-CN"/>
        </w:rPr>
      </w:pPr>
      <w:r>
        <w:rPr>
          <w:rFonts w:hint="default" w:ascii="华文仿宋" w:hAnsi="华文仿宋" w:cs="华文仿宋"/>
          <w:b w:val="0"/>
          <w:bCs w:val="0"/>
          <w:sz w:val="28"/>
          <w:szCs w:val="28"/>
          <w:lang w:val="en-US" w:eastAsia="zh-CN"/>
        </w:rPr>
        <w:t>（7）税金、利润、政策性文件规定及合同包含的所有风险、不可预见费用等各项费用。</w:t>
      </w:r>
    </w:p>
    <w:p w14:paraId="30493740">
      <w:pPr>
        <w:pStyle w:val="3"/>
        <w:keepNext w:val="0"/>
        <w:widowControl w:val="0"/>
        <w:spacing w:line="500" w:lineRule="exact"/>
        <w:ind w:firstLine="567"/>
        <w:rPr>
          <w:rFonts w:hint="default" w:ascii="华文仿宋" w:hAnsi="华文仿宋" w:cs="华文仿宋"/>
          <w:b w:val="0"/>
          <w:bCs w:val="0"/>
          <w:sz w:val="28"/>
          <w:szCs w:val="28"/>
          <w:lang w:val="en-US" w:eastAsia="zh-CN"/>
        </w:rPr>
      </w:pPr>
      <w:r>
        <w:rPr>
          <w:rFonts w:hint="default" w:ascii="华文仿宋" w:hAnsi="华文仿宋" w:cs="华文仿宋"/>
          <w:b w:val="0"/>
          <w:bCs w:val="0"/>
          <w:sz w:val="28"/>
          <w:szCs w:val="28"/>
          <w:lang w:val="en-US" w:eastAsia="zh-CN"/>
        </w:rPr>
        <w:t>4.付款方式：由采购人直接支付，中标人履行合同各项条款后，采购人于次月十日前按照平均服务费减去检查扣款计算出上月应付服务费，中标人出具正式票据，采购人以银行转帐方式支付上月服务费用。</w:t>
      </w:r>
    </w:p>
    <w:p w14:paraId="43B8135B">
      <w:pPr>
        <w:pStyle w:val="3"/>
        <w:keepNext w:val="0"/>
        <w:widowControl w:val="0"/>
        <w:spacing w:line="500" w:lineRule="exact"/>
        <w:ind w:firstLine="567"/>
        <w:rPr>
          <w:rFonts w:hint="default"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七、</w:t>
      </w:r>
      <w:r>
        <w:rPr>
          <w:rFonts w:hint="default" w:ascii="华文仿宋" w:hAnsi="华文仿宋" w:cs="华文仿宋"/>
          <w:b w:val="0"/>
          <w:bCs w:val="0"/>
          <w:sz w:val="28"/>
          <w:szCs w:val="28"/>
          <w:lang w:val="en-US" w:eastAsia="zh-CN"/>
        </w:rPr>
        <w:t>中标人服务标准</w:t>
      </w:r>
    </w:p>
    <w:p w14:paraId="3936BEF1">
      <w:pPr>
        <w:pStyle w:val="3"/>
        <w:keepNext w:val="0"/>
        <w:widowControl w:val="0"/>
        <w:spacing w:line="500" w:lineRule="exact"/>
        <w:ind w:firstLine="567"/>
        <w:rPr>
          <w:rFonts w:hint="default" w:ascii="华文仿宋" w:hAnsi="华文仿宋" w:cs="华文仿宋"/>
          <w:b w:val="0"/>
          <w:bCs w:val="0"/>
          <w:sz w:val="28"/>
          <w:szCs w:val="28"/>
          <w:lang w:val="en-US" w:eastAsia="zh-CN"/>
        </w:rPr>
      </w:pPr>
      <w:r>
        <w:rPr>
          <w:rFonts w:hint="default" w:ascii="华文仿宋" w:hAnsi="华文仿宋" w:cs="华文仿宋"/>
          <w:b w:val="0"/>
          <w:bCs w:val="0"/>
          <w:sz w:val="28"/>
          <w:szCs w:val="28"/>
          <w:lang w:val="en-US" w:eastAsia="zh-CN"/>
        </w:rPr>
        <w:t>1.常态化保持服务范围内所有公共场所、各类设施设备及标志物整齐洁净无异味、卫生设施管理安全完好清洁，确保地面无杂物、无污垢、无积水（雪）、下（排）水畅通。</w:t>
      </w:r>
    </w:p>
    <w:p w14:paraId="2548B0D9">
      <w:pPr>
        <w:pStyle w:val="3"/>
        <w:keepNext w:val="0"/>
        <w:widowControl w:val="0"/>
        <w:spacing w:line="500" w:lineRule="exact"/>
        <w:ind w:firstLine="567"/>
        <w:rPr>
          <w:rFonts w:hint="default" w:ascii="华文仿宋" w:hAnsi="华文仿宋" w:cs="华文仿宋"/>
          <w:b w:val="0"/>
          <w:bCs w:val="0"/>
          <w:sz w:val="28"/>
          <w:szCs w:val="28"/>
          <w:lang w:val="en-US" w:eastAsia="zh-CN"/>
        </w:rPr>
      </w:pPr>
      <w:r>
        <w:rPr>
          <w:rFonts w:hint="default" w:ascii="华文仿宋" w:hAnsi="华文仿宋" w:cs="华文仿宋"/>
          <w:b w:val="0"/>
          <w:bCs w:val="0"/>
          <w:sz w:val="28"/>
          <w:szCs w:val="28"/>
          <w:lang w:val="en-US" w:eastAsia="zh-CN"/>
        </w:rPr>
        <w:t>2.对服务范围内所有垃圾及时进行收集和清理，做到日产日清；垃圾场垃圾及时外运，垃圾箱外不得堆放垃圾。</w:t>
      </w:r>
    </w:p>
    <w:p w14:paraId="60B0D8E2">
      <w:pPr>
        <w:pStyle w:val="3"/>
        <w:keepNext w:val="0"/>
        <w:widowControl w:val="0"/>
        <w:spacing w:line="500" w:lineRule="exact"/>
        <w:ind w:firstLine="567"/>
        <w:rPr>
          <w:rFonts w:hint="default" w:ascii="华文仿宋" w:hAnsi="华文仿宋" w:cs="华文仿宋"/>
          <w:b w:val="0"/>
          <w:bCs w:val="0"/>
          <w:sz w:val="28"/>
          <w:szCs w:val="28"/>
          <w:lang w:val="en-US" w:eastAsia="zh-CN"/>
        </w:rPr>
      </w:pPr>
      <w:r>
        <w:rPr>
          <w:rFonts w:hint="default" w:ascii="华文仿宋" w:hAnsi="华文仿宋" w:cs="华文仿宋"/>
          <w:b w:val="0"/>
          <w:bCs w:val="0"/>
          <w:sz w:val="28"/>
          <w:szCs w:val="28"/>
          <w:lang w:val="en-US" w:eastAsia="zh-CN"/>
        </w:rPr>
        <w:t>3.服务范围内所有楼道、楼梯、电梯间、连廊、平台及各楼设施每天至少清洁3次以上且在非上班期间完成；公共部位玻璃、门窗每周至少清洗1次；卫生间每天至少清洁5次以上，确保经常性清洁、无异味、地面无积水。室外2米以下墙体在保证整体清洁的前提下，每月至少清洗1次（以上要求包括节假日期间在内）。</w:t>
      </w:r>
    </w:p>
    <w:p w14:paraId="5049C3D9">
      <w:pPr>
        <w:pStyle w:val="3"/>
        <w:keepNext w:val="0"/>
        <w:widowControl w:val="0"/>
        <w:spacing w:line="500" w:lineRule="exact"/>
        <w:ind w:firstLine="567"/>
        <w:rPr>
          <w:rFonts w:hint="default" w:ascii="华文仿宋" w:hAnsi="华文仿宋" w:cs="华文仿宋"/>
          <w:b w:val="0"/>
          <w:bCs w:val="0"/>
          <w:sz w:val="28"/>
          <w:szCs w:val="28"/>
          <w:lang w:val="en-US" w:eastAsia="zh-CN"/>
        </w:rPr>
      </w:pPr>
      <w:r>
        <w:rPr>
          <w:rFonts w:hint="default" w:ascii="华文仿宋" w:hAnsi="华文仿宋" w:cs="华文仿宋"/>
          <w:b w:val="0"/>
          <w:bCs w:val="0"/>
          <w:sz w:val="28"/>
          <w:szCs w:val="28"/>
          <w:lang w:val="en-US" w:eastAsia="zh-CN"/>
        </w:rPr>
        <w:t>4.服务范围内道路，每天至少清扫二次以上且在上班前完成，并做好日常保洁工作（含节假日）。</w:t>
      </w:r>
    </w:p>
    <w:p w14:paraId="183F4857">
      <w:pPr>
        <w:pStyle w:val="3"/>
        <w:keepNext w:val="0"/>
        <w:widowControl w:val="0"/>
        <w:spacing w:line="500" w:lineRule="exact"/>
        <w:ind w:firstLine="567"/>
        <w:rPr>
          <w:rFonts w:hint="default" w:ascii="华文仿宋" w:hAnsi="华文仿宋" w:cs="华文仿宋"/>
          <w:b w:val="0"/>
          <w:bCs w:val="0"/>
          <w:sz w:val="28"/>
          <w:szCs w:val="28"/>
          <w:lang w:val="en-US" w:eastAsia="zh-CN"/>
        </w:rPr>
      </w:pPr>
      <w:r>
        <w:rPr>
          <w:rFonts w:hint="default" w:ascii="华文仿宋" w:hAnsi="华文仿宋" w:cs="华文仿宋"/>
          <w:b w:val="0"/>
          <w:bCs w:val="0"/>
          <w:sz w:val="28"/>
          <w:szCs w:val="28"/>
          <w:lang w:val="en-US" w:eastAsia="zh-CN"/>
        </w:rPr>
        <w:t>5.及时关好楼道、楼梯、卫生间、门厅等区域的门窗、路灯、龙头和换气扇，确保各类设施完好，节约资源。</w:t>
      </w:r>
    </w:p>
    <w:p w14:paraId="3B48552A">
      <w:pPr>
        <w:pStyle w:val="3"/>
        <w:keepNext w:val="0"/>
        <w:widowControl w:val="0"/>
        <w:spacing w:line="500" w:lineRule="exact"/>
        <w:ind w:firstLine="567"/>
        <w:rPr>
          <w:rFonts w:hint="default" w:ascii="华文仿宋" w:hAnsi="华文仿宋" w:cs="华文仿宋"/>
          <w:b w:val="0"/>
          <w:bCs w:val="0"/>
          <w:sz w:val="28"/>
          <w:szCs w:val="28"/>
          <w:lang w:val="en-US" w:eastAsia="zh-CN"/>
        </w:rPr>
      </w:pPr>
      <w:r>
        <w:rPr>
          <w:rFonts w:hint="default" w:ascii="华文仿宋" w:hAnsi="华文仿宋" w:cs="华文仿宋"/>
          <w:b w:val="0"/>
          <w:bCs w:val="0"/>
          <w:sz w:val="28"/>
          <w:szCs w:val="28"/>
          <w:lang w:val="en-US" w:eastAsia="zh-CN"/>
        </w:rPr>
        <w:t>6.达到采购人的即时要求。</w:t>
      </w:r>
    </w:p>
    <w:p w14:paraId="5E65FF9C">
      <w:pPr>
        <w:pStyle w:val="3"/>
        <w:keepNext w:val="0"/>
        <w:widowControl w:val="0"/>
        <w:spacing w:line="500" w:lineRule="exact"/>
        <w:ind w:firstLine="567"/>
        <w:rPr>
          <w:rFonts w:hint="default" w:ascii="华文仿宋" w:hAnsi="华文仿宋" w:cs="华文仿宋"/>
          <w:b w:val="0"/>
          <w:bCs w:val="0"/>
          <w:sz w:val="28"/>
          <w:szCs w:val="28"/>
          <w:lang w:val="en-US" w:eastAsia="zh-CN"/>
        </w:rPr>
      </w:pPr>
      <w:r>
        <w:rPr>
          <w:rFonts w:hint="default" w:ascii="华文仿宋" w:hAnsi="华文仿宋" w:cs="华文仿宋"/>
          <w:b w:val="0"/>
          <w:bCs w:val="0"/>
          <w:sz w:val="28"/>
          <w:szCs w:val="28"/>
          <w:lang w:val="en-US" w:eastAsia="zh-CN"/>
        </w:rPr>
        <w:t>7.所有工作人员要统一着装、佩带胸牌上岗，行为规范，礼貌热情，周到服务，品行端正，身体健康，保证无传染病，无劣迹行为。</w:t>
      </w:r>
    </w:p>
    <w:p w14:paraId="641B79DC">
      <w:pPr>
        <w:pStyle w:val="3"/>
        <w:keepNext w:val="0"/>
        <w:widowControl w:val="0"/>
        <w:spacing w:line="500" w:lineRule="exact"/>
        <w:ind w:firstLine="567"/>
        <w:rPr>
          <w:rFonts w:hint="default" w:ascii="华文仿宋" w:hAnsi="华文仿宋" w:cs="华文仿宋"/>
          <w:b w:val="0"/>
          <w:bCs w:val="0"/>
          <w:sz w:val="28"/>
          <w:szCs w:val="28"/>
          <w:lang w:val="en-US" w:eastAsia="zh-CN"/>
        </w:rPr>
      </w:pPr>
      <w:r>
        <w:rPr>
          <w:rFonts w:hint="default" w:ascii="华文仿宋" w:hAnsi="华文仿宋" w:cs="华文仿宋"/>
          <w:b w:val="0"/>
          <w:bCs w:val="0"/>
          <w:sz w:val="28"/>
          <w:szCs w:val="28"/>
          <w:lang w:val="en-US" w:eastAsia="zh-CN"/>
        </w:rPr>
        <w:t>8.采取定期与不定期相结合的办法进行检查清洁与保洁质量，发现问题限期整改。按照《延安职业技术学院卫生考核表》《延安职业技术学院卫生清洁、保洁标准及检查评定标准》（见附件）实行“日巡查、周检查、月评定”，核定当月卫生分值（具体评定办法由采购人制定），要求月分值必须达到90分及以上，否则,按规定在当月总费用中扣罚，直至采购人单方面终止合同。</w:t>
      </w:r>
    </w:p>
    <w:p w14:paraId="61B7C55B">
      <w:pPr>
        <w:pStyle w:val="3"/>
        <w:keepNext w:val="0"/>
        <w:widowControl w:val="0"/>
        <w:spacing w:line="500" w:lineRule="exact"/>
        <w:ind w:firstLine="567"/>
        <w:rPr>
          <w:rFonts w:hint="default" w:ascii="华文仿宋" w:hAnsi="华文仿宋" w:cs="华文仿宋"/>
          <w:b w:val="0"/>
          <w:bCs w:val="0"/>
          <w:sz w:val="28"/>
          <w:szCs w:val="28"/>
          <w:lang w:val="en-US" w:eastAsia="zh-CN"/>
        </w:rPr>
      </w:pPr>
      <w:r>
        <w:rPr>
          <w:rFonts w:hint="default" w:ascii="华文仿宋" w:hAnsi="华文仿宋" w:cs="华文仿宋"/>
          <w:b w:val="0"/>
          <w:bCs w:val="0"/>
          <w:sz w:val="28"/>
          <w:szCs w:val="28"/>
          <w:lang w:val="en-US" w:eastAsia="zh-CN"/>
        </w:rPr>
        <w:t>（1）评分达到90分以上者（含90分），为合格，不扣罚。</w:t>
      </w:r>
    </w:p>
    <w:p w14:paraId="1FFF710D">
      <w:pPr>
        <w:pStyle w:val="3"/>
        <w:keepNext w:val="0"/>
        <w:widowControl w:val="0"/>
        <w:spacing w:line="500" w:lineRule="exact"/>
        <w:ind w:firstLine="567"/>
        <w:rPr>
          <w:rFonts w:hint="default" w:ascii="华文仿宋" w:hAnsi="华文仿宋" w:cs="华文仿宋"/>
          <w:b w:val="0"/>
          <w:bCs w:val="0"/>
          <w:sz w:val="28"/>
          <w:szCs w:val="28"/>
          <w:lang w:val="en-US" w:eastAsia="zh-CN"/>
        </w:rPr>
      </w:pPr>
      <w:r>
        <w:rPr>
          <w:rFonts w:hint="default" w:ascii="华文仿宋" w:hAnsi="华文仿宋" w:cs="华文仿宋"/>
          <w:b w:val="0"/>
          <w:bCs w:val="0"/>
          <w:sz w:val="28"/>
          <w:szCs w:val="28"/>
          <w:lang w:val="en-US" w:eastAsia="zh-CN"/>
        </w:rPr>
        <w:t>（2）评分在90分以下者视为不合格，按照分值高低和累计次数扣罚。按分值具体扣罚办法如下：</w:t>
      </w:r>
    </w:p>
    <w:p w14:paraId="6D567D4A">
      <w:pPr>
        <w:pStyle w:val="3"/>
        <w:keepNext w:val="0"/>
        <w:widowControl w:val="0"/>
        <w:spacing w:line="500" w:lineRule="exact"/>
        <w:ind w:firstLine="567"/>
        <w:rPr>
          <w:rFonts w:hint="default" w:ascii="华文仿宋" w:hAnsi="华文仿宋" w:cs="华文仿宋"/>
          <w:b w:val="0"/>
          <w:bCs w:val="0"/>
          <w:sz w:val="28"/>
          <w:szCs w:val="28"/>
          <w:lang w:val="en-US" w:eastAsia="zh-CN"/>
        </w:rPr>
      </w:pPr>
      <w:r>
        <w:rPr>
          <w:rFonts w:hint="default" w:ascii="华文仿宋" w:hAnsi="华文仿宋" w:cs="华文仿宋"/>
          <w:b w:val="0"/>
          <w:bCs w:val="0"/>
          <w:sz w:val="28"/>
          <w:szCs w:val="28"/>
          <w:lang w:val="en-US" w:eastAsia="zh-CN"/>
        </w:rPr>
        <w:t>①80</w:t>
      </w:r>
      <w:r>
        <w:rPr>
          <w:rFonts w:hint="default" w:ascii="华文仿宋" w:hAnsi="华文仿宋" w:cs="华文仿宋"/>
          <w:b w:val="0"/>
          <w:bCs w:val="0"/>
          <w:sz w:val="28"/>
          <w:szCs w:val="28"/>
          <w:lang w:val="en-US" w:eastAsia="zh-CN"/>
        </w:rPr>
        <w:softHyphen/>
      </w:r>
      <w:r>
        <w:rPr>
          <w:rFonts w:hint="default" w:ascii="华文仿宋" w:hAnsi="华文仿宋" w:cs="华文仿宋"/>
          <w:b w:val="0"/>
          <w:bCs w:val="0"/>
          <w:sz w:val="28"/>
          <w:szCs w:val="28"/>
          <w:lang w:val="en-US" w:eastAsia="zh-CN"/>
        </w:rPr>
        <w:t>—89.9分时，按年累计次数计算，第一次扣月平均费用的3%，第二次扣月平均费用的8%；第三次扣月平均费用的10%；第四次扣月平均费用的15%；第五次除扣月平均费用的20%外，采购人有权单方面终止合同，并且不补偿、不赔偿中标人任何费用。</w:t>
      </w:r>
    </w:p>
    <w:p w14:paraId="28ADB8F1">
      <w:pPr>
        <w:pStyle w:val="3"/>
        <w:keepNext w:val="0"/>
        <w:widowControl w:val="0"/>
        <w:spacing w:line="500" w:lineRule="exact"/>
        <w:ind w:firstLine="567"/>
        <w:rPr>
          <w:rFonts w:hint="default" w:ascii="华文仿宋" w:hAnsi="华文仿宋" w:cs="华文仿宋"/>
          <w:b w:val="0"/>
          <w:bCs w:val="0"/>
          <w:sz w:val="28"/>
          <w:szCs w:val="28"/>
          <w:lang w:val="en-US" w:eastAsia="zh-CN"/>
        </w:rPr>
      </w:pPr>
      <w:r>
        <w:rPr>
          <w:rFonts w:hint="default" w:ascii="华文仿宋" w:hAnsi="华文仿宋" w:cs="华文仿宋"/>
          <w:b w:val="0"/>
          <w:bCs w:val="0"/>
          <w:sz w:val="28"/>
          <w:szCs w:val="28"/>
          <w:lang w:val="en-US" w:eastAsia="zh-CN"/>
        </w:rPr>
        <w:t>②70—79.9分时，按年累计次数计算，第一次扣月平均费用的5%，第二次扣月平均费用的10%；第三次扣月平均费用的15%；第四次除扣月平均费用的20%外，采购人有权单方面终止合同，并且不补偿、不赔偿中标人任何费用。</w:t>
      </w:r>
    </w:p>
    <w:p w14:paraId="6D493FED">
      <w:pPr>
        <w:pStyle w:val="3"/>
        <w:keepNext w:val="0"/>
        <w:widowControl w:val="0"/>
        <w:spacing w:line="500" w:lineRule="exact"/>
        <w:ind w:firstLine="567"/>
        <w:rPr>
          <w:rFonts w:hint="default" w:ascii="华文仿宋" w:hAnsi="华文仿宋" w:cs="华文仿宋"/>
          <w:b w:val="0"/>
          <w:bCs w:val="0"/>
          <w:sz w:val="28"/>
          <w:szCs w:val="28"/>
          <w:lang w:val="en-US" w:eastAsia="zh-CN"/>
        </w:rPr>
      </w:pPr>
      <w:r>
        <w:rPr>
          <w:rFonts w:hint="default" w:ascii="华文仿宋" w:hAnsi="华文仿宋" w:cs="华文仿宋"/>
          <w:b w:val="0"/>
          <w:bCs w:val="0"/>
          <w:sz w:val="28"/>
          <w:szCs w:val="28"/>
          <w:lang w:val="en-US" w:eastAsia="zh-CN"/>
        </w:rPr>
        <w:t>③60—69.9分时，按年累计次数计算，第一次扣月平均费用的10%；第二次扣月平均费用的15%；第三次除扣月平均费用的20%外，采购人有权单方面终止合同，并且不补偿、不赔偿中标人任何费用。</w:t>
      </w:r>
    </w:p>
    <w:p w14:paraId="1D49924F">
      <w:pPr>
        <w:pStyle w:val="3"/>
        <w:keepNext w:val="0"/>
        <w:widowControl w:val="0"/>
        <w:spacing w:line="500" w:lineRule="exact"/>
        <w:ind w:firstLine="567"/>
        <w:rPr>
          <w:rFonts w:hint="default" w:ascii="华文仿宋" w:hAnsi="华文仿宋" w:cs="华文仿宋"/>
          <w:b w:val="0"/>
          <w:bCs w:val="0"/>
          <w:sz w:val="28"/>
          <w:szCs w:val="28"/>
          <w:lang w:val="en-US" w:eastAsia="zh-CN"/>
        </w:rPr>
      </w:pPr>
      <w:r>
        <w:rPr>
          <w:rFonts w:hint="default" w:ascii="华文仿宋" w:hAnsi="华文仿宋" w:cs="华文仿宋"/>
          <w:b w:val="0"/>
          <w:bCs w:val="0"/>
          <w:sz w:val="28"/>
          <w:szCs w:val="28"/>
          <w:lang w:val="en-US" w:eastAsia="zh-CN"/>
        </w:rPr>
        <w:t>④低于60分时，采购人有权单方面终止合同，并且不补偿、不赔偿中标人任何费用。</w:t>
      </w:r>
    </w:p>
    <w:p w14:paraId="58F46A5E">
      <w:pPr>
        <w:pStyle w:val="3"/>
        <w:keepNext w:val="0"/>
        <w:widowControl w:val="0"/>
        <w:spacing w:line="500" w:lineRule="exact"/>
        <w:ind w:firstLine="567"/>
        <w:rPr>
          <w:rFonts w:hint="default"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八、</w:t>
      </w:r>
      <w:r>
        <w:rPr>
          <w:rFonts w:hint="default" w:ascii="华文仿宋" w:hAnsi="华文仿宋" w:cs="华文仿宋"/>
          <w:b w:val="0"/>
          <w:bCs w:val="0"/>
          <w:sz w:val="28"/>
          <w:szCs w:val="28"/>
          <w:lang w:val="en-US" w:eastAsia="zh-CN"/>
        </w:rPr>
        <w:t>双方责任和义务</w:t>
      </w:r>
    </w:p>
    <w:p w14:paraId="262BCEED">
      <w:pPr>
        <w:pStyle w:val="3"/>
        <w:keepNext w:val="0"/>
        <w:widowControl w:val="0"/>
        <w:spacing w:line="500" w:lineRule="exact"/>
        <w:ind w:firstLine="567"/>
        <w:rPr>
          <w:rFonts w:hint="default" w:ascii="华文仿宋" w:hAnsi="华文仿宋" w:cs="华文仿宋"/>
          <w:b w:val="0"/>
          <w:bCs w:val="0"/>
          <w:sz w:val="28"/>
          <w:szCs w:val="28"/>
          <w:lang w:val="en-US" w:eastAsia="zh-CN"/>
        </w:rPr>
      </w:pPr>
      <w:r>
        <w:rPr>
          <w:rFonts w:hint="default" w:ascii="华文仿宋" w:hAnsi="华文仿宋" w:cs="华文仿宋"/>
          <w:b w:val="0"/>
          <w:bCs w:val="0"/>
          <w:sz w:val="28"/>
          <w:szCs w:val="28"/>
          <w:lang w:val="en-US" w:eastAsia="zh-CN"/>
        </w:rPr>
        <w:t>1采购人责任和义务</w:t>
      </w:r>
    </w:p>
    <w:p w14:paraId="6F997DA3">
      <w:pPr>
        <w:pStyle w:val="3"/>
        <w:keepNext w:val="0"/>
        <w:widowControl w:val="0"/>
        <w:spacing w:line="500" w:lineRule="exact"/>
        <w:ind w:firstLine="567"/>
        <w:rPr>
          <w:rFonts w:hint="default" w:ascii="华文仿宋" w:hAnsi="华文仿宋" w:cs="华文仿宋"/>
          <w:b w:val="0"/>
          <w:bCs w:val="0"/>
          <w:sz w:val="28"/>
          <w:szCs w:val="28"/>
          <w:lang w:val="en-US" w:eastAsia="zh-CN"/>
        </w:rPr>
      </w:pPr>
      <w:r>
        <w:rPr>
          <w:rFonts w:hint="default" w:ascii="华文仿宋" w:hAnsi="华文仿宋" w:cs="华文仿宋"/>
          <w:b w:val="0"/>
          <w:bCs w:val="0"/>
          <w:sz w:val="28"/>
          <w:szCs w:val="28"/>
          <w:lang w:val="en-US" w:eastAsia="zh-CN"/>
        </w:rPr>
        <w:t>（1）全面监督、指导、检查、验收中标人工作。</w:t>
      </w:r>
    </w:p>
    <w:p w14:paraId="47612D0C">
      <w:pPr>
        <w:pStyle w:val="3"/>
        <w:keepNext w:val="0"/>
        <w:widowControl w:val="0"/>
        <w:spacing w:line="500" w:lineRule="exact"/>
        <w:ind w:firstLine="567"/>
        <w:rPr>
          <w:rFonts w:hint="default" w:ascii="华文仿宋" w:hAnsi="华文仿宋" w:cs="华文仿宋"/>
          <w:b w:val="0"/>
          <w:bCs w:val="0"/>
          <w:sz w:val="28"/>
          <w:szCs w:val="28"/>
          <w:lang w:val="en-US" w:eastAsia="zh-CN"/>
        </w:rPr>
      </w:pPr>
      <w:r>
        <w:rPr>
          <w:rFonts w:hint="default" w:ascii="华文仿宋" w:hAnsi="华文仿宋" w:cs="华文仿宋"/>
          <w:b w:val="0"/>
          <w:bCs w:val="0"/>
          <w:sz w:val="28"/>
          <w:szCs w:val="28"/>
          <w:lang w:val="en-US" w:eastAsia="zh-CN"/>
        </w:rPr>
        <w:t>（2）在检查时如发现有不合格之处，给中标人下发“整改通知书”。</w:t>
      </w:r>
    </w:p>
    <w:p w14:paraId="4506F08C">
      <w:pPr>
        <w:pStyle w:val="3"/>
        <w:keepNext w:val="0"/>
        <w:widowControl w:val="0"/>
        <w:spacing w:line="500" w:lineRule="exact"/>
        <w:ind w:firstLine="567"/>
        <w:rPr>
          <w:rFonts w:hint="default" w:ascii="华文仿宋" w:hAnsi="华文仿宋" w:cs="华文仿宋"/>
          <w:b w:val="0"/>
          <w:bCs w:val="0"/>
          <w:sz w:val="28"/>
          <w:szCs w:val="28"/>
          <w:lang w:val="en-US" w:eastAsia="zh-CN"/>
        </w:rPr>
      </w:pPr>
      <w:r>
        <w:rPr>
          <w:rFonts w:hint="default" w:ascii="华文仿宋" w:hAnsi="华文仿宋" w:cs="华文仿宋"/>
          <w:b w:val="0"/>
          <w:bCs w:val="0"/>
          <w:sz w:val="28"/>
          <w:szCs w:val="28"/>
          <w:lang w:val="en-US" w:eastAsia="zh-CN"/>
        </w:rPr>
        <w:t>（3）及时为中标人办理结算，按时支付应付服务费用。</w:t>
      </w:r>
    </w:p>
    <w:p w14:paraId="44BB8A09">
      <w:pPr>
        <w:pStyle w:val="3"/>
        <w:keepNext w:val="0"/>
        <w:widowControl w:val="0"/>
        <w:spacing w:line="500" w:lineRule="exact"/>
        <w:ind w:firstLine="567"/>
        <w:rPr>
          <w:rFonts w:hint="default" w:ascii="华文仿宋" w:hAnsi="华文仿宋" w:cs="华文仿宋"/>
          <w:b w:val="0"/>
          <w:bCs w:val="0"/>
          <w:sz w:val="28"/>
          <w:szCs w:val="28"/>
          <w:lang w:val="en-US" w:eastAsia="zh-CN"/>
        </w:rPr>
      </w:pPr>
      <w:r>
        <w:rPr>
          <w:rFonts w:hint="default" w:ascii="华文仿宋" w:hAnsi="华文仿宋" w:cs="华文仿宋"/>
          <w:b w:val="0"/>
          <w:bCs w:val="0"/>
          <w:sz w:val="28"/>
          <w:szCs w:val="28"/>
          <w:lang w:val="en-US" w:eastAsia="zh-CN"/>
        </w:rPr>
        <w:t>（4）采购人有义务教育广大师生爱护环境与设施，尊重中标人的劳动成果。</w:t>
      </w:r>
    </w:p>
    <w:p w14:paraId="2CF6A109">
      <w:pPr>
        <w:pStyle w:val="3"/>
        <w:keepNext w:val="0"/>
        <w:widowControl w:val="0"/>
        <w:spacing w:line="500" w:lineRule="exact"/>
        <w:ind w:firstLine="567"/>
        <w:rPr>
          <w:rFonts w:hint="default" w:ascii="华文仿宋" w:hAnsi="华文仿宋" w:cs="华文仿宋"/>
          <w:b w:val="0"/>
          <w:bCs w:val="0"/>
          <w:sz w:val="28"/>
          <w:szCs w:val="28"/>
          <w:lang w:val="en-US" w:eastAsia="zh-CN"/>
        </w:rPr>
      </w:pPr>
      <w:r>
        <w:rPr>
          <w:rFonts w:hint="default" w:ascii="华文仿宋" w:hAnsi="华文仿宋" w:cs="华文仿宋"/>
          <w:b w:val="0"/>
          <w:bCs w:val="0"/>
          <w:sz w:val="28"/>
          <w:szCs w:val="28"/>
          <w:lang w:val="en-US" w:eastAsia="zh-CN"/>
        </w:rPr>
        <w:t>2中标人责任和义务</w:t>
      </w:r>
    </w:p>
    <w:p w14:paraId="1F264012">
      <w:pPr>
        <w:pStyle w:val="3"/>
        <w:keepNext w:val="0"/>
        <w:widowControl w:val="0"/>
        <w:spacing w:line="500" w:lineRule="exact"/>
        <w:ind w:firstLine="567"/>
        <w:rPr>
          <w:rFonts w:hint="default" w:ascii="华文仿宋" w:hAnsi="华文仿宋" w:cs="华文仿宋"/>
          <w:b w:val="0"/>
          <w:bCs w:val="0"/>
          <w:sz w:val="28"/>
          <w:szCs w:val="28"/>
          <w:lang w:val="en-US" w:eastAsia="zh-CN"/>
        </w:rPr>
      </w:pPr>
      <w:r>
        <w:rPr>
          <w:rFonts w:hint="default" w:ascii="华文仿宋" w:hAnsi="华文仿宋" w:cs="华文仿宋"/>
          <w:b w:val="0"/>
          <w:bCs w:val="0"/>
          <w:sz w:val="28"/>
          <w:szCs w:val="28"/>
          <w:lang w:val="en-US" w:eastAsia="zh-CN"/>
        </w:rPr>
        <w:t>（1）中标人要建立和保管好本项目完整的档案，合同期满后交回采购人。</w:t>
      </w:r>
    </w:p>
    <w:p w14:paraId="7E24A46C">
      <w:pPr>
        <w:pStyle w:val="3"/>
        <w:keepNext w:val="0"/>
        <w:widowControl w:val="0"/>
        <w:spacing w:line="500" w:lineRule="exact"/>
        <w:ind w:firstLine="567"/>
        <w:rPr>
          <w:rFonts w:hint="default" w:ascii="华文仿宋" w:hAnsi="华文仿宋" w:cs="华文仿宋"/>
          <w:b w:val="0"/>
          <w:bCs w:val="0"/>
          <w:sz w:val="28"/>
          <w:szCs w:val="28"/>
          <w:lang w:val="en-US" w:eastAsia="zh-CN"/>
        </w:rPr>
      </w:pPr>
      <w:r>
        <w:rPr>
          <w:rFonts w:hint="default" w:ascii="华文仿宋" w:hAnsi="华文仿宋" w:cs="华文仿宋"/>
          <w:b w:val="0"/>
          <w:bCs w:val="0"/>
          <w:sz w:val="28"/>
          <w:szCs w:val="28"/>
          <w:lang w:val="en-US" w:eastAsia="zh-CN"/>
        </w:rPr>
        <w:t>（2）中标人要根据清洁与保洁内容制定的各项服务标准，有专职管理人员处理各项咨询、投诉，并在承诺的时间内给予回复解决。</w:t>
      </w:r>
    </w:p>
    <w:p w14:paraId="7C583F1B">
      <w:pPr>
        <w:pStyle w:val="3"/>
        <w:keepNext w:val="0"/>
        <w:widowControl w:val="0"/>
        <w:spacing w:line="500" w:lineRule="exact"/>
        <w:ind w:firstLine="567"/>
        <w:rPr>
          <w:rFonts w:hint="default" w:ascii="华文仿宋" w:hAnsi="华文仿宋" w:cs="华文仿宋"/>
          <w:b w:val="0"/>
          <w:bCs w:val="0"/>
          <w:sz w:val="28"/>
          <w:szCs w:val="28"/>
          <w:lang w:val="en-US" w:eastAsia="zh-CN"/>
        </w:rPr>
      </w:pPr>
      <w:r>
        <w:rPr>
          <w:rFonts w:hint="default" w:ascii="华文仿宋" w:hAnsi="华文仿宋" w:cs="华文仿宋"/>
          <w:b w:val="0"/>
          <w:bCs w:val="0"/>
          <w:sz w:val="28"/>
          <w:szCs w:val="28"/>
          <w:lang w:val="en-US" w:eastAsia="zh-CN"/>
        </w:rPr>
        <w:t>（3）中标人必须严格遵守采购人的各类管理制度。</w:t>
      </w:r>
    </w:p>
    <w:p w14:paraId="5C9C5470">
      <w:pPr>
        <w:pStyle w:val="3"/>
        <w:keepNext w:val="0"/>
        <w:widowControl w:val="0"/>
        <w:spacing w:line="500" w:lineRule="exact"/>
        <w:ind w:firstLine="567"/>
        <w:rPr>
          <w:rFonts w:hint="default" w:ascii="华文仿宋" w:hAnsi="华文仿宋" w:cs="华文仿宋"/>
          <w:b w:val="0"/>
          <w:bCs w:val="0"/>
          <w:sz w:val="28"/>
          <w:szCs w:val="28"/>
          <w:lang w:val="en-US" w:eastAsia="zh-CN"/>
        </w:rPr>
      </w:pPr>
      <w:r>
        <w:rPr>
          <w:rFonts w:hint="default" w:ascii="华文仿宋" w:hAnsi="华文仿宋" w:cs="华文仿宋"/>
          <w:b w:val="0"/>
          <w:bCs w:val="0"/>
          <w:sz w:val="28"/>
          <w:szCs w:val="28"/>
          <w:lang w:val="en-US" w:eastAsia="zh-CN"/>
        </w:rPr>
        <w:t>（4）中标人在服务期间无条件接受上级部门和采购人的监督、检查和考核，对存在的各类问题必须限期组织整改，整改不到位或拒不整改的，采购人有权随时终止合同。</w:t>
      </w:r>
    </w:p>
    <w:p w14:paraId="37638FA3">
      <w:pPr>
        <w:pStyle w:val="3"/>
        <w:keepNext w:val="0"/>
        <w:widowControl w:val="0"/>
        <w:spacing w:line="500" w:lineRule="exact"/>
        <w:ind w:firstLine="567"/>
        <w:rPr>
          <w:rFonts w:hint="default" w:ascii="华文仿宋" w:hAnsi="华文仿宋" w:cs="华文仿宋"/>
          <w:b w:val="0"/>
          <w:bCs w:val="0"/>
          <w:sz w:val="28"/>
          <w:szCs w:val="28"/>
          <w:lang w:val="en-US" w:eastAsia="zh-CN"/>
        </w:rPr>
      </w:pPr>
      <w:r>
        <w:rPr>
          <w:rFonts w:hint="default" w:ascii="华文仿宋" w:hAnsi="华文仿宋" w:cs="华文仿宋"/>
          <w:b w:val="0"/>
          <w:bCs w:val="0"/>
          <w:sz w:val="28"/>
          <w:szCs w:val="28"/>
          <w:lang w:val="en-US" w:eastAsia="zh-CN"/>
        </w:rPr>
        <w:t>（5）中标人所配备的管理人员及保洁人员不得少于采购人规定的数量（58人），每少于1人扣除人均费用的1.5倍。</w:t>
      </w:r>
    </w:p>
    <w:p w14:paraId="72557CE2">
      <w:pPr>
        <w:pStyle w:val="3"/>
        <w:keepNext w:val="0"/>
        <w:widowControl w:val="0"/>
        <w:spacing w:line="500" w:lineRule="exact"/>
        <w:ind w:firstLine="567"/>
        <w:rPr>
          <w:rFonts w:hint="default" w:ascii="华文仿宋" w:hAnsi="华文仿宋" w:cs="华文仿宋"/>
          <w:b w:val="0"/>
          <w:bCs w:val="0"/>
          <w:sz w:val="28"/>
          <w:szCs w:val="28"/>
          <w:lang w:val="en-US" w:eastAsia="zh-CN"/>
        </w:rPr>
      </w:pPr>
      <w:r>
        <w:rPr>
          <w:rFonts w:hint="default" w:ascii="华文仿宋" w:hAnsi="华文仿宋" w:cs="华文仿宋"/>
          <w:b w:val="0"/>
          <w:bCs w:val="0"/>
          <w:sz w:val="28"/>
          <w:szCs w:val="28"/>
          <w:lang w:val="en-US" w:eastAsia="zh-CN"/>
        </w:rPr>
        <w:t>（6）中标人管理及服务的人员应积极配合采购人搞好服务育人工作，共同维护校园的安全稳定。</w:t>
      </w:r>
    </w:p>
    <w:p w14:paraId="18C8F28C">
      <w:pPr>
        <w:pStyle w:val="3"/>
        <w:keepNext w:val="0"/>
        <w:widowControl w:val="0"/>
        <w:spacing w:line="500" w:lineRule="exact"/>
        <w:ind w:firstLine="567"/>
        <w:rPr>
          <w:rFonts w:hint="default" w:ascii="华文仿宋" w:hAnsi="华文仿宋" w:cs="华文仿宋"/>
          <w:b w:val="0"/>
          <w:bCs w:val="0"/>
          <w:sz w:val="28"/>
          <w:szCs w:val="28"/>
          <w:lang w:val="en-US" w:eastAsia="zh-CN"/>
        </w:rPr>
      </w:pPr>
      <w:r>
        <w:rPr>
          <w:rFonts w:hint="default" w:ascii="华文仿宋" w:hAnsi="华文仿宋" w:cs="华文仿宋"/>
          <w:b w:val="0"/>
          <w:bCs w:val="0"/>
          <w:sz w:val="28"/>
          <w:szCs w:val="28"/>
          <w:lang w:val="en-US" w:eastAsia="zh-CN"/>
        </w:rPr>
        <w:t>（7）中标人不得开展清洁与保洁工作之外的其他任何经营性活动（包括饮食服务、代购代销商品等），否则，采购人有权随时终止合同。</w:t>
      </w:r>
    </w:p>
    <w:p w14:paraId="7484D816">
      <w:pPr>
        <w:pStyle w:val="3"/>
        <w:keepNext w:val="0"/>
        <w:widowControl w:val="0"/>
        <w:spacing w:line="500" w:lineRule="exact"/>
        <w:ind w:firstLine="567"/>
        <w:rPr>
          <w:rFonts w:hint="default" w:ascii="华文仿宋" w:hAnsi="华文仿宋" w:cs="华文仿宋"/>
          <w:b w:val="0"/>
          <w:bCs w:val="0"/>
          <w:sz w:val="28"/>
          <w:szCs w:val="28"/>
          <w:lang w:val="en-US" w:eastAsia="zh-CN"/>
        </w:rPr>
      </w:pPr>
      <w:r>
        <w:rPr>
          <w:rFonts w:hint="default" w:ascii="华文仿宋" w:hAnsi="华文仿宋" w:cs="华文仿宋"/>
          <w:b w:val="0"/>
          <w:bCs w:val="0"/>
          <w:sz w:val="28"/>
          <w:szCs w:val="28"/>
          <w:lang w:val="en-US" w:eastAsia="zh-CN"/>
        </w:rPr>
        <w:t>（8）中标人在服务过程中，要严格遵守安全生产的有关规定，若造成其从业人员、采购人或第三方的财产损失和人员伤害时，由中标人承担全部责任，与采购人无任何责任。</w:t>
      </w:r>
    </w:p>
    <w:p w14:paraId="564565AE">
      <w:pPr>
        <w:pStyle w:val="3"/>
        <w:keepNext w:val="0"/>
        <w:widowControl w:val="0"/>
        <w:spacing w:line="500" w:lineRule="exact"/>
        <w:ind w:firstLine="567"/>
        <w:rPr>
          <w:rFonts w:hint="default" w:ascii="华文仿宋" w:hAnsi="华文仿宋" w:cs="华文仿宋"/>
          <w:b w:val="0"/>
          <w:bCs w:val="0"/>
          <w:sz w:val="28"/>
          <w:szCs w:val="28"/>
          <w:lang w:val="en-US" w:eastAsia="zh-CN"/>
        </w:rPr>
      </w:pPr>
      <w:r>
        <w:rPr>
          <w:rFonts w:hint="default" w:ascii="华文仿宋" w:hAnsi="华文仿宋" w:cs="华文仿宋"/>
          <w:b w:val="0"/>
          <w:bCs w:val="0"/>
          <w:sz w:val="28"/>
          <w:szCs w:val="28"/>
          <w:lang w:val="en-US" w:eastAsia="zh-CN"/>
        </w:rPr>
        <w:t>（9）校园内所有垃圾的外运与处理过程中各种关系由中标人协调，费用由其自理，环保、环卫部门的一切处罚由其负责，采购人不承担任何责任。</w:t>
      </w:r>
    </w:p>
    <w:p w14:paraId="39CE7BC9">
      <w:pPr>
        <w:pStyle w:val="3"/>
        <w:keepNext w:val="0"/>
        <w:widowControl w:val="0"/>
        <w:spacing w:line="500" w:lineRule="exact"/>
        <w:ind w:firstLine="567"/>
        <w:rPr>
          <w:rFonts w:hint="default" w:ascii="华文仿宋" w:hAnsi="华文仿宋" w:cs="华文仿宋"/>
          <w:b w:val="0"/>
          <w:bCs w:val="0"/>
          <w:sz w:val="28"/>
          <w:szCs w:val="28"/>
          <w:lang w:val="en-US" w:eastAsia="zh-CN"/>
        </w:rPr>
      </w:pPr>
      <w:r>
        <w:rPr>
          <w:rFonts w:hint="default" w:ascii="华文仿宋" w:hAnsi="华文仿宋" w:cs="华文仿宋"/>
          <w:b w:val="0"/>
          <w:bCs w:val="0"/>
          <w:sz w:val="28"/>
          <w:szCs w:val="28"/>
          <w:lang w:val="en-US" w:eastAsia="zh-CN"/>
        </w:rPr>
        <w:t>（10）清洁与保洁工作所用的水电费由采购人支付，如发现违规使用和浪费现象，采购人有权给予相应处罚。</w:t>
      </w:r>
    </w:p>
    <w:p w14:paraId="4E10648D">
      <w:pPr>
        <w:pStyle w:val="3"/>
        <w:keepNext w:val="0"/>
        <w:widowControl w:val="0"/>
        <w:spacing w:line="500" w:lineRule="exact"/>
        <w:ind w:firstLine="567"/>
        <w:rPr>
          <w:rFonts w:hint="default" w:ascii="华文仿宋" w:hAnsi="华文仿宋" w:cs="华文仿宋"/>
          <w:b w:val="0"/>
          <w:bCs w:val="0"/>
          <w:sz w:val="28"/>
          <w:szCs w:val="28"/>
          <w:lang w:val="en-US" w:eastAsia="zh-CN"/>
        </w:rPr>
      </w:pPr>
      <w:r>
        <w:rPr>
          <w:rFonts w:hint="default" w:ascii="华文仿宋" w:hAnsi="华文仿宋" w:cs="华文仿宋"/>
          <w:b w:val="0"/>
          <w:bCs w:val="0"/>
          <w:sz w:val="28"/>
          <w:szCs w:val="28"/>
          <w:lang w:val="en-US" w:eastAsia="zh-CN"/>
        </w:rPr>
        <w:t>（11）所有区域的垃圾桶、果皮箱等配置由采购人配置，中标人负责使用和管理。</w:t>
      </w:r>
    </w:p>
    <w:p w14:paraId="65BCC949">
      <w:pPr>
        <w:pStyle w:val="3"/>
        <w:keepNext w:val="0"/>
        <w:widowControl w:val="0"/>
        <w:spacing w:line="500" w:lineRule="exact"/>
        <w:ind w:firstLine="567"/>
        <w:rPr>
          <w:rFonts w:hint="default" w:ascii="华文仿宋" w:hAnsi="华文仿宋" w:cs="华文仿宋"/>
          <w:b w:val="0"/>
          <w:bCs w:val="0"/>
          <w:sz w:val="28"/>
          <w:szCs w:val="28"/>
          <w:lang w:val="en-US" w:eastAsia="zh-CN"/>
        </w:rPr>
      </w:pPr>
      <w:r>
        <w:rPr>
          <w:rFonts w:hint="default" w:ascii="华文仿宋" w:hAnsi="华文仿宋" w:cs="华文仿宋"/>
          <w:b w:val="0"/>
          <w:bCs w:val="0"/>
          <w:sz w:val="28"/>
          <w:szCs w:val="28"/>
          <w:lang w:val="en-US" w:eastAsia="zh-CN"/>
        </w:rPr>
        <w:t>（12）中标人要制定具有合法性、实用性和可操作性的各项应急预案。</w:t>
      </w:r>
    </w:p>
    <w:p w14:paraId="2F8C6C4A">
      <w:pPr>
        <w:pStyle w:val="3"/>
        <w:keepNext w:val="0"/>
        <w:widowControl w:val="0"/>
        <w:spacing w:line="500" w:lineRule="exact"/>
        <w:ind w:firstLine="567"/>
        <w:rPr>
          <w:rFonts w:hint="default" w:ascii="华文仿宋" w:hAnsi="华文仿宋" w:cs="华文仿宋"/>
          <w:b w:val="0"/>
          <w:bCs w:val="0"/>
          <w:sz w:val="28"/>
          <w:szCs w:val="28"/>
          <w:lang w:val="en-US" w:eastAsia="zh-CN"/>
        </w:rPr>
      </w:pPr>
      <w:r>
        <w:rPr>
          <w:rFonts w:hint="default" w:ascii="华文仿宋" w:hAnsi="华文仿宋" w:cs="华文仿宋"/>
          <w:b w:val="0"/>
          <w:bCs w:val="0"/>
          <w:sz w:val="28"/>
          <w:szCs w:val="28"/>
          <w:lang w:val="en-US" w:eastAsia="zh-CN"/>
        </w:rPr>
        <w:t>（13）中标人不得将项目分包或转包给任何单位和个人。否则，采购人有权即刻终止合同，并要求中标人赔偿相应损失。</w:t>
      </w:r>
    </w:p>
    <w:p w14:paraId="0548B5D2">
      <w:pPr>
        <w:pStyle w:val="3"/>
        <w:keepNext w:val="0"/>
        <w:widowControl w:val="0"/>
        <w:spacing w:line="500" w:lineRule="exact"/>
        <w:ind w:firstLine="567"/>
        <w:rPr>
          <w:rFonts w:hint="default" w:ascii="华文仿宋" w:hAnsi="华文仿宋" w:cs="华文仿宋"/>
          <w:b w:val="0"/>
          <w:bCs w:val="0"/>
          <w:sz w:val="28"/>
          <w:szCs w:val="28"/>
          <w:lang w:val="en-US" w:eastAsia="zh-CN"/>
        </w:rPr>
      </w:pPr>
      <w:r>
        <w:rPr>
          <w:rFonts w:hint="default" w:ascii="华文仿宋" w:hAnsi="华文仿宋" w:cs="华文仿宋"/>
          <w:b w:val="0"/>
          <w:bCs w:val="0"/>
          <w:sz w:val="28"/>
          <w:szCs w:val="28"/>
          <w:lang w:val="en-US" w:eastAsia="zh-CN"/>
        </w:rPr>
        <w:t>（14）中标人将其工作人员的基本情况向采购人备案，中标人所有工作人员的食宿由其自理。</w:t>
      </w:r>
    </w:p>
    <w:p w14:paraId="51E0AC31">
      <w:pPr>
        <w:pStyle w:val="3"/>
        <w:keepNext w:val="0"/>
        <w:widowControl w:val="0"/>
        <w:spacing w:line="500" w:lineRule="exact"/>
        <w:ind w:firstLine="567"/>
        <w:rPr>
          <w:rFonts w:hint="default" w:ascii="华文仿宋" w:hAnsi="华文仿宋" w:cs="华文仿宋"/>
          <w:b w:val="0"/>
          <w:bCs w:val="0"/>
          <w:sz w:val="28"/>
          <w:szCs w:val="28"/>
          <w:lang w:val="en-US" w:eastAsia="zh-CN"/>
        </w:rPr>
      </w:pPr>
      <w:r>
        <w:rPr>
          <w:rFonts w:hint="default" w:ascii="华文仿宋" w:hAnsi="华文仿宋" w:cs="华文仿宋"/>
          <w:b w:val="0"/>
          <w:bCs w:val="0"/>
          <w:sz w:val="28"/>
          <w:szCs w:val="28"/>
          <w:lang w:val="en-US" w:eastAsia="zh-CN"/>
        </w:rPr>
        <w:t>（15）中标人严格按《中华人民共和国劳动法》管理从业人员，用工期间应签订相应的劳动用工合同并按时发放工资；在劳动服务过程中所发生的一切劳动纠纷、债权、债务关系，或涉及国家法律、法规等方面的问题由中标人解决并承担完全责任。</w:t>
      </w:r>
    </w:p>
    <w:p w14:paraId="42463B61">
      <w:pPr>
        <w:pStyle w:val="3"/>
        <w:keepNext w:val="0"/>
        <w:widowControl w:val="0"/>
        <w:spacing w:line="500" w:lineRule="exact"/>
        <w:ind w:firstLine="567"/>
        <w:rPr>
          <w:rFonts w:hint="default" w:ascii="华文仿宋" w:hAnsi="华文仿宋" w:cs="华文仿宋"/>
          <w:b w:val="0"/>
          <w:bCs w:val="0"/>
          <w:sz w:val="28"/>
          <w:szCs w:val="28"/>
          <w:lang w:val="en-US" w:eastAsia="zh-CN"/>
        </w:rPr>
      </w:pPr>
      <w:r>
        <w:rPr>
          <w:rFonts w:hint="default" w:ascii="华文仿宋" w:hAnsi="华文仿宋" w:cs="华文仿宋"/>
          <w:b w:val="0"/>
          <w:bCs w:val="0"/>
          <w:sz w:val="28"/>
          <w:szCs w:val="28"/>
          <w:lang w:val="en-US" w:eastAsia="zh-CN"/>
        </w:rPr>
        <w:t>（16）因中标人未及时清理下水管（含雨水口）的杂物而造成管道堵塞的损失由其承担。</w:t>
      </w:r>
    </w:p>
    <w:p w14:paraId="6F6984AE">
      <w:pPr>
        <w:pStyle w:val="3"/>
        <w:keepNext w:val="0"/>
        <w:widowControl w:val="0"/>
        <w:spacing w:line="500" w:lineRule="exact"/>
        <w:ind w:firstLine="567"/>
        <w:rPr>
          <w:rFonts w:hint="default" w:ascii="华文仿宋" w:hAnsi="华文仿宋" w:cs="华文仿宋"/>
          <w:b w:val="0"/>
          <w:bCs w:val="0"/>
          <w:sz w:val="28"/>
          <w:szCs w:val="28"/>
          <w:lang w:val="en-US" w:eastAsia="zh-CN"/>
        </w:rPr>
      </w:pPr>
      <w:r>
        <w:rPr>
          <w:rFonts w:hint="default" w:ascii="华文仿宋" w:hAnsi="华文仿宋" w:cs="华文仿宋"/>
          <w:b w:val="0"/>
          <w:bCs w:val="0"/>
          <w:sz w:val="28"/>
          <w:szCs w:val="28"/>
          <w:lang w:val="en-US" w:eastAsia="zh-CN"/>
        </w:rPr>
        <w:t>（17）因中标人未按规范进行操作而造成地面、墙面及各类设施设备损坏的责任由其负责，并承担全部费用。</w:t>
      </w:r>
    </w:p>
    <w:p w14:paraId="1F41DF0C">
      <w:pPr>
        <w:pStyle w:val="3"/>
        <w:keepNext w:val="0"/>
        <w:widowControl w:val="0"/>
        <w:spacing w:line="500" w:lineRule="exact"/>
        <w:ind w:firstLine="567"/>
        <w:rPr>
          <w:rFonts w:hint="default" w:ascii="华文仿宋" w:hAnsi="华文仿宋" w:cs="华文仿宋"/>
          <w:b w:val="0"/>
          <w:bCs w:val="0"/>
          <w:sz w:val="28"/>
          <w:szCs w:val="28"/>
          <w:lang w:val="en-US" w:eastAsia="zh-CN"/>
        </w:rPr>
      </w:pPr>
      <w:r>
        <w:rPr>
          <w:rFonts w:hint="default" w:ascii="华文仿宋" w:hAnsi="华文仿宋" w:cs="华文仿宋"/>
          <w:b w:val="0"/>
          <w:bCs w:val="0"/>
          <w:sz w:val="28"/>
          <w:szCs w:val="28"/>
          <w:lang w:val="en-US" w:eastAsia="zh-CN"/>
        </w:rPr>
        <w:t>（18）中标人要积极配合采购人，自觉服从管理，否则采购人权根据实际情况酌情扣分，直至终止合同。</w:t>
      </w:r>
    </w:p>
    <w:p w14:paraId="2EAA9D7E">
      <w:pPr>
        <w:pStyle w:val="3"/>
        <w:keepNext w:val="0"/>
        <w:widowControl w:val="0"/>
        <w:spacing w:line="500" w:lineRule="exact"/>
        <w:ind w:firstLine="567"/>
        <w:rPr>
          <w:rFonts w:hint="default" w:ascii="华文仿宋" w:hAnsi="华文仿宋" w:cs="华文仿宋"/>
          <w:b w:val="0"/>
          <w:bCs w:val="0"/>
          <w:sz w:val="28"/>
          <w:szCs w:val="28"/>
          <w:lang w:val="en-US" w:eastAsia="zh-CN"/>
        </w:rPr>
      </w:pPr>
      <w:r>
        <w:rPr>
          <w:rFonts w:hint="default" w:ascii="华文仿宋" w:hAnsi="华文仿宋" w:cs="华文仿宋"/>
          <w:b w:val="0"/>
          <w:bCs w:val="0"/>
          <w:sz w:val="28"/>
          <w:szCs w:val="28"/>
          <w:lang w:val="en-US" w:eastAsia="zh-CN"/>
        </w:rPr>
        <w:t>（19）因中标人责任而造成的终止合同，中标人在承担全部责任的同时，采购人将没收中标人的相关费用。</w:t>
      </w:r>
    </w:p>
    <w:p w14:paraId="674F5F12">
      <w:pPr>
        <w:pStyle w:val="3"/>
        <w:keepNext w:val="0"/>
        <w:widowControl w:val="0"/>
        <w:spacing w:line="500" w:lineRule="exact"/>
        <w:ind w:firstLine="567"/>
        <w:rPr>
          <w:rFonts w:hint="default" w:ascii="华文仿宋" w:hAnsi="华文仿宋" w:cs="华文仿宋"/>
          <w:b w:val="0"/>
          <w:bCs w:val="0"/>
          <w:sz w:val="28"/>
          <w:szCs w:val="28"/>
          <w:lang w:val="en-US" w:eastAsia="zh-CN"/>
        </w:rPr>
      </w:pPr>
      <w:r>
        <w:rPr>
          <w:rFonts w:hint="default" w:ascii="华文仿宋" w:hAnsi="华文仿宋" w:cs="华文仿宋"/>
          <w:b w:val="0"/>
          <w:bCs w:val="0"/>
          <w:sz w:val="28"/>
          <w:szCs w:val="28"/>
          <w:lang w:val="en-US" w:eastAsia="zh-CN"/>
        </w:rPr>
        <w:t>（20）校区内的水电暖供给及各类设施损坏时，中标人应及时通知采购人，便于采购人尽快维修。</w:t>
      </w:r>
    </w:p>
    <w:p w14:paraId="755631ED">
      <w:pPr>
        <w:pStyle w:val="3"/>
        <w:keepNext w:val="0"/>
        <w:widowControl w:val="0"/>
        <w:spacing w:line="500" w:lineRule="exact"/>
        <w:ind w:firstLine="567"/>
        <w:rPr>
          <w:rFonts w:hint="default"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九、</w:t>
      </w:r>
      <w:r>
        <w:rPr>
          <w:rFonts w:hint="default" w:ascii="华文仿宋" w:hAnsi="华文仿宋" w:cs="华文仿宋"/>
          <w:b w:val="0"/>
          <w:bCs w:val="0"/>
          <w:sz w:val="28"/>
          <w:szCs w:val="28"/>
          <w:lang w:val="en-US" w:eastAsia="zh-CN"/>
        </w:rPr>
        <w:t>违约责任</w:t>
      </w:r>
    </w:p>
    <w:p w14:paraId="462B16FE">
      <w:pPr>
        <w:pStyle w:val="3"/>
        <w:keepNext w:val="0"/>
        <w:widowControl w:val="0"/>
        <w:spacing w:line="500" w:lineRule="exact"/>
        <w:ind w:firstLine="567"/>
        <w:rPr>
          <w:rFonts w:hint="default" w:ascii="华文仿宋" w:hAnsi="华文仿宋" w:cs="华文仿宋"/>
          <w:b w:val="0"/>
          <w:bCs w:val="0"/>
          <w:sz w:val="28"/>
          <w:szCs w:val="28"/>
          <w:lang w:val="en-US" w:eastAsia="zh-CN"/>
        </w:rPr>
      </w:pPr>
      <w:r>
        <w:rPr>
          <w:rFonts w:hint="default" w:ascii="华文仿宋" w:hAnsi="华文仿宋" w:cs="华文仿宋"/>
          <w:b w:val="0"/>
          <w:bCs w:val="0"/>
          <w:sz w:val="28"/>
          <w:szCs w:val="28"/>
          <w:lang w:val="en-US" w:eastAsia="zh-CN"/>
        </w:rPr>
        <w:t>中标人未按合同约定提供服务或未达到约定的服务标准的，采购人有权解除合同，并可依法向中标人主张合同总价款5%的违约金，造成损害的，可一并主张损害赔偿。采购人违约的，应当赔偿中标人的经济损失。</w:t>
      </w:r>
    </w:p>
    <w:p w14:paraId="45C5497A">
      <w:pPr>
        <w:pStyle w:val="3"/>
        <w:keepNext w:val="0"/>
        <w:widowControl w:val="0"/>
        <w:spacing w:line="500" w:lineRule="exact"/>
        <w:ind w:firstLine="567"/>
        <w:rPr>
          <w:rFonts w:hint="default"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十、</w:t>
      </w:r>
      <w:r>
        <w:rPr>
          <w:rFonts w:hint="default" w:ascii="华文仿宋" w:hAnsi="华文仿宋" w:cs="华文仿宋"/>
          <w:b w:val="0"/>
          <w:bCs w:val="0"/>
          <w:sz w:val="28"/>
          <w:szCs w:val="28"/>
          <w:lang w:val="en-US" w:eastAsia="zh-CN"/>
        </w:rPr>
        <w:t>其他事项</w:t>
      </w:r>
    </w:p>
    <w:p w14:paraId="6AFA3C2E">
      <w:pPr>
        <w:pStyle w:val="3"/>
        <w:keepNext w:val="0"/>
        <w:widowControl w:val="0"/>
        <w:spacing w:line="500" w:lineRule="exact"/>
        <w:ind w:firstLine="567"/>
        <w:rPr>
          <w:rFonts w:hint="default" w:ascii="华文仿宋" w:hAnsi="华文仿宋" w:cs="华文仿宋"/>
          <w:b w:val="0"/>
          <w:bCs w:val="0"/>
          <w:sz w:val="28"/>
          <w:szCs w:val="28"/>
          <w:lang w:val="en-US" w:eastAsia="zh-CN"/>
        </w:rPr>
      </w:pPr>
      <w:r>
        <w:rPr>
          <w:rFonts w:hint="default" w:ascii="华文仿宋" w:hAnsi="华文仿宋" w:cs="华文仿宋"/>
          <w:b w:val="0"/>
          <w:bCs w:val="0"/>
          <w:sz w:val="28"/>
          <w:szCs w:val="28"/>
          <w:lang w:val="en-US" w:eastAsia="zh-CN"/>
        </w:rPr>
        <w:t>遇有政策调整、机构改革、自然灾害等不可抗力，致使采购人和中标人双方不能继续履行合同时，合同实时终止，采购人和中标人双方互不承担违约责任。</w:t>
      </w:r>
    </w:p>
    <w:p w14:paraId="68BE2689">
      <w:pPr>
        <w:pStyle w:val="3"/>
        <w:keepNext w:val="0"/>
        <w:widowControl w:val="0"/>
        <w:spacing w:line="500" w:lineRule="exact"/>
        <w:ind w:firstLine="567"/>
        <w:rPr>
          <w:rFonts w:hint="eastAsia" w:ascii="华文仿宋" w:hAnsi="华文仿宋" w:eastAsia="华文仿宋" w:cs="华文仿宋"/>
          <w:b w:val="0"/>
          <w:bCs w:val="0"/>
          <w:sz w:val="28"/>
          <w:szCs w:val="28"/>
          <w:lang w:eastAsia="zh-CN"/>
        </w:rPr>
      </w:pPr>
      <w:r>
        <w:rPr>
          <w:rFonts w:hint="eastAsia" w:ascii="华文仿宋" w:hAnsi="华文仿宋" w:cs="华文仿宋"/>
          <w:b/>
          <w:bCs/>
          <w:sz w:val="28"/>
          <w:szCs w:val="28"/>
          <w:lang w:val="en-US" w:eastAsia="zh-CN"/>
        </w:rPr>
        <w:t>十一、</w:t>
      </w:r>
      <w:r>
        <w:rPr>
          <w:rFonts w:hint="eastAsia" w:ascii="华文仿宋" w:hAnsi="华文仿宋" w:eastAsia="华文仿宋" w:cs="华文仿宋"/>
          <w:b/>
          <w:bCs/>
          <w:sz w:val="28"/>
          <w:szCs w:val="28"/>
          <w:lang w:eastAsia="zh-CN"/>
        </w:rPr>
        <w:t>合同争议的解决：合同执行中发生争议的，当事人双方应协商解决，协商达不成一致时，可向采购人所在地的人民法院提请诉讼。</w:t>
      </w:r>
      <w:r>
        <w:rPr>
          <w:rFonts w:hint="eastAsia" w:ascii="华文仿宋" w:hAnsi="华文仿宋" w:eastAsia="华文仿宋" w:cs="华文仿宋"/>
          <w:b w:val="0"/>
          <w:bCs w:val="0"/>
          <w:sz w:val="28"/>
          <w:szCs w:val="28"/>
          <w:lang w:eastAsia="zh-CN"/>
        </w:rPr>
        <w:t xml:space="preserve"> </w:t>
      </w:r>
    </w:p>
    <w:p w14:paraId="016C5FD8">
      <w:pPr>
        <w:pStyle w:val="3"/>
        <w:keepNext w:val="0"/>
        <w:widowControl w:val="0"/>
        <w:spacing w:line="500" w:lineRule="exact"/>
        <w:ind w:firstLine="567"/>
        <w:rPr>
          <w:rFonts w:hint="eastAsia" w:ascii="华文仿宋" w:hAnsi="华文仿宋" w:cs="华文仿宋"/>
          <w:b/>
          <w:bCs/>
          <w:color w:val="000000"/>
          <w:sz w:val="28"/>
          <w:szCs w:val="28"/>
          <w:lang w:val="en-US" w:eastAsia="zh-CN"/>
        </w:rPr>
      </w:pPr>
      <w:r>
        <w:rPr>
          <w:rFonts w:hint="eastAsia" w:ascii="华文仿宋" w:hAnsi="华文仿宋" w:cs="华文仿宋"/>
          <w:b/>
          <w:bCs/>
          <w:sz w:val="28"/>
          <w:szCs w:val="28"/>
          <w:lang w:val="en-US" w:eastAsia="zh-CN"/>
        </w:rPr>
        <w:t>十二</w:t>
      </w:r>
      <w:r>
        <w:rPr>
          <w:rFonts w:hint="eastAsia" w:ascii="华文仿宋" w:hAnsi="华文仿宋" w:eastAsia="华文仿宋" w:cs="华文仿宋"/>
          <w:b/>
          <w:bCs/>
          <w:sz w:val="28"/>
          <w:szCs w:val="28"/>
          <w:lang w:eastAsia="zh-CN"/>
        </w:rPr>
        <w:t>、</w:t>
      </w:r>
      <w:r>
        <w:rPr>
          <w:rFonts w:hint="eastAsia" w:ascii="华文仿宋" w:hAnsi="华文仿宋" w:cs="华文仿宋"/>
          <w:b/>
          <w:bCs/>
          <w:color w:val="000000"/>
          <w:sz w:val="28"/>
          <w:szCs w:val="28"/>
          <w:lang w:val="en-US" w:eastAsia="zh-CN"/>
        </w:rPr>
        <w:t>合同一经签订，不得擅自变更、中止或者终止合同。对确需变更、调整或者中止、终止合同的，应按规定履行相应的手续。</w:t>
      </w:r>
    </w:p>
    <w:p w14:paraId="2518E836">
      <w:pPr>
        <w:pStyle w:val="3"/>
        <w:keepNext w:val="0"/>
        <w:widowControl w:val="0"/>
        <w:spacing w:line="500" w:lineRule="exact"/>
        <w:ind w:firstLine="567"/>
        <w:rPr>
          <w:rFonts w:hint="eastAsia" w:ascii="华文仿宋" w:hAnsi="华文仿宋" w:cs="华文仿宋"/>
          <w:b/>
          <w:bCs/>
          <w:color w:val="000000"/>
          <w:sz w:val="28"/>
          <w:szCs w:val="28"/>
          <w:lang w:val="en-US" w:eastAsia="zh-CN"/>
        </w:rPr>
      </w:pPr>
      <w:r>
        <w:rPr>
          <w:rFonts w:hint="eastAsia" w:ascii="华文仿宋" w:hAnsi="华文仿宋" w:cs="华文仿宋"/>
          <w:b/>
          <w:bCs/>
          <w:color w:val="000000"/>
          <w:sz w:val="28"/>
          <w:szCs w:val="28"/>
          <w:lang w:val="en-US" w:eastAsia="zh-CN"/>
        </w:rPr>
        <w:t>十三、本合同从签订之日起生效，合同规定的全部事宜和程序结束后终止。合同份数不低于四份，具体份数由采购人和中标供应商依需商定。</w:t>
      </w:r>
    </w:p>
    <w:p w14:paraId="688305D5">
      <w:pPr>
        <w:ind w:firstLine="566" w:firstLineChars="200"/>
        <w:rPr>
          <w:rFonts w:hint="default"/>
          <w:lang w:val="en-US" w:eastAsia="zh-CN"/>
        </w:rPr>
      </w:pPr>
      <w:r>
        <w:rPr>
          <w:rFonts w:hint="eastAsia" w:ascii="华文仿宋" w:hAnsi="华文仿宋" w:cs="华文仿宋"/>
          <w:b/>
          <w:bCs/>
          <w:color w:val="000000"/>
          <w:sz w:val="28"/>
          <w:szCs w:val="28"/>
          <w:lang w:val="en-US" w:eastAsia="zh-CN"/>
        </w:rPr>
        <w:t>十四、未尽事宜由双方在签订合同时具体明确，但不得超出采购文件合同草案规定。</w:t>
      </w:r>
    </w:p>
    <w:p w14:paraId="3E62187B">
      <w:pPr>
        <w:keepNext w:val="0"/>
        <w:keepLines w:val="0"/>
        <w:pageBreakBefore w:val="0"/>
        <w:widowControl/>
        <w:overflowPunct/>
        <w:topLinePunct w:val="0"/>
        <w:bidi w:val="0"/>
        <w:spacing w:line="560" w:lineRule="exact"/>
        <w:rPr>
          <w:rFonts w:hint="default" w:ascii="华文仿宋" w:hAnsi="华文仿宋" w:cs="华文仿宋"/>
          <w:sz w:val="28"/>
          <w:szCs w:val="28"/>
          <w:lang w:val="en-US" w:eastAsia="zh-CN"/>
        </w:rPr>
      </w:pPr>
    </w:p>
    <w:p w14:paraId="2228BA72">
      <w:pPr>
        <w:keepNext w:val="0"/>
        <w:keepLines w:val="0"/>
        <w:pageBreakBefore w:val="0"/>
        <w:widowControl/>
        <w:overflowPunct/>
        <w:topLinePunct w:val="0"/>
        <w:bidi w:val="0"/>
        <w:spacing w:line="560" w:lineRule="exact"/>
        <w:ind w:firstLine="566" w:firstLineChars="200"/>
        <w:rPr>
          <w:rFonts w:hint="default" w:ascii="华文仿宋" w:hAnsi="华文仿宋" w:cs="华文仿宋"/>
          <w:sz w:val="28"/>
          <w:szCs w:val="28"/>
          <w:lang w:val="en-US" w:eastAsia="zh-CN"/>
        </w:rPr>
      </w:pPr>
      <w:r>
        <w:rPr>
          <w:rFonts w:hint="default" w:ascii="华文仿宋" w:hAnsi="华文仿宋" w:cs="华文仿宋"/>
          <w:sz w:val="28"/>
          <w:szCs w:val="28"/>
          <w:lang w:val="en-US" w:eastAsia="zh-CN"/>
        </w:rPr>
        <w:t>附件：1.延安职业技术学院卫生清洁、保洁员岗位职责</w:t>
      </w:r>
    </w:p>
    <w:p w14:paraId="40CD5167">
      <w:pPr>
        <w:keepNext w:val="0"/>
        <w:keepLines w:val="0"/>
        <w:pageBreakBefore w:val="0"/>
        <w:widowControl/>
        <w:numPr>
          <w:ilvl w:val="0"/>
          <w:numId w:val="8"/>
        </w:numPr>
        <w:overflowPunct/>
        <w:topLinePunct w:val="0"/>
        <w:bidi w:val="0"/>
        <w:spacing w:line="560" w:lineRule="exact"/>
        <w:ind w:firstLine="1415" w:firstLineChars="500"/>
        <w:rPr>
          <w:rFonts w:hint="default" w:ascii="华文仿宋" w:hAnsi="华文仿宋" w:cs="华文仿宋"/>
          <w:sz w:val="28"/>
          <w:szCs w:val="28"/>
          <w:lang w:val="en-US" w:eastAsia="zh-CN"/>
        </w:rPr>
      </w:pPr>
      <w:r>
        <w:rPr>
          <w:rFonts w:hint="default" w:ascii="华文仿宋" w:hAnsi="华文仿宋" w:cs="华文仿宋"/>
          <w:sz w:val="28"/>
          <w:szCs w:val="28"/>
          <w:lang w:val="en-US" w:eastAsia="zh-CN"/>
        </w:rPr>
        <w:t>延安职业技术学院卫生检查考核表</w:t>
      </w:r>
    </w:p>
    <w:p w14:paraId="7E2A542D">
      <w:pPr>
        <w:keepNext w:val="0"/>
        <w:keepLines w:val="0"/>
        <w:pageBreakBefore w:val="0"/>
        <w:widowControl/>
        <w:numPr>
          <w:ilvl w:val="0"/>
          <w:numId w:val="0"/>
        </w:numPr>
        <w:overflowPunct/>
        <w:topLinePunct w:val="0"/>
        <w:bidi w:val="0"/>
        <w:spacing w:line="560" w:lineRule="exact"/>
        <w:jc w:val="both"/>
        <w:rPr>
          <w:rFonts w:hint="default" w:ascii="华文仿宋" w:hAnsi="华文仿宋" w:cs="华文仿宋"/>
          <w:sz w:val="28"/>
          <w:szCs w:val="28"/>
          <w:lang w:val="en-US" w:eastAsia="zh-CN"/>
        </w:rPr>
      </w:pPr>
    </w:p>
    <w:p w14:paraId="543A6A9C">
      <w:pPr>
        <w:keepNext w:val="0"/>
        <w:keepLines w:val="0"/>
        <w:pageBreakBefore w:val="0"/>
        <w:widowControl/>
        <w:numPr>
          <w:ilvl w:val="0"/>
          <w:numId w:val="0"/>
        </w:numPr>
        <w:overflowPunct/>
        <w:topLinePunct w:val="0"/>
        <w:bidi w:val="0"/>
        <w:spacing w:line="560" w:lineRule="exact"/>
        <w:jc w:val="both"/>
        <w:rPr>
          <w:rFonts w:hint="default" w:ascii="华文仿宋" w:hAnsi="华文仿宋" w:cs="华文仿宋"/>
          <w:sz w:val="28"/>
          <w:szCs w:val="28"/>
          <w:lang w:val="en-US" w:eastAsia="zh-CN"/>
        </w:rPr>
      </w:pPr>
    </w:p>
    <w:p w14:paraId="68C8188A">
      <w:pPr>
        <w:keepNext w:val="0"/>
        <w:keepLines w:val="0"/>
        <w:pageBreakBefore w:val="0"/>
        <w:widowControl/>
        <w:numPr>
          <w:ilvl w:val="0"/>
          <w:numId w:val="0"/>
        </w:numPr>
        <w:overflowPunct/>
        <w:topLinePunct w:val="0"/>
        <w:bidi w:val="0"/>
        <w:spacing w:line="560" w:lineRule="exact"/>
        <w:jc w:val="both"/>
        <w:rPr>
          <w:rFonts w:hint="default" w:ascii="华文仿宋" w:hAnsi="华文仿宋" w:cs="华文仿宋"/>
          <w:sz w:val="28"/>
          <w:szCs w:val="28"/>
          <w:lang w:val="en-US" w:eastAsia="zh-CN"/>
        </w:rPr>
      </w:pPr>
    </w:p>
    <w:p w14:paraId="3F341A44">
      <w:pPr>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附件1</w:t>
      </w:r>
    </w:p>
    <w:p w14:paraId="69C0F4F1">
      <w:pPr>
        <w:rPr>
          <w:rFonts w:hint="eastAsia" w:ascii="仿宋_GB2312" w:hAnsi="仿宋_GB2312" w:eastAsia="仿宋_GB2312" w:cs="仿宋_GB2312"/>
          <w:color w:val="auto"/>
          <w:sz w:val="32"/>
          <w:szCs w:val="32"/>
        </w:rPr>
      </w:pPr>
    </w:p>
    <w:p w14:paraId="39337B12">
      <w:pPr>
        <w:jc w:val="center"/>
        <w:rPr>
          <w:rFonts w:hint="eastAsia" w:ascii="黑体" w:hAnsi="黑体" w:eastAsia="黑体" w:cs="黑体"/>
          <w:b/>
          <w:color w:val="auto"/>
          <w:sz w:val="36"/>
          <w:szCs w:val="36"/>
        </w:rPr>
      </w:pPr>
      <w:r>
        <w:rPr>
          <w:rFonts w:hint="eastAsia" w:ascii="黑体" w:hAnsi="黑体" w:eastAsia="黑体" w:cs="黑体"/>
          <w:b w:val="0"/>
          <w:bCs/>
          <w:color w:val="auto"/>
          <w:sz w:val="36"/>
          <w:szCs w:val="36"/>
        </w:rPr>
        <w:t>延安职业技术学院清洁、保洁员岗位职责</w:t>
      </w:r>
    </w:p>
    <w:p w14:paraId="1CFCE3AB">
      <w:pPr>
        <w:jc w:val="center"/>
        <w:rPr>
          <w:rFonts w:hint="eastAsia" w:ascii="仿宋_GB2312" w:hAnsi="宋体" w:eastAsia="仿宋_GB2312" w:cs="Times New Roman"/>
          <w:b/>
          <w:color w:val="auto"/>
          <w:sz w:val="24"/>
        </w:rPr>
      </w:pPr>
    </w:p>
    <w:p w14:paraId="430B0B9A">
      <w:pPr>
        <w:keepNext w:val="0"/>
        <w:keepLines w:val="0"/>
        <w:pageBreakBefore w:val="0"/>
        <w:widowControl/>
        <w:overflowPunct/>
        <w:topLinePunct w:val="0"/>
        <w:bidi w:val="0"/>
        <w:spacing w:line="560" w:lineRule="exact"/>
        <w:ind w:firstLine="566" w:firstLineChars="200"/>
        <w:rPr>
          <w:rFonts w:hint="eastAsia" w:ascii="华文仿宋" w:hAnsi="华文仿宋" w:cs="华文仿宋"/>
          <w:sz w:val="28"/>
          <w:szCs w:val="28"/>
          <w:lang w:val="en-US" w:eastAsia="zh-CN"/>
        </w:rPr>
      </w:pPr>
      <w:r>
        <w:rPr>
          <w:rFonts w:hint="eastAsia" w:ascii="华文仿宋" w:hAnsi="华文仿宋" w:cs="华文仿宋"/>
          <w:sz w:val="28"/>
          <w:szCs w:val="28"/>
          <w:lang w:val="en-US" w:eastAsia="zh-CN"/>
        </w:rPr>
        <w:t>1.每日认真负责清除清洁区域内的垃圾、污物，不得积存，所有区域当天至少清扫3次以上，并且保证清洁区域清洁，无痰迹、无杂物、废纸、烟头、果皮、泡泡糖等遗物；顶棚无蛛网，墙壁无乱涂乱刻，全天保洁服务。</w:t>
      </w:r>
    </w:p>
    <w:p w14:paraId="12EF4E65">
      <w:pPr>
        <w:keepNext w:val="0"/>
        <w:keepLines w:val="0"/>
        <w:pageBreakBefore w:val="0"/>
        <w:widowControl/>
        <w:overflowPunct/>
        <w:topLinePunct w:val="0"/>
        <w:bidi w:val="0"/>
        <w:spacing w:line="560" w:lineRule="exact"/>
        <w:ind w:firstLine="566" w:firstLineChars="200"/>
        <w:rPr>
          <w:rFonts w:hint="eastAsia" w:ascii="华文仿宋" w:hAnsi="华文仿宋" w:cs="华文仿宋"/>
          <w:sz w:val="28"/>
          <w:szCs w:val="28"/>
          <w:lang w:val="en-US" w:eastAsia="zh-CN"/>
        </w:rPr>
      </w:pPr>
      <w:r>
        <w:rPr>
          <w:rFonts w:hint="eastAsia" w:ascii="华文仿宋" w:hAnsi="华文仿宋" w:cs="华文仿宋"/>
          <w:sz w:val="28"/>
          <w:szCs w:val="28"/>
          <w:lang w:val="en-US" w:eastAsia="zh-CN"/>
        </w:rPr>
        <w:t>2.洗手间每天至少要打扫5次以上，做到无污垢、无杂物，地面清洁，无积水，无揭地漏现象，全天保洁服务。</w:t>
      </w:r>
    </w:p>
    <w:p w14:paraId="4925B92A">
      <w:pPr>
        <w:keepNext w:val="0"/>
        <w:keepLines w:val="0"/>
        <w:pageBreakBefore w:val="0"/>
        <w:widowControl/>
        <w:overflowPunct/>
        <w:topLinePunct w:val="0"/>
        <w:bidi w:val="0"/>
        <w:spacing w:line="560" w:lineRule="exact"/>
        <w:ind w:firstLine="566" w:firstLineChars="200"/>
        <w:rPr>
          <w:rFonts w:hint="eastAsia" w:ascii="华文仿宋" w:hAnsi="华文仿宋" w:cs="华文仿宋"/>
          <w:sz w:val="28"/>
          <w:szCs w:val="28"/>
          <w:lang w:val="en-US" w:eastAsia="zh-CN"/>
        </w:rPr>
      </w:pPr>
      <w:r>
        <w:rPr>
          <w:rFonts w:hint="eastAsia" w:ascii="华文仿宋" w:hAnsi="华文仿宋" w:cs="华文仿宋"/>
          <w:sz w:val="28"/>
          <w:szCs w:val="28"/>
          <w:lang w:val="en-US" w:eastAsia="zh-CN"/>
        </w:rPr>
        <w:t>3.暖气片等公共物品无积灰、无杂物，垃圾箱（桶）要及时清理，垃圾箱（桶）周围干净整洁，保持外表洁净。</w:t>
      </w:r>
    </w:p>
    <w:p w14:paraId="7C920899">
      <w:pPr>
        <w:keepNext w:val="0"/>
        <w:keepLines w:val="0"/>
        <w:pageBreakBefore w:val="0"/>
        <w:widowControl/>
        <w:overflowPunct/>
        <w:topLinePunct w:val="0"/>
        <w:bidi w:val="0"/>
        <w:spacing w:line="560" w:lineRule="exact"/>
        <w:ind w:firstLine="566" w:firstLineChars="200"/>
        <w:rPr>
          <w:rFonts w:hint="eastAsia" w:ascii="华文仿宋" w:hAnsi="华文仿宋" w:cs="华文仿宋"/>
          <w:sz w:val="28"/>
          <w:szCs w:val="28"/>
          <w:lang w:val="en-US" w:eastAsia="zh-CN"/>
        </w:rPr>
      </w:pPr>
      <w:r>
        <w:rPr>
          <w:rFonts w:hint="eastAsia" w:ascii="华文仿宋" w:hAnsi="华文仿宋" w:cs="华文仿宋"/>
          <w:sz w:val="28"/>
          <w:szCs w:val="28"/>
          <w:lang w:val="en-US" w:eastAsia="zh-CN"/>
        </w:rPr>
        <w:t>4.对清扫区域的墙壁、洗手间设施要经常检查，发现跑、滴、漏或损坏的要及时向维修部门或管理员报修。</w:t>
      </w:r>
    </w:p>
    <w:p w14:paraId="7582ED87">
      <w:pPr>
        <w:keepNext w:val="0"/>
        <w:keepLines w:val="0"/>
        <w:pageBreakBefore w:val="0"/>
        <w:widowControl/>
        <w:overflowPunct/>
        <w:topLinePunct w:val="0"/>
        <w:bidi w:val="0"/>
        <w:spacing w:line="560" w:lineRule="exact"/>
        <w:ind w:firstLine="566" w:firstLineChars="200"/>
        <w:rPr>
          <w:rFonts w:hint="eastAsia" w:ascii="仿宋_GB2312" w:hAnsi="宋体" w:eastAsia="仿宋_GB2312" w:cs="Times New Roman"/>
          <w:color w:val="auto"/>
          <w:sz w:val="28"/>
          <w:szCs w:val="28"/>
        </w:rPr>
      </w:pPr>
      <w:r>
        <w:rPr>
          <w:rFonts w:hint="eastAsia" w:ascii="华文仿宋" w:hAnsi="华文仿宋" w:cs="华文仿宋"/>
          <w:sz w:val="28"/>
          <w:szCs w:val="28"/>
          <w:lang w:val="en-US" w:eastAsia="zh-CN"/>
        </w:rPr>
        <w:br w:type="page"/>
      </w:r>
      <w:r>
        <w:rPr>
          <w:rFonts w:hint="eastAsia" w:ascii="仿宋_GB2312" w:hAnsi="仿宋_GB2312" w:eastAsia="仿宋_GB2312" w:cs="仿宋_GB2312"/>
          <w:color w:val="auto"/>
          <w:sz w:val="32"/>
          <w:szCs w:val="32"/>
        </w:rPr>
        <w:t>附件2</w:t>
      </w:r>
    </w:p>
    <w:p w14:paraId="2F0A155A">
      <w:pPr>
        <w:spacing w:line="560" w:lineRule="exact"/>
        <w:jc w:val="center"/>
        <w:rPr>
          <w:rFonts w:hint="eastAsia" w:ascii="Times New Roman" w:hAnsi="Times New Roman" w:eastAsia="宋体" w:cs="Times New Roman"/>
          <w:color w:val="auto"/>
          <w:kern w:val="2"/>
          <w:sz w:val="18"/>
          <w:szCs w:val="18"/>
          <w:lang w:val="en-US" w:eastAsia="zh-CN" w:bidi="ar-SA"/>
        </w:rPr>
      </w:pPr>
      <w:r>
        <w:rPr>
          <w:rFonts w:hint="eastAsia" w:ascii="黑体" w:hAnsi="黑体" w:eastAsia="黑体" w:cs="黑体"/>
          <w:color w:val="auto"/>
          <w:sz w:val="32"/>
          <w:szCs w:val="32"/>
        </w:rPr>
        <w:t>延安职业技术学院卫生</w:t>
      </w:r>
      <w:r>
        <w:rPr>
          <w:rFonts w:hint="eastAsia" w:ascii="黑体" w:hAnsi="黑体" w:eastAsia="黑体" w:cs="黑体"/>
          <w:color w:val="auto"/>
          <w:sz w:val="32"/>
          <w:szCs w:val="32"/>
          <w:lang w:val="en-US" w:eastAsia="zh-CN"/>
        </w:rPr>
        <w:t>检查考核表</w:t>
      </w:r>
    </w:p>
    <w:tbl>
      <w:tblPr>
        <w:tblStyle w:val="29"/>
        <w:tblW w:w="1016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8"/>
        <w:gridCol w:w="1976"/>
        <w:gridCol w:w="2637"/>
        <w:gridCol w:w="789"/>
        <w:gridCol w:w="1657"/>
        <w:gridCol w:w="1200"/>
        <w:gridCol w:w="1003"/>
      </w:tblGrid>
      <w:tr w14:paraId="307F54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105" w:hRule="atLeast"/>
          <w:jc w:val="center"/>
        </w:trPr>
        <w:tc>
          <w:tcPr>
            <w:tcW w:w="10160" w:type="dxa"/>
            <w:gridSpan w:val="7"/>
            <w:tcBorders>
              <w:top w:val="nil"/>
              <w:left w:val="nil"/>
              <w:bottom w:val="nil"/>
              <w:right w:val="nil"/>
            </w:tcBorders>
            <w:noWrap w:val="0"/>
            <w:vAlign w:val="center"/>
          </w:tcPr>
          <w:p w14:paraId="52377DC5">
            <w:pPr>
              <w:keepNext w:val="0"/>
              <w:keepLines w:val="0"/>
              <w:widowControl/>
              <w:suppressLineNumbers w:val="0"/>
              <w:jc w:val="center"/>
              <w:textAlignment w:val="center"/>
              <w:rPr>
                <w:rFonts w:hint="eastAsia" w:ascii="宋体" w:hAnsi="宋体" w:eastAsia="宋体" w:cs="宋体"/>
                <w:b/>
                <w:bCs/>
                <w:i w:val="0"/>
                <w:iCs w:val="0"/>
                <w:color w:val="auto"/>
                <w:sz w:val="36"/>
                <w:szCs w:val="36"/>
                <w:u w:val="none"/>
              </w:rPr>
            </w:pPr>
            <w:r>
              <w:rPr>
                <w:rStyle w:val="83"/>
                <w:color w:val="auto"/>
                <w:lang w:val="en-US" w:eastAsia="zh-CN" w:bidi="ar"/>
              </w:rPr>
              <w:t xml:space="preserve">   </w:t>
            </w:r>
            <w:r>
              <w:rPr>
                <w:rStyle w:val="84"/>
                <w:color w:val="auto"/>
                <w:lang w:val="en-US" w:eastAsia="zh-CN" w:bidi="ar"/>
              </w:rPr>
              <w:t xml:space="preserve">    </w:t>
            </w:r>
            <w:r>
              <w:rPr>
                <w:rStyle w:val="83"/>
                <w:color w:val="auto"/>
                <w:lang w:val="en-US" w:eastAsia="zh-CN" w:bidi="ar"/>
              </w:rPr>
              <w:t>年</w:t>
            </w:r>
            <w:r>
              <w:rPr>
                <w:rStyle w:val="84"/>
                <w:color w:val="auto"/>
                <w:lang w:val="en-US" w:eastAsia="zh-CN" w:bidi="ar"/>
              </w:rPr>
              <w:t xml:space="preserve">    </w:t>
            </w:r>
            <w:r>
              <w:rPr>
                <w:rStyle w:val="83"/>
                <w:color w:val="auto"/>
                <w:lang w:val="en-US" w:eastAsia="zh-CN" w:bidi="ar"/>
              </w:rPr>
              <w:t>月院本部卫生检查汇总表</w:t>
            </w:r>
          </w:p>
        </w:tc>
      </w:tr>
      <w:tr w14:paraId="7685F2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3" w:hRule="atLeast"/>
          <w:jc w:val="center"/>
        </w:trPr>
        <w:tc>
          <w:tcPr>
            <w:tcW w:w="2874" w:type="dxa"/>
            <w:gridSpan w:val="2"/>
            <w:tcBorders>
              <w:top w:val="single" w:color="000000" w:sz="4" w:space="0"/>
              <w:left w:val="single" w:color="000000" w:sz="4" w:space="0"/>
              <w:bottom w:val="single" w:color="000000" w:sz="4" w:space="0"/>
              <w:right w:val="single" w:color="000000" w:sz="4" w:space="0"/>
            </w:tcBorders>
            <w:noWrap w:val="0"/>
            <w:vAlign w:val="center"/>
          </w:tcPr>
          <w:p w14:paraId="7BACBBB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检查内容</w:t>
            </w:r>
          </w:p>
        </w:tc>
        <w:tc>
          <w:tcPr>
            <w:tcW w:w="2637" w:type="dxa"/>
            <w:tcBorders>
              <w:top w:val="single" w:color="000000" w:sz="4" w:space="0"/>
              <w:left w:val="single" w:color="000000" w:sz="4" w:space="0"/>
              <w:bottom w:val="single" w:color="000000" w:sz="4" w:space="0"/>
              <w:right w:val="single" w:color="000000" w:sz="4" w:space="0"/>
            </w:tcBorders>
            <w:noWrap w:val="0"/>
            <w:vAlign w:val="center"/>
          </w:tcPr>
          <w:p w14:paraId="213A47E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检查标准</w:t>
            </w:r>
          </w:p>
        </w:tc>
        <w:tc>
          <w:tcPr>
            <w:tcW w:w="789" w:type="dxa"/>
            <w:tcBorders>
              <w:top w:val="single" w:color="000000" w:sz="4" w:space="0"/>
              <w:left w:val="single" w:color="000000" w:sz="4" w:space="0"/>
              <w:bottom w:val="single" w:color="000000" w:sz="4" w:space="0"/>
              <w:right w:val="single" w:color="000000" w:sz="4" w:space="0"/>
            </w:tcBorders>
            <w:noWrap w:val="0"/>
            <w:vAlign w:val="center"/>
          </w:tcPr>
          <w:p w14:paraId="6531F29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图书馆</w:t>
            </w:r>
          </w:p>
        </w:tc>
        <w:tc>
          <w:tcPr>
            <w:tcW w:w="1657" w:type="dxa"/>
            <w:tcBorders>
              <w:top w:val="single" w:color="000000" w:sz="4" w:space="0"/>
              <w:left w:val="single" w:color="000000" w:sz="4" w:space="0"/>
              <w:bottom w:val="single" w:color="000000" w:sz="4" w:space="0"/>
              <w:right w:val="single" w:color="000000" w:sz="4" w:space="0"/>
            </w:tcBorders>
            <w:noWrap w:val="0"/>
            <w:vAlign w:val="center"/>
          </w:tcPr>
          <w:p w14:paraId="6BBCAC8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大学生活动中心</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14:paraId="2A62464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其他区域额</w:t>
            </w:r>
          </w:p>
        </w:tc>
        <w:tc>
          <w:tcPr>
            <w:tcW w:w="1003" w:type="dxa"/>
            <w:tcBorders>
              <w:top w:val="single" w:color="000000" w:sz="4" w:space="0"/>
              <w:left w:val="single" w:color="000000" w:sz="4" w:space="0"/>
              <w:bottom w:val="single" w:color="000000" w:sz="4" w:space="0"/>
              <w:right w:val="single" w:color="000000" w:sz="4" w:space="0"/>
            </w:tcBorders>
            <w:noWrap w:val="0"/>
            <w:vAlign w:val="center"/>
          </w:tcPr>
          <w:p w14:paraId="098D180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汇总得分</w:t>
            </w:r>
          </w:p>
        </w:tc>
      </w:tr>
      <w:tr w14:paraId="03105B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8" w:hRule="atLeast"/>
          <w:jc w:val="center"/>
        </w:trPr>
        <w:tc>
          <w:tcPr>
            <w:tcW w:w="898" w:type="dxa"/>
            <w:tcBorders>
              <w:top w:val="single" w:color="000000" w:sz="4" w:space="0"/>
              <w:left w:val="single" w:color="000000" w:sz="4" w:space="0"/>
              <w:bottom w:val="single" w:color="000000" w:sz="4" w:space="0"/>
              <w:right w:val="single" w:color="000000" w:sz="4" w:space="0"/>
            </w:tcBorders>
            <w:noWrap w:val="0"/>
            <w:vAlign w:val="center"/>
          </w:tcPr>
          <w:p w14:paraId="724F546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室内公共区域</w:t>
            </w:r>
          </w:p>
        </w:tc>
        <w:tc>
          <w:tcPr>
            <w:tcW w:w="1976" w:type="dxa"/>
            <w:tcBorders>
              <w:top w:val="nil"/>
              <w:left w:val="single" w:color="000000" w:sz="4" w:space="0"/>
              <w:bottom w:val="single" w:color="000000" w:sz="4" w:space="0"/>
              <w:right w:val="single" w:color="000000" w:sz="4" w:space="0"/>
            </w:tcBorders>
            <w:noWrap w:val="0"/>
            <w:vAlign w:val="center"/>
          </w:tcPr>
          <w:p w14:paraId="6BE5721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大厅、墙面、地面、天花板、电梯、门窗、标识标牌、照明灯具、垃圾桶等</w:t>
            </w:r>
          </w:p>
        </w:tc>
        <w:tc>
          <w:tcPr>
            <w:tcW w:w="2637" w:type="dxa"/>
            <w:tcBorders>
              <w:top w:val="nil"/>
              <w:left w:val="single" w:color="000000" w:sz="4" w:space="0"/>
              <w:bottom w:val="single" w:color="000000" w:sz="4" w:space="0"/>
              <w:right w:val="single" w:color="000000" w:sz="4" w:space="0"/>
            </w:tcBorders>
            <w:noWrap w:val="0"/>
            <w:vAlign w:val="center"/>
          </w:tcPr>
          <w:p w14:paraId="668898E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干净、无污迹、无废弃物、无积尘、无蜘蛛网、及时关闭门窗、桶内垃圾不超过2/3，摆放到位、及时关灯无长明灯</w:t>
            </w:r>
          </w:p>
        </w:tc>
        <w:tc>
          <w:tcPr>
            <w:tcW w:w="789" w:type="dxa"/>
            <w:tcBorders>
              <w:top w:val="single" w:color="000000" w:sz="4" w:space="0"/>
              <w:left w:val="single" w:color="000000" w:sz="4" w:space="0"/>
              <w:bottom w:val="single" w:color="000000" w:sz="4" w:space="0"/>
              <w:right w:val="single" w:color="000000" w:sz="4" w:space="0"/>
            </w:tcBorders>
            <w:noWrap w:val="0"/>
            <w:vAlign w:val="center"/>
          </w:tcPr>
          <w:p w14:paraId="2EAB2298">
            <w:pPr>
              <w:jc w:val="center"/>
              <w:rPr>
                <w:rFonts w:hint="eastAsia" w:ascii="宋体" w:hAnsi="宋体" w:eastAsia="宋体" w:cs="宋体"/>
                <w:i w:val="0"/>
                <w:iCs w:val="0"/>
                <w:color w:val="auto"/>
                <w:sz w:val="18"/>
                <w:szCs w:val="18"/>
                <w:u w:val="none"/>
              </w:rPr>
            </w:pPr>
          </w:p>
        </w:tc>
        <w:tc>
          <w:tcPr>
            <w:tcW w:w="1657" w:type="dxa"/>
            <w:tcBorders>
              <w:top w:val="single" w:color="000000" w:sz="4" w:space="0"/>
              <w:left w:val="single" w:color="000000" w:sz="4" w:space="0"/>
              <w:bottom w:val="single" w:color="000000" w:sz="4" w:space="0"/>
              <w:right w:val="single" w:color="000000" w:sz="4" w:space="0"/>
            </w:tcBorders>
            <w:noWrap w:val="0"/>
            <w:vAlign w:val="center"/>
          </w:tcPr>
          <w:p w14:paraId="076315C8">
            <w:pPr>
              <w:jc w:val="center"/>
              <w:rPr>
                <w:rFonts w:hint="eastAsia" w:ascii="宋体" w:hAnsi="宋体" w:eastAsia="宋体" w:cs="宋体"/>
                <w:i w:val="0"/>
                <w:iCs w:val="0"/>
                <w:color w:val="auto"/>
                <w:sz w:val="18"/>
                <w:szCs w:val="18"/>
                <w:u w:val="none"/>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14:paraId="01D67A89">
            <w:pPr>
              <w:jc w:val="center"/>
              <w:rPr>
                <w:rFonts w:hint="eastAsia" w:ascii="宋体" w:hAnsi="宋体" w:eastAsia="宋体" w:cs="宋体"/>
                <w:i w:val="0"/>
                <w:iCs w:val="0"/>
                <w:color w:val="auto"/>
                <w:sz w:val="18"/>
                <w:szCs w:val="18"/>
                <w:u w:val="none"/>
              </w:rPr>
            </w:pPr>
          </w:p>
        </w:tc>
        <w:tc>
          <w:tcPr>
            <w:tcW w:w="1003" w:type="dxa"/>
            <w:tcBorders>
              <w:top w:val="single" w:color="000000" w:sz="4" w:space="0"/>
              <w:left w:val="single" w:color="000000" w:sz="4" w:space="0"/>
              <w:bottom w:val="single" w:color="000000" w:sz="4" w:space="0"/>
              <w:right w:val="single" w:color="000000" w:sz="4" w:space="0"/>
            </w:tcBorders>
            <w:noWrap w:val="0"/>
            <w:vAlign w:val="center"/>
          </w:tcPr>
          <w:p w14:paraId="35109857">
            <w:pPr>
              <w:jc w:val="center"/>
              <w:rPr>
                <w:rFonts w:hint="eastAsia" w:ascii="宋体" w:hAnsi="宋体" w:eastAsia="宋体" w:cs="宋体"/>
                <w:i w:val="0"/>
                <w:iCs w:val="0"/>
                <w:color w:val="auto"/>
                <w:sz w:val="18"/>
                <w:szCs w:val="18"/>
                <w:u w:val="none"/>
              </w:rPr>
            </w:pPr>
          </w:p>
        </w:tc>
      </w:tr>
      <w:tr w14:paraId="065CAE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jc w:val="center"/>
        </w:trPr>
        <w:tc>
          <w:tcPr>
            <w:tcW w:w="898" w:type="dxa"/>
            <w:tcBorders>
              <w:top w:val="single" w:color="000000" w:sz="4" w:space="0"/>
              <w:left w:val="single" w:color="000000" w:sz="4" w:space="0"/>
              <w:bottom w:val="single" w:color="000000" w:sz="4" w:space="0"/>
              <w:right w:val="single" w:color="000000" w:sz="4" w:space="0"/>
            </w:tcBorders>
            <w:noWrap w:val="0"/>
            <w:vAlign w:val="center"/>
          </w:tcPr>
          <w:p w14:paraId="25C8DD8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洗手间卫生清洁</w:t>
            </w:r>
          </w:p>
        </w:tc>
        <w:tc>
          <w:tcPr>
            <w:tcW w:w="1976" w:type="dxa"/>
            <w:tcBorders>
              <w:top w:val="single" w:color="000000" w:sz="4" w:space="0"/>
              <w:left w:val="single" w:color="000000" w:sz="4" w:space="0"/>
              <w:bottom w:val="single" w:color="000000" w:sz="4" w:space="0"/>
              <w:right w:val="single" w:color="000000" w:sz="4" w:space="0"/>
            </w:tcBorders>
            <w:noWrap w:val="0"/>
            <w:vAlign w:val="center"/>
          </w:tcPr>
          <w:p w14:paraId="5E7E3A7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地面、墙面、门窗、洗手台、水龙头、冲水阀、隔板、便池、小便器、照明灯具、纸篓、垃圾桶、空气洁净程度</w:t>
            </w:r>
          </w:p>
        </w:tc>
        <w:tc>
          <w:tcPr>
            <w:tcW w:w="2637" w:type="dxa"/>
            <w:tcBorders>
              <w:top w:val="nil"/>
              <w:left w:val="single" w:color="000000" w:sz="4" w:space="0"/>
              <w:bottom w:val="single" w:color="000000" w:sz="4" w:space="0"/>
              <w:right w:val="single" w:color="000000" w:sz="4" w:space="0"/>
            </w:tcBorders>
            <w:noWrap w:val="0"/>
            <w:vAlign w:val="center"/>
          </w:tcPr>
          <w:p w14:paraId="5029304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干净、无污迹、无废弃物、无积尘、无蜘蛛网、及时关闭门窗、桶内垃圾不超过2/3，摆放到位，及时关灯无长明灯，清新无臭味</w:t>
            </w:r>
          </w:p>
        </w:tc>
        <w:tc>
          <w:tcPr>
            <w:tcW w:w="789" w:type="dxa"/>
            <w:tcBorders>
              <w:top w:val="single" w:color="000000" w:sz="4" w:space="0"/>
              <w:left w:val="single" w:color="000000" w:sz="4" w:space="0"/>
              <w:bottom w:val="single" w:color="000000" w:sz="4" w:space="0"/>
              <w:right w:val="single" w:color="000000" w:sz="4" w:space="0"/>
            </w:tcBorders>
            <w:noWrap w:val="0"/>
            <w:vAlign w:val="center"/>
          </w:tcPr>
          <w:p w14:paraId="6CDA0E0E">
            <w:pPr>
              <w:jc w:val="center"/>
              <w:rPr>
                <w:rFonts w:hint="eastAsia" w:ascii="宋体" w:hAnsi="宋体" w:eastAsia="宋体" w:cs="宋体"/>
                <w:i w:val="0"/>
                <w:iCs w:val="0"/>
                <w:color w:val="auto"/>
                <w:sz w:val="18"/>
                <w:szCs w:val="18"/>
                <w:u w:val="none"/>
              </w:rPr>
            </w:pPr>
          </w:p>
        </w:tc>
        <w:tc>
          <w:tcPr>
            <w:tcW w:w="1657" w:type="dxa"/>
            <w:tcBorders>
              <w:top w:val="single" w:color="000000" w:sz="4" w:space="0"/>
              <w:left w:val="single" w:color="000000" w:sz="4" w:space="0"/>
              <w:bottom w:val="single" w:color="000000" w:sz="4" w:space="0"/>
              <w:right w:val="single" w:color="000000" w:sz="4" w:space="0"/>
            </w:tcBorders>
            <w:noWrap w:val="0"/>
            <w:vAlign w:val="center"/>
          </w:tcPr>
          <w:p w14:paraId="6C84C00A">
            <w:pPr>
              <w:jc w:val="center"/>
              <w:rPr>
                <w:rFonts w:hint="eastAsia" w:ascii="宋体" w:hAnsi="宋体" w:eastAsia="宋体" w:cs="宋体"/>
                <w:i w:val="0"/>
                <w:iCs w:val="0"/>
                <w:color w:val="auto"/>
                <w:sz w:val="18"/>
                <w:szCs w:val="18"/>
                <w:u w:val="none"/>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14:paraId="13579E3F">
            <w:pPr>
              <w:jc w:val="center"/>
              <w:rPr>
                <w:rFonts w:hint="eastAsia" w:ascii="宋体" w:hAnsi="宋体" w:eastAsia="宋体" w:cs="宋体"/>
                <w:i w:val="0"/>
                <w:iCs w:val="0"/>
                <w:color w:val="auto"/>
                <w:sz w:val="18"/>
                <w:szCs w:val="18"/>
                <w:u w:val="none"/>
              </w:rPr>
            </w:pPr>
          </w:p>
        </w:tc>
        <w:tc>
          <w:tcPr>
            <w:tcW w:w="1003" w:type="dxa"/>
            <w:tcBorders>
              <w:top w:val="single" w:color="000000" w:sz="4" w:space="0"/>
              <w:left w:val="single" w:color="000000" w:sz="4" w:space="0"/>
              <w:bottom w:val="single" w:color="000000" w:sz="4" w:space="0"/>
              <w:right w:val="single" w:color="000000" w:sz="4" w:space="0"/>
            </w:tcBorders>
            <w:noWrap w:val="0"/>
            <w:vAlign w:val="center"/>
          </w:tcPr>
          <w:p w14:paraId="3454144E">
            <w:pPr>
              <w:jc w:val="center"/>
              <w:rPr>
                <w:rFonts w:hint="eastAsia" w:ascii="宋体" w:hAnsi="宋体" w:eastAsia="宋体" w:cs="宋体"/>
                <w:i w:val="0"/>
                <w:iCs w:val="0"/>
                <w:color w:val="auto"/>
                <w:sz w:val="18"/>
                <w:szCs w:val="18"/>
                <w:u w:val="none"/>
              </w:rPr>
            </w:pPr>
          </w:p>
        </w:tc>
      </w:tr>
      <w:tr w14:paraId="44E4A7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3" w:hRule="atLeast"/>
          <w:jc w:val="center"/>
        </w:trPr>
        <w:tc>
          <w:tcPr>
            <w:tcW w:w="898" w:type="dxa"/>
            <w:tcBorders>
              <w:top w:val="single" w:color="000000" w:sz="4" w:space="0"/>
              <w:left w:val="single" w:color="000000" w:sz="4" w:space="0"/>
              <w:bottom w:val="single" w:color="000000" w:sz="4" w:space="0"/>
              <w:right w:val="single" w:color="000000" w:sz="4" w:space="0"/>
            </w:tcBorders>
            <w:noWrap w:val="0"/>
            <w:vAlign w:val="center"/>
          </w:tcPr>
          <w:p w14:paraId="58A3560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室外环境卫生与垃圾清运</w:t>
            </w:r>
          </w:p>
        </w:tc>
        <w:tc>
          <w:tcPr>
            <w:tcW w:w="1976" w:type="dxa"/>
            <w:tcBorders>
              <w:top w:val="single" w:color="000000" w:sz="4" w:space="0"/>
              <w:left w:val="single" w:color="000000" w:sz="4" w:space="0"/>
              <w:bottom w:val="single" w:color="000000" w:sz="4" w:space="0"/>
              <w:right w:val="single" w:color="000000" w:sz="4" w:space="0"/>
            </w:tcBorders>
            <w:noWrap w:val="0"/>
            <w:vAlign w:val="center"/>
          </w:tcPr>
          <w:p w14:paraId="7D9AD31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硬化路面、道路</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两旁、果皮箱、</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垃圾桶、各类设</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施设备、其他区域</w:t>
            </w:r>
          </w:p>
        </w:tc>
        <w:tc>
          <w:tcPr>
            <w:tcW w:w="2637" w:type="dxa"/>
            <w:tcBorders>
              <w:top w:val="single" w:color="000000" w:sz="4" w:space="0"/>
              <w:left w:val="single" w:color="000000" w:sz="4" w:space="0"/>
              <w:bottom w:val="single" w:color="000000" w:sz="4" w:space="0"/>
              <w:right w:val="single" w:color="000000" w:sz="4" w:space="0"/>
            </w:tcBorders>
            <w:noWrap w:val="0"/>
            <w:vAlign w:val="center"/>
          </w:tcPr>
          <w:p w14:paraId="57AFFFF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干净、无污迹、无废弃物、光亮、洁净、无积垢，箱（桶）内垃圾不能超过3/4，摆放到位</w:t>
            </w:r>
          </w:p>
        </w:tc>
        <w:tc>
          <w:tcPr>
            <w:tcW w:w="789" w:type="dxa"/>
            <w:tcBorders>
              <w:top w:val="single" w:color="000000" w:sz="4" w:space="0"/>
              <w:left w:val="single" w:color="000000" w:sz="4" w:space="0"/>
              <w:bottom w:val="single" w:color="000000" w:sz="4" w:space="0"/>
              <w:right w:val="single" w:color="000000" w:sz="4" w:space="0"/>
            </w:tcBorders>
            <w:noWrap w:val="0"/>
            <w:vAlign w:val="center"/>
          </w:tcPr>
          <w:p w14:paraId="7BE3AAD8">
            <w:pPr>
              <w:jc w:val="center"/>
              <w:rPr>
                <w:rFonts w:hint="eastAsia" w:ascii="宋体" w:hAnsi="宋体" w:eastAsia="宋体" w:cs="宋体"/>
                <w:i w:val="0"/>
                <w:iCs w:val="0"/>
                <w:color w:val="auto"/>
                <w:sz w:val="18"/>
                <w:szCs w:val="18"/>
                <w:u w:val="none"/>
              </w:rPr>
            </w:pPr>
          </w:p>
        </w:tc>
        <w:tc>
          <w:tcPr>
            <w:tcW w:w="1657" w:type="dxa"/>
            <w:tcBorders>
              <w:top w:val="single" w:color="000000" w:sz="4" w:space="0"/>
              <w:left w:val="single" w:color="000000" w:sz="4" w:space="0"/>
              <w:bottom w:val="single" w:color="000000" w:sz="4" w:space="0"/>
              <w:right w:val="single" w:color="000000" w:sz="4" w:space="0"/>
            </w:tcBorders>
            <w:noWrap w:val="0"/>
            <w:vAlign w:val="center"/>
          </w:tcPr>
          <w:p w14:paraId="41317638">
            <w:pPr>
              <w:jc w:val="center"/>
              <w:rPr>
                <w:rFonts w:hint="eastAsia" w:ascii="宋体" w:hAnsi="宋体" w:eastAsia="宋体" w:cs="宋体"/>
                <w:i w:val="0"/>
                <w:iCs w:val="0"/>
                <w:color w:val="auto"/>
                <w:sz w:val="18"/>
                <w:szCs w:val="18"/>
                <w:u w:val="none"/>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14:paraId="068B6B4E">
            <w:pPr>
              <w:jc w:val="center"/>
              <w:rPr>
                <w:rFonts w:hint="eastAsia" w:ascii="宋体" w:hAnsi="宋体" w:eastAsia="宋体" w:cs="宋体"/>
                <w:i w:val="0"/>
                <w:iCs w:val="0"/>
                <w:color w:val="auto"/>
                <w:sz w:val="18"/>
                <w:szCs w:val="18"/>
                <w:u w:val="none"/>
              </w:rPr>
            </w:pPr>
          </w:p>
        </w:tc>
        <w:tc>
          <w:tcPr>
            <w:tcW w:w="1003" w:type="dxa"/>
            <w:tcBorders>
              <w:top w:val="single" w:color="000000" w:sz="4" w:space="0"/>
              <w:left w:val="single" w:color="000000" w:sz="4" w:space="0"/>
              <w:bottom w:val="single" w:color="000000" w:sz="4" w:space="0"/>
              <w:right w:val="single" w:color="000000" w:sz="4" w:space="0"/>
            </w:tcBorders>
            <w:noWrap w:val="0"/>
            <w:vAlign w:val="center"/>
          </w:tcPr>
          <w:p w14:paraId="02D3B241">
            <w:pPr>
              <w:jc w:val="center"/>
              <w:rPr>
                <w:rFonts w:hint="eastAsia" w:ascii="宋体" w:hAnsi="宋体" w:eastAsia="宋体" w:cs="宋体"/>
                <w:i w:val="0"/>
                <w:iCs w:val="0"/>
                <w:color w:val="auto"/>
                <w:sz w:val="18"/>
                <w:szCs w:val="18"/>
                <w:u w:val="none"/>
              </w:rPr>
            </w:pPr>
          </w:p>
        </w:tc>
      </w:tr>
      <w:tr w14:paraId="2051AD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3" w:hRule="atLeast"/>
          <w:jc w:val="center"/>
        </w:trPr>
        <w:tc>
          <w:tcPr>
            <w:tcW w:w="898" w:type="dxa"/>
            <w:tcBorders>
              <w:top w:val="single" w:color="000000" w:sz="4" w:space="0"/>
              <w:left w:val="single" w:color="000000" w:sz="4" w:space="0"/>
              <w:bottom w:val="single" w:color="000000" w:sz="4" w:space="0"/>
              <w:right w:val="single" w:color="000000" w:sz="4" w:space="0"/>
            </w:tcBorders>
            <w:noWrap w:val="0"/>
            <w:vAlign w:val="center"/>
          </w:tcPr>
          <w:p w14:paraId="3CCC897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工作人员</w:t>
            </w:r>
          </w:p>
        </w:tc>
        <w:tc>
          <w:tcPr>
            <w:tcW w:w="1976" w:type="dxa"/>
            <w:tcBorders>
              <w:top w:val="single" w:color="000000" w:sz="4" w:space="0"/>
              <w:left w:val="single" w:color="000000" w:sz="4" w:space="0"/>
              <w:bottom w:val="single" w:color="000000" w:sz="4" w:space="0"/>
              <w:right w:val="single" w:color="000000" w:sz="4" w:space="0"/>
            </w:tcBorders>
            <w:noWrap w:val="0"/>
            <w:vAlign w:val="center"/>
          </w:tcPr>
          <w:p w14:paraId="6C83560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着工作服、无脱</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岗、工作时效性</w:t>
            </w:r>
          </w:p>
        </w:tc>
        <w:tc>
          <w:tcPr>
            <w:tcW w:w="2637" w:type="dxa"/>
            <w:tcBorders>
              <w:top w:val="single" w:color="000000" w:sz="4" w:space="0"/>
              <w:left w:val="single" w:color="000000" w:sz="4" w:space="0"/>
              <w:bottom w:val="single" w:color="000000" w:sz="4" w:space="0"/>
              <w:right w:val="single" w:color="000000" w:sz="4" w:space="0"/>
            </w:tcBorders>
            <w:noWrap w:val="0"/>
            <w:vAlign w:val="center"/>
          </w:tcPr>
          <w:p w14:paraId="4DEADCF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着工作服、无脱岗、及时高效</w:t>
            </w:r>
          </w:p>
        </w:tc>
        <w:tc>
          <w:tcPr>
            <w:tcW w:w="789" w:type="dxa"/>
            <w:tcBorders>
              <w:top w:val="single" w:color="000000" w:sz="4" w:space="0"/>
              <w:left w:val="single" w:color="000000" w:sz="4" w:space="0"/>
              <w:bottom w:val="single" w:color="000000" w:sz="4" w:space="0"/>
              <w:right w:val="single" w:color="000000" w:sz="4" w:space="0"/>
            </w:tcBorders>
            <w:noWrap w:val="0"/>
            <w:vAlign w:val="center"/>
          </w:tcPr>
          <w:p w14:paraId="43AB8CA9">
            <w:pPr>
              <w:jc w:val="center"/>
              <w:rPr>
                <w:rFonts w:hint="eastAsia" w:ascii="宋体" w:hAnsi="宋体" w:eastAsia="宋体" w:cs="宋体"/>
                <w:i w:val="0"/>
                <w:iCs w:val="0"/>
                <w:color w:val="auto"/>
                <w:sz w:val="18"/>
                <w:szCs w:val="18"/>
                <w:u w:val="none"/>
              </w:rPr>
            </w:pPr>
          </w:p>
        </w:tc>
        <w:tc>
          <w:tcPr>
            <w:tcW w:w="1657" w:type="dxa"/>
            <w:tcBorders>
              <w:top w:val="single" w:color="000000" w:sz="4" w:space="0"/>
              <w:left w:val="single" w:color="000000" w:sz="4" w:space="0"/>
              <w:bottom w:val="single" w:color="000000" w:sz="4" w:space="0"/>
              <w:right w:val="single" w:color="000000" w:sz="4" w:space="0"/>
            </w:tcBorders>
            <w:noWrap w:val="0"/>
            <w:vAlign w:val="center"/>
          </w:tcPr>
          <w:p w14:paraId="49114997">
            <w:pPr>
              <w:jc w:val="center"/>
              <w:rPr>
                <w:rFonts w:hint="eastAsia" w:ascii="宋体" w:hAnsi="宋体" w:eastAsia="宋体" w:cs="宋体"/>
                <w:i w:val="0"/>
                <w:iCs w:val="0"/>
                <w:color w:val="auto"/>
                <w:sz w:val="18"/>
                <w:szCs w:val="18"/>
                <w:u w:val="none"/>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14:paraId="62814524">
            <w:pPr>
              <w:jc w:val="center"/>
              <w:rPr>
                <w:rFonts w:hint="eastAsia" w:ascii="宋体" w:hAnsi="宋体" w:eastAsia="宋体" w:cs="宋体"/>
                <w:i w:val="0"/>
                <w:iCs w:val="0"/>
                <w:color w:val="auto"/>
                <w:sz w:val="18"/>
                <w:szCs w:val="18"/>
                <w:u w:val="none"/>
              </w:rPr>
            </w:pPr>
          </w:p>
        </w:tc>
        <w:tc>
          <w:tcPr>
            <w:tcW w:w="1003" w:type="dxa"/>
            <w:tcBorders>
              <w:top w:val="single" w:color="000000" w:sz="4" w:space="0"/>
              <w:left w:val="single" w:color="000000" w:sz="4" w:space="0"/>
              <w:bottom w:val="single" w:color="000000" w:sz="4" w:space="0"/>
              <w:right w:val="single" w:color="000000" w:sz="4" w:space="0"/>
            </w:tcBorders>
            <w:noWrap w:val="0"/>
            <w:vAlign w:val="center"/>
          </w:tcPr>
          <w:p w14:paraId="680C6B85">
            <w:pPr>
              <w:jc w:val="center"/>
              <w:rPr>
                <w:rFonts w:hint="eastAsia" w:ascii="宋体" w:hAnsi="宋体" w:eastAsia="宋体" w:cs="宋体"/>
                <w:i w:val="0"/>
                <w:iCs w:val="0"/>
                <w:color w:val="auto"/>
                <w:sz w:val="18"/>
                <w:szCs w:val="18"/>
                <w:u w:val="none"/>
              </w:rPr>
            </w:pPr>
          </w:p>
        </w:tc>
      </w:tr>
      <w:tr w14:paraId="657A1F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 w:hRule="atLeast"/>
          <w:jc w:val="center"/>
        </w:trPr>
        <w:tc>
          <w:tcPr>
            <w:tcW w:w="5511" w:type="dxa"/>
            <w:gridSpan w:val="3"/>
            <w:tcBorders>
              <w:top w:val="single" w:color="000000" w:sz="4" w:space="0"/>
              <w:left w:val="single" w:color="000000" w:sz="4" w:space="0"/>
              <w:bottom w:val="single" w:color="000000" w:sz="4" w:space="0"/>
              <w:right w:val="single" w:color="000000" w:sz="4" w:space="0"/>
            </w:tcBorders>
            <w:noWrap w:val="0"/>
            <w:vAlign w:val="center"/>
          </w:tcPr>
          <w:p w14:paraId="0DD736C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总分</w:t>
            </w:r>
          </w:p>
        </w:tc>
        <w:tc>
          <w:tcPr>
            <w:tcW w:w="4649" w:type="dxa"/>
            <w:gridSpan w:val="4"/>
            <w:tcBorders>
              <w:top w:val="single" w:color="000000" w:sz="4" w:space="0"/>
              <w:left w:val="single" w:color="000000" w:sz="4" w:space="0"/>
              <w:bottom w:val="single" w:color="000000" w:sz="4" w:space="0"/>
              <w:right w:val="single" w:color="000000" w:sz="4" w:space="0"/>
            </w:tcBorders>
            <w:noWrap w:val="0"/>
            <w:vAlign w:val="center"/>
          </w:tcPr>
          <w:p w14:paraId="18D161E1">
            <w:pPr>
              <w:jc w:val="center"/>
              <w:rPr>
                <w:rFonts w:hint="eastAsia" w:ascii="宋体" w:hAnsi="宋体" w:eastAsia="宋体" w:cs="宋体"/>
                <w:i w:val="0"/>
                <w:iCs w:val="0"/>
                <w:color w:val="auto"/>
                <w:sz w:val="20"/>
                <w:szCs w:val="20"/>
                <w:u w:val="none"/>
              </w:rPr>
            </w:pPr>
          </w:p>
        </w:tc>
      </w:tr>
      <w:tr w14:paraId="74635B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57" w:hRule="atLeast"/>
          <w:jc w:val="center"/>
        </w:trPr>
        <w:tc>
          <w:tcPr>
            <w:tcW w:w="2874" w:type="dxa"/>
            <w:gridSpan w:val="2"/>
            <w:tcBorders>
              <w:top w:val="single" w:color="000000" w:sz="4" w:space="0"/>
              <w:left w:val="single" w:color="000000" w:sz="4" w:space="0"/>
              <w:bottom w:val="single" w:color="000000" w:sz="4" w:space="0"/>
              <w:right w:val="single" w:color="000000" w:sz="4" w:space="0"/>
            </w:tcBorders>
            <w:noWrap w:val="0"/>
            <w:vAlign w:val="center"/>
          </w:tcPr>
          <w:p w14:paraId="316D040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备注</w:t>
            </w:r>
          </w:p>
        </w:tc>
        <w:tc>
          <w:tcPr>
            <w:tcW w:w="7286" w:type="dxa"/>
            <w:gridSpan w:val="5"/>
            <w:tcBorders>
              <w:top w:val="single" w:color="000000" w:sz="4" w:space="0"/>
              <w:left w:val="single" w:color="000000" w:sz="4" w:space="0"/>
              <w:bottom w:val="single" w:color="000000" w:sz="4" w:space="0"/>
              <w:right w:val="single" w:color="000000" w:sz="4" w:space="0"/>
            </w:tcBorders>
            <w:noWrap w:val="0"/>
            <w:vAlign w:val="center"/>
          </w:tcPr>
          <w:p w14:paraId="174BB1CC">
            <w:pPr>
              <w:keepNext w:val="0"/>
              <w:keepLines w:val="0"/>
              <w:widowControl/>
              <w:suppressLineNumbers w:val="0"/>
              <w:jc w:val="left"/>
              <w:textAlignment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kern w:val="0"/>
                <w:sz w:val="16"/>
                <w:szCs w:val="16"/>
                <w:u w:val="none"/>
                <w:lang w:val="en-US" w:eastAsia="zh-CN" w:bidi="ar"/>
              </w:rPr>
              <w:t>1、评分达到90分以上者（含90分）视为合格，不扣罚。</w:t>
            </w:r>
            <w:r>
              <w:rPr>
                <w:rFonts w:hint="eastAsia" w:ascii="宋体" w:hAnsi="宋体" w:eastAsia="宋体" w:cs="宋体"/>
                <w:i w:val="0"/>
                <w:iCs w:val="0"/>
                <w:color w:val="auto"/>
                <w:kern w:val="0"/>
                <w:sz w:val="16"/>
                <w:szCs w:val="16"/>
                <w:u w:val="none"/>
                <w:lang w:val="en-US" w:eastAsia="zh-CN" w:bidi="ar"/>
              </w:rPr>
              <w:br w:type="textWrapping"/>
            </w:r>
            <w:r>
              <w:rPr>
                <w:rFonts w:hint="eastAsia" w:ascii="宋体" w:hAnsi="宋体" w:eastAsia="宋体" w:cs="宋体"/>
                <w:i w:val="0"/>
                <w:iCs w:val="0"/>
                <w:color w:val="auto"/>
                <w:kern w:val="0"/>
                <w:sz w:val="16"/>
                <w:szCs w:val="16"/>
                <w:u w:val="none"/>
                <w:lang w:val="en-US" w:eastAsia="zh-CN" w:bidi="ar"/>
              </w:rPr>
              <w:t>2、评分在90分以下者视为不合格，按照分值高低和累计次数扣罚。按分值具体扣罚办法如下:</w:t>
            </w:r>
            <w:r>
              <w:rPr>
                <w:rFonts w:hint="eastAsia" w:ascii="宋体" w:hAnsi="宋体" w:eastAsia="宋体" w:cs="宋体"/>
                <w:i w:val="0"/>
                <w:iCs w:val="0"/>
                <w:color w:val="auto"/>
                <w:kern w:val="0"/>
                <w:sz w:val="16"/>
                <w:szCs w:val="16"/>
                <w:u w:val="none"/>
                <w:lang w:val="en-US" w:eastAsia="zh-CN" w:bidi="ar"/>
              </w:rPr>
              <w:br w:type="textWrapping"/>
            </w:r>
            <w:r>
              <w:rPr>
                <w:rFonts w:hint="eastAsia" w:ascii="宋体" w:hAnsi="宋体" w:eastAsia="宋体" w:cs="宋体"/>
                <w:i w:val="0"/>
                <w:iCs w:val="0"/>
                <w:color w:val="auto"/>
                <w:kern w:val="0"/>
                <w:sz w:val="16"/>
                <w:szCs w:val="16"/>
                <w:u w:val="none"/>
                <w:lang w:val="en-US" w:eastAsia="zh-CN" w:bidi="ar"/>
              </w:rPr>
              <w:t>①80-89.9分时，按年累计次数计算，第一次扣月平均费用的2%；第二次扣月平均费用的5%；第三次扣月平均费用的8%；第四次扣月平均费用的10%；第五次除扣月平均费用的15%外，采购人有权单方面终止合同，并且不补偿、不赔偿中标人任何费用。</w:t>
            </w:r>
            <w:r>
              <w:rPr>
                <w:rFonts w:hint="eastAsia" w:ascii="宋体" w:hAnsi="宋体" w:eastAsia="宋体" w:cs="宋体"/>
                <w:i w:val="0"/>
                <w:iCs w:val="0"/>
                <w:color w:val="auto"/>
                <w:kern w:val="0"/>
                <w:sz w:val="16"/>
                <w:szCs w:val="16"/>
                <w:u w:val="none"/>
                <w:lang w:val="en-US" w:eastAsia="zh-CN" w:bidi="ar"/>
              </w:rPr>
              <w:br w:type="textWrapping"/>
            </w:r>
            <w:r>
              <w:rPr>
                <w:rFonts w:hint="eastAsia" w:ascii="宋体" w:hAnsi="宋体" w:eastAsia="宋体" w:cs="宋体"/>
                <w:i w:val="0"/>
                <w:iCs w:val="0"/>
                <w:color w:val="auto"/>
                <w:kern w:val="0"/>
                <w:sz w:val="16"/>
                <w:szCs w:val="16"/>
                <w:u w:val="none"/>
                <w:lang w:val="en-US" w:eastAsia="zh-CN" w:bidi="ar"/>
              </w:rPr>
              <w:t>②70-79.9分时，按年累计次数计算，第一次扣月平均费用的5%，第二次扣月平均费用的8%；第三次扣月平均费用的10%；第四次扣除月平均费用的15%外；采购人有权单方面终止合同，并且不补偿、不赔偿中标人任何费用。</w:t>
            </w:r>
            <w:r>
              <w:rPr>
                <w:rFonts w:hint="eastAsia" w:ascii="宋体" w:hAnsi="宋体" w:eastAsia="宋体" w:cs="宋体"/>
                <w:i w:val="0"/>
                <w:iCs w:val="0"/>
                <w:color w:val="auto"/>
                <w:kern w:val="0"/>
                <w:sz w:val="16"/>
                <w:szCs w:val="16"/>
                <w:u w:val="none"/>
                <w:lang w:val="en-US" w:eastAsia="zh-CN" w:bidi="ar"/>
              </w:rPr>
              <w:br w:type="textWrapping"/>
            </w:r>
            <w:r>
              <w:rPr>
                <w:rFonts w:hint="eastAsia" w:ascii="宋体" w:hAnsi="宋体" w:eastAsia="宋体" w:cs="宋体"/>
                <w:i w:val="0"/>
                <w:iCs w:val="0"/>
                <w:color w:val="auto"/>
                <w:kern w:val="0"/>
                <w:sz w:val="16"/>
                <w:szCs w:val="16"/>
                <w:u w:val="none"/>
                <w:lang w:val="en-US" w:eastAsia="zh-CN" w:bidi="ar"/>
              </w:rPr>
              <w:t>③60-69.9分时，按年累计次数计算，第一次扣月平均费用的10%；第二次扣月平均费用的15%；第三次除扣月平均费用的20%外，采购人有权单方面终止合同，并且不补偿、不赔偿中标人任何费用。</w:t>
            </w:r>
            <w:r>
              <w:rPr>
                <w:rFonts w:hint="eastAsia" w:ascii="宋体" w:hAnsi="宋体" w:eastAsia="宋体" w:cs="宋体"/>
                <w:i w:val="0"/>
                <w:iCs w:val="0"/>
                <w:color w:val="auto"/>
                <w:kern w:val="0"/>
                <w:sz w:val="16"/>
                <w:szCs w:val="16"/>
                <w:u w:val="none"/>
                <w:lang w:val="en-US" w:eastAsia="zh-CN" w:bidi="ar"/>
              </w:rPr>
              <w:br w:type="textWrapping"/>
            </w:r>
            <w:r>
              <w:rPr>
                <w:rFonts w:hint="eastAsia" w:ascii="宋体" w:hAnsi="宋体" w:eastAsia="宋体" w:cs="宋体"/>
                <w:i w:val="0"/>
                <w:iCs w:val="0"/>
                <w:color w:val="auto"/>
                <w:kern w:val="0"/>
                <w:sz w:val="16"/>
                <w:szCs w:val="16"/>
                <w:u w:val="none"/>
                <w:lang w:val="en-US" w:eastAsia="zh-CN" w:bidi="ar"/>
              </w:rPr>
              <w:t>④低于60分时，采购人有权单方面终止合同，并且不补偿、不赔偿中标人任何费用。</w:t>
            </w:r>
          </w:p>
        </w:tc>
      </w:tr>
      <w:tr w14:paraId="2C9F6B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 w:hRule="atLeast"/>
          <w:jc w:val="center"/>
        </w:trPr>
        <w:tc>
          <w:tcPr>
            <w:tcW w:w="10160" w:type="dxa"/>
            <w:gridSpan w:val="7"/>
            <w:tcBorders>
              <w:top w:val="nil"/>
              <w:left w:val="nil"/>
              <w:bottom w:val="nil"/>
              <w:right w:val="nil"/>
            </w:tcBorders>
            <w:noWrap w:val="0"/>
            <w:vAlign w:val="center"/>
          </w:tcPr>
          <w:p w14:paraId="2A319A0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            考核人：                                 科室负责人：</w:t>
            </w:r>
          </w:p>
        </w:tc>
      </w:tr>
      <w:tr w14:paraId="57D049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 w:hRule="atLeast"/>
          <w:jc w:val="center"/>
        </w:trPr>
        <w:tc>
          <w:tcPr>
            <w:tcW w:w="10160" w:type="dxa"/>
            <w:gridSpan w:val="7"/>
            <w:tcBorders>
              <w:top w:val="nil"/>
              <w:left w:val="nil"/>
              <w:bottom w:val="nil"/>
              <w:right w:val="nil"/>
            </w:tcBorders>
            <w:noWrap w:val="0"/>
            <w:vAlign w:val="center"/>
          </w:tcPr>
          <w:p w14:paraId="503783F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            分管副处长：                             处长：</w:t>
            </w:r>
          </w:p>
        </w:tc>
      </w:tr>
    </w:tbl>
    <w:p w14:paraId="30A13C91">
      <w:pPr>
        <w:rPr>
          <w:rFonts w:hint="eastAsia" w:ascii="仿宋_GB2312" w:hAnsi="Times New Roman" w:eastAsia="仿宋_GB2312" w:cs="Times New Roman"/>
          <w:color w:val="auto"/>
          <w:sz w:val="30"/>
          <w:szCs w:val="30"/>
        </w:rPr>
      </w:pPr>
    </w:p>
    <w:tbl>
      <w:tblPr>
        <w:tblStyle w:val="29"/>
        <w:tblW w:w="0" w:type="auto"/>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56"/>
        <w:gridCol w:w="1249"/>
        <w:gridCol w:w="1660"/>
        <w:gridCol w:w="510"/>
        <w:gridCol w:w="510"/>
        <w:gridCol w:w="510"/>
        <w:gridCol w:w="513"/>
        <w:gridCol w:w="578"/>
        <w:gridCol w:w="578"/>
        <w:gridCol w:w="578"/>
        <w:gridCol w:w="578"/>
        <w:gridCol w:w="578"/>
        <w:gridCol w:w="582"/>
      </w:tblGrid>
      <w:tr w14:paraId="6368D5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9080" w:type="dxa"/>
            <w:gridSpan w:val="13"/>
            <w:tcBorders>
              <w:top w:val="nil"/>
              <w:left w:val="nil"/>
              <w:bottom w:val="nil"/>
              <w:right w:val="nil"/>
            </w:tcBorders>
            <w:noWrap/>
            <w:vAlign w:val="center"/>
          </w:tcPr>
          <w:p w14:paraId="0657D2CD">
            <w:pPr>
              <w:keepNext w:val="0"/>
              <w:keepLines w:val="0"/>
              <w:widowControl/>
              <w:suppressLineNumbers w:val="0"/>
              <w:jc w:val="center"/>
              <w:textAlignment w:val="center"/>
              <w:rPr>
                <w:rFonts w:hint="eastAsia" w:ascii="宋体" w:hAnsi="宋体" w:eastAsia="宋体" w:cs="宋体"/>
                <w:b/>
                <w:bCs/>
                <w:i w:val="0"/>
                <w:iCs w:val="0"/>
                <w:color w:val="auto"/>
                <w:sz w:val="36"/>
                <w:szCs w:val="36"/>
                <w:u w:val="none"/>
              </w:rPr>
            </w:pPr>
            <w:r>
              <w:rPr>
                <w:rFonts w:hint="eastAsia" w:ascii="宋体" w:hAnsi="宋体" w:eastAsia="宋体" w:cs="宋体"/>
                <w:b/>
                <w:bCs/>
                <w:i w:val="0"/>
                <w:iCs w:val="0"/>
                <w:color w:val="auto"/>
                <w:kern w:val="0"/>
                <w:sz w:val="36"/>
                <w:szCs w:val="36"/>
                <w:u w:val="none"/>
                <w:lang w:val="en-US" w:eastAsia="zh-CN" w:bidi="ar"/>
              </w:rPr>
              <w:t xml:space="preserve">   </w:t>
            </w:r>
            <w:r>
              <w:rPr>
                <w:rFonts w:hint="eastAsia" w:ascii="宋体" w:hAnsi="宋体" w:eastAsia="宋体" w:cs="宋体"/>
                <w:b/>
                <w:bCs/>
                <w:i w:val="0"/>
                <w:iCs w:val="0"/>
                <w:color w:val="auto"/>
                <w:kern w:val="0"/>
                <w:sz w:val="36"/>
                <w:szCs w:val="36"/>
                <w:u w:val="single"/>
                <w:lang w:val="en-US" w:eastAsia="zh-CN" w:bidi="ar"/>
              </w:rPr>
              <w:t xml:space="preserve">    </w:t>
            </w:r>
            <w:r>
              <w:rPr>
                <w:rFonts w:hint="eastAsia" w:ascii="宋体" w:hAnsi="宋体" w:eastAsia="宋体" w:cs="宋体"/>
                <w:b/>
                <w:bCs/>
                <w:i w:val="0"/>
                <w:iCs w:val="0"/>
                <w:color w:val="auto"/>
                <w:kern w:val="0"/>
                <w:sz w:val="36"/>
                <w:szCs w:val="36"/>
                <w:u w:val="none"/>
                <w:lang w:val="en-US" w:eastAsia="zh-CN" w:bidi="ar"/>
              </w:rPr>
              <w:t>年</w:t>
            </w:r>
            <w:r>
              <w:rPr>
                <w:rFonts w:hint="eastAsia" w:ascii="宋体" w:hAnsi="宋体" w:eastAsia="宋体" w:cs="宋体"/>
                <w:b/>
                <w:bCs/>
                <w:i w:val="0"/>
                <w:iCs w:val="0"/>
                <w:color w:val="auto"/>
                <w:kern w:val="0"/>
                <w:sz w:val="36"/>
                <w:szCs w:val="36"/>
                <w:u w:val="single"/>
                <w:lang w:val="en-US" w:eastAsia="zh-CN" w:bidi="ar"/>
              </w:rPr>
              <w:t xml:space="preserve">    </w:t>
            </w:r>
            <w:r>
              <w:rPr>
                <w:rFonts w:hint="eastAsia" w:ascii="宋体" w:hAnsi="宋体" w:eastAsia="宋体" w:cs="宋体"/>
                <w:b/>
                <w:bCs/>
                <w:i w:val="0"/>
                <w:iCs w:val="0"/>
                <w:color w:val="auto"/>
                <w:kern w:val="0"/>
                <w:sz w:val="36"/>
                <w:szCs w:val="36"/>
                <w:u w:val="none"/>
                <w:lang w:val="en-US" w:eastAsia="zh-CN" w:bidi="ar"/>
              </w:rPr>
              <w:t>月院本部卫生检查考核表（图书馆）</w:t>
            </w:r>
          </w:p>
        </w:tc>
      </w:tr>
      <w:tr w14:paraId="2582E4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1905" w:type="dxa"/>
            <w:gridSpan w:val="2"/>
            <w:vMerge w:val="restart"/>
            <w:tcBorders>
              <w:top w:val="single" w:color="000000" w:sz="4" w:space="0"/>
              <w:left w:val="single" w:color="000000" w:sz="4" w:space="0"/>
              <w:bottom w:val="single" w:color="000000" w:sz="4" w:space="0"/>
              <w:right w:val="single" w:color="000000" w:sz="4" w:space="0"/>
            </w:tcBorders>
            <w:noWrap/>
            <w:vAlign w:val="center"/>
          </w:tcPr>
          <w:p w14:paraId="4300CAEF">
            <w:pPr>
              <w:keepNext w:val="0"/>
              <w:keepLines w:val="0"/>
              <w:widowControl/>
              <w:suppressLineNumbers w:val="0"/>
              <w:jc w:val="center"/>
              <w:textAlignment w:val="center"/>
              <w:rPr>
                <w:rFonts w:hint="eastAsia" w:ascii="宋体" w:hAnsi="宋体" w:eastAsia="宋体" w:cs="宋体"/>
                <w:i w:val="0"/>
                <w:iCs w:val="0"/>
                <w:color w:val="auto"/>
                <w:sz w:val="12"/>
                <w:szCs w:val="12"/>
                <w:u w:val="none"/>
              </w:rPr>
            </w:pPr>
            <w:r>
              <w:rPr>
                <w:rFonts w:hint="eastAsia" w:ascii="宋体" w:hAnsi="宋体" w:eastAsia="宋体" w:cs="宋体"/>
                <w:i w:val="0"/>
                <w:iCs w:val="0"/>
                <w:color w:val="auto"/>
                <w:kern w:val="0"/>
                <w:sz w:val="12"/>
                <w:szCs w:val="12"/>
                <w:u w:val="none"/>
                <w:lang w:val="en-US" w:eastAsia="zh-CN" w:bidi="ar"/>
              </w:rPr>
              <w:t>检查内容</w:t>
            </w:r>
          </w:p>
        </w:tc>
        <w:tc>
          <w:tcPr>
            <w:tcW w:w="1660" w:type="dxa"/>
            <w:vMerge w:val="restart"/>
            <w:tcBorders>
              <w:top w:val="single" w:color="000000" w:sz="4" w:space="0"/>
              <w:left w:val="single" w:color="000000" w:sz="4" w:space="0"/>
              <w:bottom w:val="single" w:color="000000" w:sz="4" w:space="0"/>
              <w:right w:val="single" w:color="000000" w:sz="4" w:space="0"/>
            </w:tcBorders>
            <w:noWrap/>
            <w:vAlign w:val="center"/>
          </w:tcPr>
          <w:p w14:paraId="43B7997E">
            <w:pPr>
              <w:keepNext w:val="0"/>
              <w:keepLines w:val="0"/>
              <w:widowControl/>
              <w:suppressLineNumbers w:val="0"/>
              <w:jc w:val="center"/>
              <w:textAlignment w:val="center"/>
              <w:rPr>
                <w:rFonts w:hint="eastAsia" w:ascii="宋体" w:hAnsi="宋体" w:eastAsia="宋体" w:cs="宋体"/>
                <w:i w:val="0"/>
                <w:iCs w:val="0"/>
                <w:color w:val="auto"/>
                <w:sz w:val="12"/>
                <w:szCs w:val="12"/>
                <w:u w:val="none"/>
              </w:rPr>
            </w:pPr>
            <w:r>
              <w:rPr>
                <w:rFonts w:hint="eastAsia" w:ascii="宋体" w:hAnsi="宋体" w:eastAsia="宋体" w:cs="宋体"/>
                <w:i w:val="0"/>
                <w:iCs w:val="0"/>
                <w:color w:val="auto"/>
                <w:kern w:val="0"/>
                <w:sz w:val="12"/>
                <w:szCs w:val="12"/>
                <w:u w:val="none"/>
                <w:lang w:val="en-US" w:eastAsia="zh-CN" w:bidi="ar"/>
              </w:rPr>
              <w:t>检查标准</w:t>
            </w:r>
          </w:p>
        </w:tc>
        <w:tc>
          <w:tcPr>
            <w:tcW w:w="2043" w:type="dxa"/>
            <w:gridSpan w:val="4"/>
            <w:tcBorders>
              <w:top w:val="single" w:color="000000" w:sz="4" w:space="0"/>
              <w:left w:val="single" w:color="000000" w:sz="4" w:space="0"/>
              <w:bottom w:val="single" w:color="000000" w:sz="4" w:space="0"/>
              <w:right w:val="single" w:color="000000" w:sz="4" w:space="0"/>
            </w:tcBorders>
            <w:noWrap/>
            <w:vAlign w:val="center"/>
          </w:tcPr>
          <w:p w14:paraId="47D33B6E">
            <w:pPr>
              <w:keepNext w:val="0"/>
              <w:keepLines w:val="0"/>
              <w:widowControl/>
              <w:suppressLineNumbers w:val="0"/>
              <w:jc w:val="center"/>
              <w:textAlignment w:val="center"/>
              <w:rPr>
                <w:rFonts w:hint="eastAsia" w:ascii="宋体" w:hAnsi="宋体" w:eastAsia="宋体" w:cs="宋体"/>
                <w:i w:val="0"/>
                <w:iCs w:val="0"/>
                <w:color w:val="auto"/>
                <w:sz w:val="12"/>
                <w:szCs w:val="12"/>
                <w:u w:val="none"/>
              </w:rPr>
            </w:pPr>
            <w:r>
              <w:rPr>
                <w:rFonts w:hint="eastAsia" w:ascii="宋体" w:hAnsi="宋体" w:eastAsia="宋体" w:cs="宋体"/>
                <w:i w:val="0"/>
                <w:iCs w:val="0"/>
                <w:color w:val="auto"/>
                <w:kern w:val="0"/>
                <w:sz w:val="12"/>
                <w:szCs w:val="12"/>
                <w:u w:val="none"/>
                <w:lang w:val="en-US" w:eastAsia="zh-CN" w:bidi="ar"/>
              </w:rPr>
              <w:t>检查评定分数</w:t>
            </w:r>
          </w:p>
        </w:tc>
        <w:tc>
          <w:tcPr>
            <w:tcW w:w="3472" w:type="dxa"/>
            <w:gridSpan w:val="6"/>
            <w:tcBorders>
              <w:top w:val="single" w:color="000000" w:sz="4" w:space="0"/>
              <w:left w:val="single" w:color="000000" w:sz="4" w:space="0"/>
              <w:bottom w:val="single" w:color="000000" w:sz="4" w:space="0"/>
              <w:right w:val="single" w:color="000000" w:sz="4" w:space="0"/>
            </w:tcBorders>
            <w:noWrap/>
            <w:vAlign w:val="center"/>
          </w:tcPr>
          <w:p w14:paraId="2EB24B74">
            <w:pPr>
              <w:keepNext w:val="0"/>
              <w:keepLines w:val="0"/>
              <w:widowControl/>
              <w:suppressLineNumbers w:val="0"/>
              <w:jc w:val="center"/>
              <w:textAlignment w:val="center"/>
              <w:rPr>
                <w:rFonts w:hint="eastAsia" w:ascii="宋体" w:hAnsi="宋体" w:eastAsia="宋体" w:cs="宋体"/>
                <w:i w:val="0"/>
                <w:iCs w:val="0"/>
                <w:color w:val="auto"/>
                <w:sz w:val="12"/>
                <w:szCs w:val="12"/>
                <w:u w:val="none"/>
              </w:rPr>
            </w:pPr>
            <w:r>
              <w:rPr>
                <w:rFonts w:hint="eastAsia" w:ascii="宋体" w:hAnsi="宋体" w:eastAsia="宋体" w:cs="宋体"/>
                <w:i w:val="0"/>
                <w:iCs w:val="0"/>
                <w:color w:val="auto"/>
                <w:kern w:val="0"/>
                <w:sz w:val="12"/>
                <w:szCs w:val="12"/>
                <w:u w:val="none"/>
                <w:lang w:val="en-US" w:eastAsia="zh-CN" w:bidi="ar"/>
              </w:rPr>
              <w:t>得分</w:t>
            </w:r>
          </w:p>
        </w:tc>
      </w:tr>
      <w:tr w14:paraId="519090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1905" w:type="dxa"/>
            <w:gridSpan w:val="2"/>
            <w:vMerge w:val="continue"/>
            <w:tcBorders>
              <w:top w:val="single" w:color="000000" w:sz="4" w:space="0"/>
              <w:left w:val="single" w:color="000000" w:sz="4" w:space="0"/>
              <w:bottom w:val="single" w:color="000000" w:sz="4" w:space="0"/>
              <w:right w:val="single" w:color="000000" w:sz="4" w:space="0"/>
            </w:tcBorders>
            <w:noWrap/>
            <w:vAlign w:val="center"/>
          </w:tcPr>
          <w:p w14:paraId="6A16F32C">
            <w:pPr>
              <w:jc w:val="center"/>
              <w:rPr>
                <w:rFonts w:hint="eastAsia" w:ascii="宋体" w:hAnsi="宋体" w:eastAsia="宋体" w:cs="宋体"/>
                <w:i w:val="0"/>
                <w:iCs w:val="0"/>
                <w:color w:val="auto"/>
                <w:sz w:val="12"/>
                <w:szCs w:val="12"/>
                <w:u w:val="none"/>
              </w:rPr>
            </w:pPr>
          </w:p>
        </w:tc>
        <w:tc>
          <w:tcPr>
            <w:tcW w:w="1660" w:type="dxa"/>
            <w:vMerge w:val="continue"/>
            <w:tcBorders>
              <w:top w:val="single" w:color="000000" w:sz="4" w:space="0"/>
              <w:left w:val="single" w:color="000000" w:sz="4" w:space="0"/>
              <w:bottom w:val="single" w:color="000000" w:sz="4" w:space="0"/>
              <w:right w:val="single" w:color="000000" w:sz="4" w:space="0"/>
            </w:tcBorders>
            <w:noWrap/>
            <w:vAlign w:val="center"/>
          </w:tcPr>
          <w:p w14:paraId="0F5F8FB6">
            <w:pPr>
              <w:jc w:val="center"/>
              <w:rPr>
                <w:rFonts w:hint="eastAsia" w:ascii="宋体" w:hAnsi="宋体" w:eastAsia="宋体" w:cs="宋体"/>
                <w:i w:val="0"/>
                <w:iCs w:val="0"/>
                <w:color w:val="auto"/>
                <w:sz w:val="12"/>
                <w:szCs w:val="12"/>
                <w:u w:val="none"/>
              </w:rPr>
            </w:pPr>
          </w:p>
        </w:tc>
        <w:tc>
          <w:tcPr>
            <w:tcW w:w="510" w:type="dxa"/>
            <w:tcBorders>
              <w:top w:val="single" w:color="000000" w:sz="4" w:space="0"/>
              <w:left w:val="single" w:color="000000" w:sz="4" w:space="0"/>
              <w:bottom w:val="single" w:color="000000" w:sz="4" w:space="0"/>
              <w:right w:val="single" w:color="000000" w:sz="4" w:space="0"/>
            </w:tcBorders>
            <w:noWrap/>
            <w:vAlign w:val="center"/>
          </w:tcPr>
          <w:p w14:paraId="53CD6509">
            <w:pPr>
              <w:keepNext w:val="0"/>
              <w:keepLines w:val="0"/>
              <w:widowControl/>
              <w:suppressLineNumbers w:val="0"/>
              <w:jc w:val="center"/>
              <w:textAlignment w:val="center"/>
              <w:rPr>
                <w:rFonts w:hint="eastAsia" w:ascii="宋体" w:hAnsi="宋体" w:eastAsia="宋体" w:cs="宋体"/>
                <w:i w:val="0"/>
                <w:iCs w:val="0"/>
                <w:color w:val="auto"/>
                <w:sz w:val="12"/>
                <w:szCs w:val="12"/>
                <w:u w:val="none"/>
              </w:rPr>
            </w:pPr>
            <w:r>
              <w:rPr>
                <w:rFonts w:hint="eastAsia" w:ascii="宋体" w:hAnsi="宋体" w:eastAsia="宋体" w:cs="宋体"/>
                <w:i w:val="0"/>
                <w:iCs w:val="0"/>
                <w:color w:val="auto"/>
                <w:kern w:val="0"/>
                <w:sz w:val="12"/>
                <w:szCs w:val="12"/>
                <w:u w:val="none"/>
                <w:lang w:val="en-US" w:eastAsia="zh-CN" w:bidi="ar"/>
              </w:rPr>
              <w:t>优</w:t>
            </w:r>
          </w:p>
        </w:tc>
        <w:tc>
          <w:tcPr>
            <w:tcW w:w="510" w:type="dxa"/>
            <w:tcBorders>
              <w:top w:val="single" w:color="000000" w:sz="4" w:space="0"/>
              <w:left w:val="single" w:color="000000" w:sz="4" w:space="0"/>
              <w:bottom w:val="single" w:color="000000" w:sz="4" w:space="0"/>
              <w:right w:val="single" w:color="000000" w:sz="4" w:space="0"/>
            </w:tcBorders>
            <w:noWrap/>
            <w:vAlign w:val="center"/>
          </w:tcPr>
          <w:p w14:paraId="35A64DC9">
            <w:pPr>
              <w:keepNext w:val="0"/>
              <w:keepLines w:val="0"/>
              <w:widowControl/>
              <w:suppressLineNumbers w:val="0"/>
              <w:jc w:val="center"/>
              <w:textAlignment w:val="center"/>
              <w:rPr>
                <w:rFonts w:hint="eastAsia" w:ascii="宋体" w:hAnsi="宋体" w:eastAsia="宋体" w:cs="宋体"/>
                <w:i w:val="0"/>
                <w:iCs w:val="0"/>
                <w:color w:val="auto"/>
                <w:sz w:val="12"/>
                <w:szCs w:val="12"/>
                <w:u w:val="none"/>
              </w:rPr>
            </w:pPr>
            <w:r>
              <w:rPr>
                <w:rFonts w:hint="eastAsia" w:ascii="宋体" w:hAnsi="宋体" w:eastAsia="宋体" w:cs="宋体"/>
                <w:i w:val="0"/>
                <w:iCs w:val="0"/>
                <w:color w:val="auto"/>
                <w:kern w:val="0"/>
                <w:sz w:val="12"/>
                <w:szCs w:val="12"/>
                <w:u w:val="none"/>
                <w:lang w:val="en-US" w:eastAsia="zh-CN" w:bidi="ar"/>
              </w:rPr>
              <w:t>良</w:t>
            </w:r>
          </w:p>
        </w:tc>
        <w:tc>
          <w:tcPr>
            <w:tcW w:w="510" w:type="dxa"/>
            <w:tcBorders>
              <w:top w:val="single" w:color="000000" w:sz="4" w:space="0"/>
              <w:left w:val="single" w:color="000000" w:sz="4" w:space="0"/>
              <w:bottom w:val="single" w:color="000000" w:sz="4" w:space="0"/>
              <w:right w:val="single" w:color="000000" w:sz="4" w:space="0"/>
            </w:tcBorders>
            <w:noWrap/>
            <w:vAlign w:val="center"/>
          </w:tcPr>
          <w:p w14:paraId="22E67998">
            <w:pPr>
              <w:keepNext w:val="0"/>
              <w:keepLines w:val="0"/>
              <w:widowControl/>
              <w:suppressLineNumbers w:val="0"/>
              <w:jc w:val="center"/>
              <w:textAlignment w:val="center"/>
              <w:rPr>
                <w:rFonts w:hint="eastAsia" w:ascii="宋体" w:hAnsi="宋体" w:eastAsia="宋体" w:cs="宋体"/>
                <w:i w:val="0"/>
                <w:iCs w:val="0"/>
                <w:color w:val="auto"/>
                <w:sz w:val="12"/>
                <w:szCs w:val="12"/>
                <w:u w:val="none"/>
              </w:rPr>
            </w:pPr>
            <w:r>
              <w:rPr>
                <w:rFonts w:hint="eastAsia" w:ascii="宋体" w:hAnsi="宋体" w:eastAsia="宋体" w:cs="宋体"/>
                <w:i w:val="0"/>
                <w:iCs w:val="0"/>
                <w:color w:val="auto"/>
                <w:kern w:val="0"/>
                <w:sz w:val="12"/>
                <w:szCs w:val="12"/>
                <w:u w:val="none"/>
                <w:lang w:val="en-US" w:eastAsia="zh-CN" w:bidi="ar"/>
              </w:rPr>
              <w:t>中</w:t>
            </w:r>
          </w:p>
        </w:tc>
        <w:tc>
          <w:tcPr>
            <w:tcW w:w="513" w:type="dxa"/>
            <w:tcBorders>
              <w:top w:val="single" w:color="000000" w:sz="4" w:space="0"/>
              <w:left w:val="single" w:color="000000" w:sz="4" w:space="0"/>
              <w:bottom w:val="single" w:color="000000" w:sz="4" w:space="0"/>
              <w:right w:val="single" w:color="000000" w:sz="4" w:space="0"/>
            </w:tcBorders>
            <w:noWrap/>
            <w:vAlign w:val="center"/>
          </w:tcPr>
          <w:p w14:paraId="4C4338AA">
            <w:pPr>
              <w:keepNext w:val="0"/>
              <w:keepLines w:val="0"/>
              <w:widowControl/>
              <w:suppressLineNumbers w:val="0"/>
              <w:jc w:val="center"/>
              <w:textAlignment w:val="center"/>
              <w:rPr>
                <w:rFonts w:hint="eastAsia" w:ascii="宋体" w:hAnsi="宋体" w:eastAsia="宋体" w:cs="宋体"/>
                <w:i w:val="0"/>
                <w:iCs w:val="0"/>
                <w:color w:val="auto"/>
                <w:sz w:val="12"/>
                <w:szCs w:val="12"/>
                <w:u w:val="none"/>
              </w:rPr>
            </w:pPr>
            <w:r>
              <w:rPr>
                <w:rFonts w:hint="eastAsia" w:ascii="宋体" w:hAnsi="宋体" w:eastAsia="宋体" w:cs="宋体"/>
                <w:i w:val="0"/>
                <w:iCs w:val="0"/>
                <w:color w:val="auto"/>
                <w:kern w:val="0"/>
                <w:sz w:val="12"/>
                <w:szCs w:val="12"/>
                <w:u w:val="none"/>
                <w:lang w:val="en-US" w:eastAsia="zh-CN" w:bidi="ar"/>
              </w:rPr>
              <w:t>差</w:t>
            </w:r>
          </w:p>
        </w:tc>
        <w:tc>
          <w:tcPr>
            <w:tcW w:w="578" w:type="dxa"/>
            <w:tcBorders>
              <w:top w:val="single" w:color="000000" w:sz="4" w:space="0"/>
              <w:left w:val="single" w:color="000000" w:sz="4" w:space="0"/>
              <w:bottom w:val="single" w:color="000000" w:sz="4" w:space="0"/>
              <w:right w:val="single" w:color="000000" w:sz="4" w:space="0"/>
            </w:tcBorders>
            <w:noWrap/>
            <w:vAlign w:val="center"/>
          </w:tcPr>
          <w:p w14:paraId="6677927B">
            <w:pPr>
              <w:keepNext w:val="0"/>
              <w:keepLines w:val="0"/>
              <w:widowControl/>
              <w:suppressLineNumbers w:val="0"/>
              <w:jc w:val="center"/>
              <w:textAlignment w:val="center"/>
              <w:rPr>
                <w:rFonts w:hint="eastAsia" w:ascii="宋体" w:hAnsi="宋体" w:eastAsia="宋体" w:cs="宋体"/>
                <w:i w:val="0"/>
                <w:iCs w:val="0"/>
                <w:color w:val="auto"/>
                <w:sz w:val="12"/>
                <w:szCs w:val="12"/>
                <w:u w:val="none"/>
              </w:rPr>
            </w:pPr>
            <w:r>
              <w:rPr>
                <w:rFonts w:hint="eastAsia" w:ascii="宋体" w:hAnsi="宋体" w:eastAsia="宋体" w:cs="宋体"/>
                <w:i w:val="0"/>
                <w:iCs w:val="0"/>
                <w:color w:val="auto"/>
                <w:kern w:val="0"/>
                <w:sz w:val="12"/>
                <w:szCs w:val="12"/>
                <w:u w:val="none"/>
                <w:lang w:val="en-US" w:eastAsia="zh-CN" w:bidi="ar"/>
              </w:rPr>
              <w:t>第一周</w:t>
            </w:r>
          </w:p>
        </w:tc>
        <w:tc>
          <w:tcPr>
            <w:tcW w:w="578" w:type="dxa"/>
            <w:tcBorders>
              <w:top w:val="single" w:color="000000" w:sz="4" w:space="0"/>
              <w:left w:val="single" w:color="000000" w:sz="4" w:space="0"/>
              <w:bottom w:val="single" w:color="000000" w:sz="4" w:space="0"/>
              <w:right w:val="single" w:color="000000" w:sz="4" w:space="0"/>
            </w:tcBorders>
            <w:noWrap/>
            <w:vAlign w:val="center"/>
          </w:tcPr>
          <w:p w14:paraId="229B328E">
            <w:pPr>
              <w:keepNext w:val="0"/>
              <w:keepLines w:val="0"/>
              <w:widowControl/>
              <w:suppressLineNumbers w:val="0"/>
              <w:jc w:val="center"/>
              <w:textAlignment w:val="center"/>
              <w:rPr>
                <w:rFonts w:hint="eastAsia" w:ascii="宋体" w:hAnsi="宋体" w:eastAsia="宋体" w:cs="宋体"/>
                <w:i w:val="0"/>
                <w:iCs w:val="0"/>
                <w:color w:val="auto"/>
                <w:sz w:val="12"/>
                <w:szCs w:val="12"/>
                <w:u w:val="none"/>
              </w:rPr>
            </w:pPr>
            <w:r>
              <w:rPr>
                <w:rFonts w:hint="eastAsia" w:ascii="宋体" w:hAnsi="宋体" w:eastAsia="宋体" w:cs="宋体"/>
                <w:i w:val="0"/>
                <w:iCs w:val="0"/>
                <w:color w:val="auto"/>
                <w:kern w:val="0"/>
                <w:sz w:val="12"/>
                <w:szCs w:val="12"/>
                <w:u w:val="none"/>
                <w:lang w:val="en-US" w:eastAsia="zh-CN" w:bidi="ar"/>
              </w:rPr>
              <w:t>第二周</w:t>
            </w:r>
          </w:p>
        </w:tc>
        <w:tc>
          <w:tcPr>
            <w:tcW w:w="578" w:type="dxa"/>
            <w:tcBorders>
              <w:top w:val="single" w:color="000000" w:sz="4" w:space="0"/>
              <w:left w:val="single" w:color="000000" w:sz="4" w:space="0"/>
              <w:bottom w:val="single" w:color="000000" w:sz="4" w:space="0"/>
              <w:right w:val="single" w:color="000000" w:sz="4" w:space="0"/>
            </w:tcBorders>
            <w:noWrap/>
            <w:vAlign w:val="center"/>
          </w:tcPr>
          <w:p w14:paraId="18477732">
            <w:pPr>
              <w:keepNext w:val="0"/>
              <w:keepLines w:val="0"/>
              <w:widowControl/>
              <w:suppressLineNumbers w:val="0"/>
              <w:jc w:val="center"/>
              <w:textAlignment w:val="center"/>
              <w:rPr>
                <w:rFonts w:hint="eastAsia" w:ascii="宋体" w:hAnsi="宋体" w:eastAsia="宋体" w:cs="宋体"/>
                <w:i w:val="0"/>
                <w:iCs w:val="0"/>
                <w:color w:val="auto"/>
                <w:sz w:val="12"/>
                <w:szCs w:val="12"/>
                <w:u w:val="none"/>
              </w:rPr>
            </w:pPr>
            <w:r>
              <w:rPr>
                <w:rFonts w:hint="eastAsia" w:ascii="宋体" w:hAnsi="宋体" w:eastAsia="宋体" w:cs="宋体"/>
                <w:i w:val="0"/>
                <w:iCs w:val="0"/>
                <w:color w:val="auto"/>
                <w:kern w:val="0"/>
                <w:sz w:val="12"/>
                <w:szCs w:val="12"/>
                <w:u w:val="none"/>
                <w:lang w:val="en-US" w:eastAsia="zh-CN" w:bidi="ar"/>
              </w:rPr>
              <w:t>第三周</w:t>
            </w:r>
          </w:p>
        </w:tc>
        <w:tc>
          <w:tcPr>
            <w:tcW w:w="578" w:type="dxa"/>
            <w:tcBorders>
              <w:top w:val="single" w:color="000000" w:sz="4" w:space="0"/>
              <w:left w:val="single" w:color="000000" w:sz="4" w:space="0"/>
              <w:bottom w:val="single" w:color="000000" w:sz="4" w:space="0"/>
              <w:right w:val="single" w:color="000000" w:sz="4" w:space="0"/>
            </w:tcBorders>
            <w:noWrap/>
            <w:vAlign w:val="center"/>
          </w:tcPr>
          <w:p w14:paraId="054330A6">
            <w:pPr>
              <w:keepNext w:val="0"/>
              <w:keepLines w:val="0"/>
              <w:widowControl/>
              <w:suppressLineNumbers w:val="0"/>
              <w:jc w:val="center"/>
              <w:textAlignment w:val="center"/>
              <w:rPr>
                <w:rFonts w:hint="eastAsia" w:ascii="宋体" w:hAnsi="宋体" w:eastAsia="宋体" w:cs="宋体"/>
                <w:i w:val="0"/>
                <w:iCs w:val="0"/>
                <w:color w:val="auto"/>
                <w:sz w:val="12"/>
                <w:szCs w:val="12"/>
                <w:u w:val="none"/>
              </w:rPr>
            </w:pPr>
            <w:r>
              <w:rPr>
                <w:rFonts w:hint="eastAsia" w:ascii="宋体" w:hAnsi="宋体" w:eastAsia="宋体" w:cs="宋体"/>
                <w:i w:val="0"/>
                <w:iCs w:val="0"/>
                <w:color w:val="auto"/>
                <w:kern w:val="0"/>
                <w:sz w:val="12"/>
                <w:szCs w:val="12"/>
                <w:u w:val="none"/>
                <w:lang w:val="en-US" w:eastAsia="zh-CN" w:bidi="ar"/>
              </w:rPr>
              <w:t>第四周</w:t>
            </w:r>
          </w:p>
        </w:tc>
        <w:tc>
          <w:tcPr>
            <w:tcW w:w="578" w:type="dxa"/>
            <w:tcBorders>
              <w:top w:val="single" w:color="000000" w:sz="4" w:space="0"/>
              <w:left w:val="single" w:color="000000" w:sz="4" w:space="0"/>
              <w:bottom w:val="single" w:color="000000" w:sz="4" w:space="0"/>
              <w:right w:val="single" w:color="000000" w:sz="4" w:space="0"/>
            </w:tcBorders>
            <w:noWrap/>
            <w:vAlign w:val="center"/>
          </w:tcPr>
          <w:p w14:paraId="78458568">
            <w:pPr>
              <w:keepNext w:val="0"/>
              <w:keepLines w:val="0"/>
              <w:widowControl/>
              <w:suppressLineNumbers w:val="0"/>
              <w:jc w:val="center"/>
              <w:textAlignment w:val="center"/>
              <w:rPr>
                <w:rFonts w:hint="eastAsia" w:ascii="宋体" w:hAnsi="宋体" w:eastAsia="宋体" w:cs="宋体"/>
                <w:i w:val="0"/>
                <w:iCs w:val="0"/>
                <w:color w:val="auto"/>
                <w:sz w:val="12"/>
                <w:szCs w:val="12"/>
                <w:u w:val="none"/>
              </w:rPr>
            </w:pPr>
            <w:r>
              <w:rPr>
                <w:rFonts w:hint="eastAsia" w:ascii="宋体" w:hAnsi="宋体" w:eastAsia="宋体" w:cs="宋体"/>
                <w:i w:val="0"/>
                <w:iCs w:val="0"/>
                <w:color w:val="auto"/>
                <w:kern w:val="0"/>
                <w:sz w:val="12"/>
                <w:szCs w:val="12"/>
                <w:u w:val="none"/>
                <w:lang w:val="en-US" w:eastAsia="zh-CN" w:bidi="ar"/>
              </w:rPr>
              <w:t>第五周</w:t>
            </w:r>
          </w:p>
        </w:tc>
        <w:tc>
          <w:tcPr>
            <w:tcW w:w="582" w:type="dxa"/>
            <w:tcBorders>
              <w:top w:val="single" w:color="000000" w:sz="4" w:space="0"/>
              <w:left w:val="single" w:color="000000" w:sz="4" w:space="0"/>
              <w:bottom w:val="single" w:color="000000" w:sz="4" w:space="0"/>
              <w:right w:val="single" w:color="000000" w:sz="4" w:space="0"/>
            </w:tcBorders>
            <w:noWrap/>
            <w:vAlign w:val="center"/>
          </w:tcPr>
          <w:p w14:paraId="3A8A65D3">
            <w:pPr>
              <w:keepNext w:val="0"/>
              <w:keepLines w:val="0"/>
              <w:widowControl/>
              <w:suppressLineNumbers w:val="0"/>
              <w:jc w:val="center"/>
              <w:textAlignment w:val="center"/>
              <w:rPr>
                <w:rFonts w:hint="eastAsia" w:ascii="宋体" w:hAnsi="宋体" w:eastAsia="宋体" w:cs="宋体"/>
                <w:i w:val="0"/>
                <w:iCs w:val="0"/>
                <w:color w:val="auto"/>
                <w:sz w:val="12"/>
                <w:szCs w:val="12"/>
                <w:u w:val="none"/>
              </w:rPr>
            </w:pPr>
            <w:r>
              <w:rPr>
                <w:rFonts w:hint="eastAsia" w:ascii="宋体" w:hAnsi="宋体" w:eastAsia="宋体" w:cs="宋体"/>
                <w:i w:val="0"/>
                <w:iCs w:val="0"/>
                <w:color w:val="auto"/>
                <w:kern w:val="0"/>
                <w:sz w:val="12"/>
                <w:szCs w:val="12"/>
                <w:u w:val="none"/>
                <w:lang w:val="en-US" w:eastAsia="zh-CN" w:bidi="ar"/>
              </w:rPr>
              <w:t>平均分</w:t>
            </w:r>
          </w:p>
        </w:tc>
      </w:tr>
      <w:tr w14:paraId="135ECA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656" w:type="dxa"/>
            <w:tcBorders>
              <w:top w:val="single" w:color="000000" w:sz="4" w:space="0"/>
              <w:left w:val="single" w:color="000000" w:sz="4" w:space="0"/>
              <w:bottom w:val="single" w:color="000000" w:sz="4" w:space="0"/>
              <w:right w:val="single" w:color="000000" w:sz="4" w:space="0"/>
            </w:tcBorders>
            <w:noWrap w:val="0"/>
            <w:vAlign w:val="center"/>
          </w:tcPr>
          <w:p w14:paraId="48321B8B">
            <w:pPr>
              <w:keepNext w:val="0"/>
              <w:keepLines w:val="0"/>
              <w:widowControl/>
              <w:suppressLineNumbers w:val="0"/>
              <w:jc w:val="center"/>
              <w:textAlignment w:val="center"/>
              <w:rPr>
                <w:rFonts w:hint="eastAsia" w:ascii="宋体" w:hAnsi="宋体" w:eastAsia="宋体" w:cs="宋体"/>
                <w:i w:val="0"/>
                <w:iCs w:val="0"/>
                <w:color w:val="auto"/>
                <w:sz w:val="12"/>
                <w:szCs w:val="12"/>
                <w:u w:val="none"/>
              </w:rPr>
            </w:pPr>
            <w:r>
              <w:rPr>
                <w:rFonts w:hint="eastAsia" w:ascii="宋体" w:hAnsi="宋体" w:eastAsia="宋体" w:cs="宋体"/>
                <w:i w:val="0"/>
                <w:iCs w:val="0"/>
                <w:color w:val="auto"/>
                <w:kern w:val="0"/>
                <w:sz w:val="12"/>
                <w:szCs w:val="12"/>
                <w:u w:val="none"/>
                <w:lang w:val="en-US" w:eastAsia="zh-CN" w:bidi="ar"/>
              </w:rPr>
              <w:t>室内公共区域</w:t>
            </w:r>
          </w:p>
        </w:tc>
        <w:tc>
          <w:tcPr>
            <w:tcW w:w="1249" w:type="dxa"/>
            <w:tcBorders>
              <w:top w:val="nil"/>
              <w:left w:val="single" w:color="000000" w:sz="4" w:space="0"/>
              <w:bottom w:val="single" w:color="000000" w:sz="4" w:space="0"/>
              <w:right w:val="single" w:color="000000" w:sz="4" w:space="0"/>
            </w:tcBorders>
            <w:noWrap w:val="0"/>
            <w:vAlign w:val="center"/>
          </w:tcPr>
          <w:p w14:paraId="52B88C55">
            <w:pPr>
              <w:keepNext w:val="0"/>
              <w:keepLines w:val="0"/>
              <w:widowControl/>
              <w:suppressLineNumbers w:val="0"/>
              <w:jc w:val="center"/>
              <w:textAlignment w:val="center"/>
              <w:rPr>
                <w:rFonts w:hint="eastAsia" w:ascii="宋体" w:hAnsi="宋体" w:eastAsia="宋体" w:cs="宋体"/>
                <w:i w:val="0"/>
                <w:iCs w:val="0"/>
                <w:color w:val="auto"/>
                <w:sz w:val="12"/>
                <w:szCs w:val="12"/>
                <w:u w:val="none"/>
              </w:rPr>
            </w:pPr>
            <w:r>
              <w:rPr>
                <w:rFonts w:hint="eastAsia" w:ascii="宋体" w:hAnsi="宋体" w:eastAsia="宋体" w:cs="宋体"/>
                <w:i w:val="0"/>
                <w:iCs w:val="0"/>
                <w:color w:val="auto"/>
                <w:kern w:val="0"/>
                <w:sz w:val="12"/>
                <w:szCs w:val="12"/>
                <w:u w:val="none"/>
                <w:lang w:val="en-US" w:eastAsia="zh-CN" w:bidi="ar"/>
              </w:rPr>
              <w:t>大厅、墙面、地面、天花板、电梯、门窗、标识标牌、照明灯具、垃圾桶等</w:t>
            </w:r>
          </w:p>
        </w:tc>
        <w:tc>
          <w:tcPr>
            <w:tcW w:w="1660" w:type="dxa"/>
            <w:tcBorders>
              <w:top w:val="nil"/>
              <w:left w:val="single" w:color="000000" w:sz="4" w:space="0"/>
              <w:bottom w:val="single" w:color="000000" w:sz="4" w:space="0"/>
              <w:right w:val="single" w:color="000000" w:sz="4" w:space="0"/>
            </w:tcBorders>
            <w:noWrap w:val="0"/>
            <w:vAlign w:val="center"/>
          </w:tcPr>
          <w:p w14:paraId="4E4E1942">
            <w:pPr>
              <w:keepNext w:val="0"/>
              <w:keepLines w:val="0"/>
              <w:widowControl/>
              <w:suppressLineNumbers w:val="0"/>
              <w:jc w:val="center"/>
              <w:textAlignment w:val="center"/>
              <w:rPr>
                <w:rFonts w:hint="eastAsia" w:ascii="宋体" w:hAnsi="宋体" w:eastAsia="宋体" w:cs="宋体"/>
                <w:i w:val="0"/>
                <w:iCs w:val="0"/>
                <w:color w:val="auto"/>
                <w:sz w:val="12"/>
                <w:szCs w:val="12"/>
                <w:u w:val="none"/>
              </w:rPr>
            </w:pPr>
            <w:r>
              <w:rPr>
                <w:rFonts w:hint="eastAsia" w:ascii="宋体" w:hAnsi="宋体" w:eastAsia="宋体" w:cs="宋体"/>
                <w:i w:val="0"/>
                <w:iCs w:val="0"/>
                <w:color w:val="auto"/>
                <w:kern w:val="0"/>
                <w:sz w:val="12"/>
                <w:szCs w:val="12"/>
                <w:u w:val="none"/>
                <w:lang w:val="en-US" w:eastAsia="zh-CN" w:bidi="ar"/>
              </w:rPr>
              <w:t>干净、无污迹、无废弃物、无积尘、无蜘蛛网、及时关闭门窗、桶内垃圾不超过2/3，摆放到位、及时关灯无长明灯</w:t>
            </w:r>
          </w:p>
        </w:tc>
        <w:tc>
          <w:tcPr>
            <w:tcW w:w="510" w:type="dxa"/>
            <w:tcBorders>
              <w:top w:val="single" w:color="000000" w:sz="4" w:space="0"/>
              <w:left w:val="single" w:color="000000" w:sz="4" w:space="0"/>
              <w:bottom w:val="single" w:color="000000" w:sz="4" w:space="0"/>
              <w:right w:val="single" w:color="000000" w:sz="4" w:space="0"/>
            </w:tcBorders>
            <w:noWrap w:val="0"/>
            <w:vAlign w:val="center"/>
          </w:tcPr>
          <w:p w14:paraId="7E97D426">
            <w:pPr>
              <w:keepNext w:val="0"/>
              <w:keepLines w:val="0"/>
              <w:widowControl/>
              <w:suppressLineNumbers w:val="0"/>
              <w:jc w:val="center"/>
              <w:textAlignment w:val="center"/>
              <w:rPr>
                <w:rFonts w:hint="eastAsia" w:ascii="宋体" w:hAnsi="宋体" w:eastAsia="宋体" w:cs="宋体"/>
                <w:i w:val="0"/>
                <w:iCs w:val="0"/>
                <w:color w:val="auto"/>
                <w:sz w:val="12"/>
                <w:szCs w:val="12"/>
                <w:u w:val="none"/>
              </w:rPr>
            </w:pPr>
            <w:r>
              <w:rPr>
                <w:rFonts w:hint="eastAsia" w:ascii="宋体" w:hAnsi="宋体" w:eastAsia="宋体" w:cs="宋体"/>
                <w:i w:val="0"/>
                <w:iCs w:val="0"/>
                <w:color w:val="auto"/>
                <w:kern w:val="0"/>
                <w:sz w:val="12"/>
                <w:szCs w:val="12"/>
                <w:u w:val="none"/>
                <w:lang w:val="en-US" w:eastAsia="zh-CN" w:bidi="ar"/>
              </w:rPr>
              <w:t>35</w:t>
            </w:r>
          </w:p>
        </w:tc>
        <w:tc>
          <w:tcPr>
            <w:tcW w:w="510" w:type="dxa"/>
            <w:tcBorders>
              <w:top w:val="single" w:color="000000" w:sz="4" w:space="0"/>
              <w:left w:val="single" w:color="000000" w:sz="4" w:space="0"/>
              <w:bottom w:val="single" w:color="000000" w:sz="4" w:space="0"/>
              <w:right w:val="single" w:color="000000" w:sz="4" w:space="0"/>
            </w:tcBorders>
            <w:noWrap w:val="0"/>
            <w:vAlign w:val="center"/>
          </w:tcPr>
          <w:p w14:paraId="2B5AE39A">
            <w:pPr>
              <w:keepNext w:val="0"/>
              <w:keepLines w:val="0"/>
              <w:widowControl/>
              <w:suppressLineNumbers w:val="0"/>
              <w:jc w:val="center"/>
              <w:textAlignment w:val="center"/>
              <w:rPr>
                <w:rFonts w:hint="eastAsia" w:ascii="宋体" w:hAnsi="宋体" w:eastAsia="宋体" w:cs="宋体"/>
                <w:i w:val="0"/>
                <w:iCs w:val="0"/>
                <w:color w:val="auto"/>
                <w:sz w:val="12"/>
                <w:szCs w:val="12"/>
                <w:u w:val="none"/>
              </w:rPr>
            </w:pPr>
            <w:r>
              <w:rPr>
                <w:rFonts w:hint="eastAsia" w:ascii="宋体" w:hAnsi="宋体" w:eastAsia="宋体" w:cs="宋体"/>
                <w:i w:val="0"/>
                <w:iCs w:val="0"/>
                <w:color w:val="auto"/>
                <w:kern w:val="0"/>
                <w:sz w:val="12"/>
                <w:szCs w:val="12"/>
                <w:u w:val="none"/>
                <w:lang w:val="en-US" w:eastAsia="zh-CN" w:bidi="ar"/>
              </w:rPr>
              <w:t>32</w:t>
            </w:r>
          </w:p>
        </w:tc>
        <w:tc>
          <w:tcPr>
            <w:tcW w:w="510" w:type="dxa"/>
            <w:tcBorders>
              <w:top w:val="single" w:color="000000" w:sz="4" w:space="0"/>
              <w:left w:val="single" w:color="000000" w:sz="4" w:space="0"/>
              <w:bottom w:val="single" w:color="000000" w:sz="4" w:space="0"/>
              <w:right w:val="single" w:color="000000" w:sz="4" w:space="0"/>
            </w:tcBorders>
            <w:noWrap w:val="0"/>
            <w:vAlign w:val="center"/>
          </w:tcPr>
          <w:p w14:paraId="5DC6AF9D">
            <w:pPr>
              <w:keepNext w:val="0"/>
              <w:keepLines w:val="0"/>
              <w:widowControl/>
              <w:suppressLineNumbers w:val="0"/>
              <w:jc w:val="center"/>
              <w:textAlignment w:val="center"/>
              <w:rPr>
                <w:rFonts w:hint="eastAsia" w:ascii="宋体" w:hAnsi="宋体" w:eastAsia="宋体" w:cs="宋体"/>
                <w:i w:val="0"/>
                <w:iCs w:val="0"/>
                <w:color w:val="auto"/>
                <w:sz w:val="12"/>
                <w:szCs w:val="12"/>
                <w:u w:val="none"/>
              </w:rPr>
            </w:pPr>
            <w:r>
              <w:rPr>
                <w:rFonts w:hint="eastAsia" w:ascii="宋体" w:hAnsi="宋体" w:eastAsia="宋体" w:cs="宋体"/>
                <w:i w:val="0"/>
                <w:iCs w:val="0"/>
                <w:color w:val="auto"/>
                <w:kern w:val="0"/>
                <w:sz w:val="12"/>
                <w:szCs w:val="12"/>
                <w:u w:val="none"/>
                <w:lang w:val="en-US" w:eastAsia="zh-CN" w:bidi="ar"/>
              </w:rPr>
              <w:t>25</w:t>
            </w:r>
          </w:p>
        </w:tc>
        <w:tc>
          <w:tcPr>
            <w:tcW w:w="513" w:type="dxa"/>
            <w:tcBorders>
              <w:top w:val="single" w:color="000000" w:sz="4" w:space="0"/>
              <w:left w:val="single" w:color="000000" w:sz="4" w:space="0"/>
              <w:bottom w:val="single" w:color="000000" w:sz="4" w:space="0"/>
              <w:right w:val="single" w:color="000000" w:sz="4" w:space="0"/>
            </w:tcBorders>
            <w:noWrap w:val="0"/>
            <w:vAlign w:val="center"/>
          </w:tcPr>
          <w:p w14:paraId="394D226B">
            <w:pPr>
              <w:keepNext w:val="0"/>
              <w:keepLines w:val="0"/>
              <w:widowControl/>
              <w:suppressLineNumbers w:val="0"/>
              <w:jc w:val="center"/>
              <w:textAlignment w:val="center"/>
              <w:rPr>
                <w:rFonts w:hint="eastAsia" w:ascii="宋体" w:hAnsi="宋体" w:eastAsia="宋体" w:cs="宋体"/>
                <w:i w:val="0"/>
                <w:iCs w:val="0"/>
                <w:color w:val="auto"/>
                <w:sz w:val="12"/>
                <w:szCs w:val="12"/>
                <w:u w:val="none"/>
              </w:rPr>
            </w:pPr>
            <w:r>
              <w:rPr>
                <w:rFonts w:hint="eastAsia" w:ascii="宋体" w:hAnsi="宋体" w:eastAsia="宋体" w:cs="宋体"/>
                <w:i w:val="0"/>
                <w:iCs w:val="0"/>
                <w:color w:val="auto"/>
                <w:kern w:val="0"/>
                <w:sz w:val="12"/>
                <w:szCs w:val="12"/>
                <w:u w:val="none"/>
                <w:lang w:val="en-US" w:eastAsia="zh-CN" w:bidi="ar"/>
              </w:rPr>
              <w:t>18</w:t>
            </w:r>
          </w:p>
        </w:tc>
        <w:tc>
          <w:tcPr>
            <w:tcW w:w="578" w:type="dxa"/>
            <w:tcBorders>
              <w:top w:val="single" w:color="000000" w:sz="4" w:space="0"/>
              <w:left w:val="single" w:color="000000" w:sz="4" w:space="0"/>
              <w:bottom w:val="single" w:color="000000" w:sz="4" w:space="0"/>
              <w:right w:val="single" w:color="000000" w:sz="4" w:space="0"/>
            </w:tcBorders>
            <w:noWrap w:val="0"/>
            <w:vAlign w:val="center"/>
          </w:tcPr>
          <w:p w14:paraId="1B09F555">
            <w:pPr>
              <w:jc w:val="center"/>
              <w:rPr>
                <w:rFonts w:hint="eastAsia" w:ascii="宋体" w:hAnsi="宋体" w:eastAsia="宋体" w:cs="宋体"/>
                <w:i w:val="0"/>
                <w:iCs w:val="0"/>
                <w:color w:val="auto"/>
                <w:sz w:val="12"/>
                <w:szCs w:val="12"/>
                <w:u w:val="none"/>
              </w:rPr>
            </w:pPr>
          </w:p>
        </w:tc>
        <w:tc>
          <w:tcPr>
            <w:tcW w:w="578" w:type="dxa"/>
            <w:tcBorders>
              <w:top w:val="single" w:color="000000" w:sz="4" w:space="0"/>
              <w:left w:val="single" w:color="000000" w:sz="4" w:space="0"/>
              <w:bottom w:val="single" w:color="000000" w:sz="4" w:space="0"/>
              <w:right w:val="single" w:color="000000" w:sz="4" w:space="0"/>
            </w:tcBorders>
            <w:noWrap w:val="0"/>
            <w:vAlign w:val="center"/>
          </w:tcPr>
          <w:p w14:paraId="04597A3B">
            <w:pPr>
              <w:jc w:val="center"/>
              <w:rPr>
                <w:rFonts w:hint="eastAsia" w:ascii="宋体" w:hAnsi="宋体" w:eastAsia="宋体" w:cs="宋体"/>
                <w:i w:val="0"/>
                <w:iCs w:val="0"/>
                <w:color w:val="auto"/>
                <w:sz w:val="12"/>
                <w:szCs w:val="12"/>
                <w:u w:val="none"/>
              </w:rPr>
            </w:pPr>
          </w:p>
        </w:tc>
        <w:tc>
          <w:tcPr>
            <w:tcW w:w="578" w:type="dxa"/>
            <w:tcBorders>
              <w:top w:val="single" w:color="000000" w:sz="4" w:space="0"/>
              <w:left w:val="single" w:color="000000" w:sz="4" w:space="0"/>
              <w:bottom w:val="single" w:color="000000" w:sz="4" w:space="0"/>
              <w:right w:val="single" w:color="000000" w:sz="4" w:space="0"/>
            </w:tcBorders>
            <w:noWrap w:val="0"/>
            <w:vAlign w:val="center"/>
          </w:tcPr>
          <w:p w14:paraId="23AD67A4">
            <w:pPr>
              <w:jc w:val="center"/>
              <w:rPr>
                <w:rFonts w:hint="eastAsia" w:ascii="宋体" w:hAnsi="宋体" w:eastAsia="宋体" w:cs="宋体"/>
                <w:i w:val="0"/>
                <w:iCs w:val="0"/>
                <w:color w:val="auto"/>
                <w:sz w:val="12"/>
                <w:szCs w:val="12"/>
                <w:u w:val="none"/>
              </w:rPr>
            </w:pPr>
          </w:p>
        </w:tc>
        <w:tc>
          <w:tcPr>
            <w:tcW w:w="578" w:type="dxa"/>
            <w:tcBorders>
              <w:top w:val="single" w:color="000000" w:sz="4" w:space="0"/>
              <w:left w:val="single" w:color="000000" w:sz="4" w:space="0"/>
              <w:bottom w:val="single" w:color="000000" w:sz="4" w:space="0"/>
              <w:right w:val="single" w:color="000000" w:sz="4" w:space="0"/>
            </w:tcBorders>
            <w:noWrap w:val="0"/>
            <w:vAlign w:val="center"/>
          </w:tcPr>
          <w:p w14:paraId="34BBCC68">
            <w:pPr>
              <w:jc w:val="center"/>
              <w:rPr>
                <w:rFonts w:hint="eastAsia" w:ascii="宋体" w:hAnsi="宋体" w:eastAsia="宋体" w:cs="宋体"/>
                <w:i w:val="0"/>
                <w:iCs w:val="0"/>
                <w:color w:val="auto"/>
                <w:sz w:val="12"/>
                <w:szCs w:val="12"/>
                <w:u w:val="none"/>
              </w:rPr>
            </w:pPr>
          </w:p>
        </w:tc>
        <w:tc>
          <w:tcPr>
            <w:tcW w:w="578" w:type="dxa"/>
            <w:tcBorders>
              <w:top w:val="single" w:color="000000" w:sz="4" w:space="0"/>
              <w:left w:val="single" w:color="000000" w:sz="4" w:space="0"/>
              <w:bottom w:val="single" w:color="000000" w:sz="4" w:space="0"/>
              <w:right w:val="single" w:color="000000" w:sz="4" w:space="0"/>
            </w:tcBorders>
            <w:noWrap/>
            <w:vAlign w:val="center"/>
          </w:tcPr>
          <w:p w14:paraId="3A3C9477">
            <w:pPr>
              <w:jc w:val="center"/>
              <w:rPr>
                <w:rFonts w:hint="eastAsia" w:ascii="宋体" w:hAnsi="宋体" w:eastAsia="宋体" w:cs="宋体"/>
                <w:i w:val="0"/>
                <w:iCs w:val="0"/>
                <w:color w:val="auto"/>
                <w:sz w:val="12"/>
                <w:szCs w:val="12"/>
                <w:u w:val="none"/>
              </w:rPr>
            </w:pPr>
          </w:p>
        </w:tc>
        <w:tc>
          <w:tcPr>
            <w:tcW w:w="582" w:type="dxa"/>
            <w:tcBorders>
              <w:top w:val="single" w:color="000000" w:sz="4" w:space="0"/>
              <w:left w:val="single" w:color="000000" w:sz="4" w:space="0"/>
              <w:bottom w:val="single" w:color="000000" w:sz="4" w:space="0"/>
              <w:right w:val="single" w:color="000000" w:sz="4" w:space="0"/>
            </w:tcBorders>
            <w:noWrap/>
            <w:vAlign w:val="center"/>
          </w:tcPr>
          <w:p w14:paraId="76ACE457">
            <w:pPr>
              <w:jc w:val="center"/>
              <w:rPr>
                <w:rFonts w:hint="eastAsia" w:ascii="宋体" w:hAnsi="宋体" w:eastAsia="宋体" w:cs="宋体"/>
                <w:i w:val="0"/>
                <w:iCs w:val="0"/>
                <w:color w:val="auto"/>
                <w:sz w:val="12"/>
                <w:szCs w:val="12"/>
                <w:u w:val="none"/>
              </w:rPr>
            </w:pPr>
          </w:p>
        </w:tc>
      </w:tr>
      <w:tr w14:paraId="090A9B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656" w:type="dxa"/>
            <w:tcBorders>
              <w:top w:val="single" w:color="000000" w:sz="4" w:space="0"/>
              <w:left w:val="single" w:color="000000" w:sz="4" w:space="0"/>
              <w:bottom w:val="single" w:color="000000" w:sz="4" w:space="0"/>
              <w:right w:val="single" w:color="000000" w:sz="4" w:space="0"/>
            </w:tcBorders>
            <w:noWrap w:val="0"/>
            <w:vAlign w:val="center"/>
          </w:tcPr>
          <w:p w14:paraId="0A83142C">
            <w:pPr>
              <w:keepNext w:val="0"/>
              <w:keepLines w:val="0"/>
              <w:widowControl/>
              <w:suppressLineNumbers w:val="0"/>
              <w:jc w:val="center"/>
              <w:textAlignment w:val="center"/>
              <w:rPr>
                <w:rFonts w:hint="eastAsia" w:ascii="宋体" w:hAnsi="宋体" w:eastAsia="宋体" w:cs="宋体"/>
                <w:i w:val="0"/>
                <w:iCs w:val="0"/>
                <w:color w:val="auto"/>
                <w:sz w:val="12"/>
                <w:szCs w:val="12"/>
                <w:u w:val="none"/>
              </w:rPr>
            </w:pPr>
            <w:r>
              <w:rPr>
                <w:rFonts w:hint="eastAsia" w:ascii="宋体" w:hAnsi="宋体" w:eastAsia="宋体" w:cs="宋体"/>
                <w:i w:val="0"/>
                <w:iCs w:val="0"/>
                <w:color w:val="auto"/>
                <w:kern w:val="0"/>
                <w:sz w:val="12"/>
                <w:szCs w:val="12"/>
                <w:u w:val="none"/>
                <w:lang w:val="en-US" w:eastAsia="zh-CN" w:bidi="ar"/>
              </w:rPr>
              <w:t>洗手间卫生清洁</w:t>
            </w:r>
          </w:p>
        </w:tc>
        <w:tc>
          <w:tcPr>
            <w:tcW w:w="1249" w:type="dxa"/>
            <w:tcBorders>
              <w:top w:val="single" w:color="000000" w:sz="4" w:space="0"/>
              <w:left w:val="single" w:color="000000" w:sz="4" w:space="0"/>
              <w:bottom w:val="single" w:color="000000" w:sz="4" w:space="0"/>
              <w:right w:val="single" w:color="000000" w:sz="4" w:space="0"/>
            </w:tcBorders>
            <w:noWrap w:val="0"/>
            <w:vAlign w:val="center"/>
          </w:tcPr>
          <w:p w14:paraId="641655B7">
            <w:pPr>
              <w:keepNext w:val="0"/>
              <w:keepLines w:val="0"/>
              <w:widowControl/>
              <w:suppressLineNumbers w:val="0"/>
              <w:jc w:val="center"/>
              <w:textAlignment w:val="center"/>
              <w:rPr>
                <w:rFonts w:hint="eastAsia" w:ascii="宋体" w:hAnsi="宋体" w:eastAsia="宋体" w:cs="宋体"/>
                <w:i w:val="0"/>
                <w:iCs w:val="0"/>
                <w:color w:val="auto"/>
                <w:sz w:val="12"/>
                <w:szCs w:val="12"/>
                <w:u w:val="none"/>
              </w:rPr>
            </w:pPr>
            <w:r>
              <w:rPr>
                <w:rFonts w:hint="eastAsia" w:ascii="宋体" w:hAnsi="宋体" w:eastAsia="宋体" w:cs="宋体"/>
                <w:i w:val="0"/>
                <w:iCs w:val="0"/>
                <w:color w:val="auto"/>
                <w:kern w:val="0"/>
                <w:sz w:val="12"/>
                <w:szCs w:val="12"/>
                <w:u w:val="none"/>
                <w:lang w:val="en-US" w:eastAsia="zh-CN" w:bidi="ar"/>
              </w:rPr>
              <w:t>地面、墙面、门窗、洗手台、水龙头、冲水阀、隔板、便池、小便器、照明灯具、纸篓、垃圾桶、空气洁净程度</w:t>
            </w:r>
          </w:p>
        </w:tc>
        <w:tc>
          <w:tcPr>
            <w:tcW w:w="1660" w:type="dxa"/>
            <w:tcBorders>
              <w:top w:val="nil"/>
              <w:left w:val="single" w:color="000000" w:sz="4" w:space="0"/>
              <w:bottom w:val="single" w:color="000000" w:sz="4" w:space="0"/>
              <w:right w:val="single" w:color="000000" w:sz="4" w:space="0"/>
            </w:tcBorders>
            <w:noWrap w:val="0"/>
            <w:vAlign w:val="center"/>
          </w:tcPr>
          <w:p w14:paraId="52F370C4">
            <w:pPr>
              <w:keepNext w:val="0"/>
              <w:keepLines w:val="0"/>
              <w:widowControl/>
              <w:suppressLineNumbers w:val="0"/>
              <w:jc w:val="center"/>
              <w:textAlignment w:val="center"/>
              <w:rPr>
                <w:rFonts w:hint="eastAsia" w:ascii="宋体" w:hAnsi="宋体" w:eastAsia="宋体" w:cs="宋体"/>
                <w:i w:val="0"/>
                <w:iCs w:val="0"/>
                <w:color w:val="auto"/>
                <w:sz w:val="12"/>
                <w:szCs w:val="12"/>
                <w:u w:val="none"/>
              </w:rPr>
            </w:pPr>
            <w:r>
              <w:rPr>
                <w:rFonts w:hint="eastAsia" w:ascii="宋体" w:hAnsi="宋体" w:eastAsia="宋体" w:cs="宋体"/>
                <w:i w:val="0"/>
                <w:iCs w:val="0"/>
                <w:color w:val="auto"/>
                <w:kern w:val="0"/>
                <w:sz w:val="12"/>
                <w:szCs w:val="12"/>
                <w:u w:val="none"/>
                <w:lang w:val="en-US" w:eastAsia="zh-CN" w:bidi="ar"/>
              </w:rPr>
              <w:t>干净、无污迹、无废弃物、无积尘、无蜘蛛网、及时关闭门窗、桶内垃圾不超过2/3，摆放到位，及时关灯无长明灯，清新无臭味</w:t>
            </w:r>
          </w:p>
        </w:tc>
        <w:tc>
          <w:tcPr>
            <w:tcW w:w="510" w:type="dxa"/>
            <w:tcBorders>
              <w:top w:val="single" w:color="000000" w:sz="4" w:space="0"/>
              <w:left w:val="single" w:color="000000" w:sz="4" w:space="0"/>
              <w:bottom w:val="single" w:color="000000" w:sz="4" w:space="0"/>
              <w:right w:val="single" w:color="000000" w:sz="4" w:space="0"/>
            </w:tcBorders>
            <w:noWrap w:val="0"/>
            <w:vAlign w:val="center"/>
          </w:tcPr>
          <w:p w14:paraId="0F4DC9FB">
            <w:pPr>
              <w:keepNext w:val="0"/>
              <w:keepLines w:val="0"/>
              <w:widowControl/>
              <w:suppressLineNumbers w:val="0"/>
              <w:jc w:val="center"/>
              <w:textAlignment w:val="center"/>
              <w:rPr>
                <w:rFonts w:hint="eastAsia" w:ascii="宋体" w:hAnsi="宋体" w:eastAsia="宋体" w:cs="宋体"/>
                <w:i w:val="0"/>
                <w:iCs w:val="0"/>
                <w:color w:val="auto"/>
                <w:sz w:val="12"/>
                <w:szCs w:val="12"/>
                <w:u w:val="none"/>
              </w:rPr>
            </w:pPr>
            <w:r>
              <w:rPr>
                <w:rFonts w:hint="eastAsia" w:ascii="宋体" w:hAnsi="宋体" w:eastAsia="宋体" w:cs="宋体"/>
                <w:i w:val="0"/>
                <w:iCs w:val="0"/>
                <w:color w:val="auto"/>
                <w:kern w:val="0"/>
                <w:sz w:val="12"/>
                <w:szCs w:val="12"/>
                <w:u w:val="none"/>
                <w:lang w:val="en-US" w:eastAsia="zh-CN" w:bidi="ar"/>
              </w:rPr>
              <w:t>30</w:t>
            </w:r>
          </w:p>
        </w:tc>
        <w:tc>
          <w:tcPr>
            <w:tcW w:w="510" w:type="dxa"/>
            <w:tcBorders>
              <w:top w:val="single" w:color="000000" w:sz="4" w:space="0"/>
              <w:left w:val="single" w:color="000000" w:sz="4" w:space="0"/>
              <w:bottom w:val="single" w:color="000000" w:sz="4" w:space="0"/>
              <w:right w:val="single" w:color="000000" w:sz="4" w:space="0"/>
            </w:tcBorders>
            <w:noWrap w:val="0"/>
            <w:vAlign w:val="center"/>
          </w:tcPr>
          <w:p w14:paraId="1D57935F">
            <w:pPr>
              <w:keepNext w:val="0"/>
              <w:keepLines w:val="0"/>
              <w:widowControl/>
              <w:suppressLineNumbers w:val="0"/>
              <w:jc w:val="center"/>
              <w:textAlignment w:val="center"/>
              <w:rPr>
                <w:rFonts w:hint="eastAsia" w:ascii="宋体" w:hAnsi="宋体" w:eastAsia="宋体" w:cs="宋体"/>
                <w:i w:val="0"/>
                <w:iCs w:val="0"/>
                <w:color w:val="auto"/>
                <w:sz w:val="12"/>
                <w:szCs w:val="12"/>
                <w:u w:val="none"/>
              </w:rPr>
            </w:pPr>
            <w:r>
              <w:rPr>
                <w:rFonts w:hint="eastAsia" w:ascii="宋体" w:hAnsi="宋体" w:eastAsia="宋体" w:cs="宋体"/>
                <w:i w:val="0"/>
                <w:iCs w:val="0"/>
                <w:color w:val="auto"/>
                <w:kern w:val="0"/>
                <w:sz w:val="12"/>
                <w:szCs w:val="12"/>
                <w:u w:val="none"/>
                <w:lang w:val="en-US" w:eastAsia="zh-CN" w:bidi="ar"/>
              </w:rPr>
              <w:t>28</w:t>
            </w:r>
          </w:p>
        </w:tc>
        <w:tc>
          <w:tcPr>
            <w:tcW w:w="510" w:type="dxa"/>
            <w:tcBorders>
              <w:top w:val="single" w:color="000000" w:sz="4" w:space="0"/>
              <w:left w:val="single" w:color="000000" w:sz="4" w:space="0"/>
              <w:bottom w:val="single" w:color="000000" w:sz="4" w:space="0"/>
              <w:right w:val="single" w:color="000000" w:sz="4" w:space="0"/>
            </w:tcBorders>
            <w:noWrap w:val="0"/>
            <w:vAlign w:val="center"/>
          </w:tcPr>
          <w:p w14:paraId="23B7F795">
            <w:pPr>
              <w:keepNext w:val="0"/>
              <w:keepLines w:val="0"/>
              <w:widowControl/>
              <w:suppressLineNumbers w:val="0"/>
              <w:jc w:val="center"/>
              <w:textAlignment w:val="center"/>
              <w:rPr>
                <w:rFonts w:hint="eastAsia" w:ascii="宋体" w:hAnsi="宋体" w:eastAsia="宋体" w:cs="宋体"/>
                <w:i w:val="0"/>
                <w:iCs w:val="0"/>
                <w:color w:val="auto"/>
                <w:sz w:val="12"/>
                <w:szCs w:val="12"/>
                <w:u w:val="none"/>
              </w:rPr>
            </w:pPr>
            <w:r>
              <w:rPr>
                <w:rFonts w:hint="eastAsia" w:ascii="宋体" w:hAnsi="宋体" w:eastAsia="宋体" w:cs="宋体"/>
                <w:i w:val="0"/>
                <w:iCs w:val="0"/>
                <w:color w:val="auto"/>
                <w:kern w:val="0"/>
                <w:sz w:val="12"/>
                <w:szCs w:val="12"/>
                <w:u w:val="none"/>
                <w:lang w:val="en-US" w:eastAsia="zh-CN" w:bidi="ar"/>
              </w:rPr>
              <w:t>21</w:t>
            </w:r>
          </w:p>
        </w:tc>
        <w:tc>
          <w:tcPr>
            <w:tcW w:w="513" w:type="dxa"/>
            <w:tcBorders>
              <w:top w:val="single" w:color="000000" w:sz="4" w:space="0"/>
              <w:left w:val="single" w:color="000000" w:sz="4" w:space="0"/>
              <w:bottom w:val="single" w:color="000000" w:sz="4" w:space="0"/>
              <w:right w:val="single" w:color="000000" w:sz="4" w:space="0"/>
            </w:tcBorders>
            <w:noWrap w:val="0"/>
            <w:vAlign w:val="center"/>
          </w:tcPr>
          <w:p w14:paraId="249FF198">
            <w:pPr>
              <w:keepNext w:val="0"/>
              <w:keepLines w:val="0"/>
              <w:widowControl/>
              <w:suppressLineNumbers w:val="0"/>
              <w:jc w:val="center"/>
              <w:textAlignment w:val="center"/>
              <w:rPr>
                <w:rFonts w:hint="eastAsia" w:ascii="宋体" w:hAnsi="宋体" w:eastAsia="宋体" w:cs="宋体"/>
                <w:i w:val="0"/>
                <w:iCs w:val="0"/>
                <w:color w:val="auto"/>
                <w:sz w:val="12"/>
                <w:szCs w:val="12"/>
                <w:u w:val="none"/>
              </w:rPr>
            </w:pPr>
            <w:r>
              <w:rPr>
                <w:rFonts w:hint="eastAsia" w:ascii="宋体" w:hAnsi="宋体" w:eastAsia="宋体" w:cs="宋体"/>
                <w:i w:val="0"/>
                <w:iCs w:val="0"/>
                <w:color w:val="auto"/>
                <w:kern w:val="0"/>
                <w:sz w:val="12"/>
                <w:szCs w:val="12"/>
                <w:u w:val="none"/>
                <w:lang w:val="en-US" w:eastAsia="zh-CN" w:bidi="ar"/>
              </w:rPr>
              <w:t>15</w:t>
            </w:r>
          </w:p>
        </w:tc>
        <w:tc>
          <w:tcPr>
            <w:tcW w:w="578" w:type="dxa"/>
            <w:tcBorders>
              <w:top w:val="single" w:color="000000" w:sz="4" w:space="0"/>
              <w:left w:val="single" w:color="000000" w:sz="4" w:space="0"/>
              <w:bottom w:val="single" w:color="000000" w:sz="4" w:space="0"/>
              <w:right w:val="single" w:color="000000" w:sz="4" w:space="0"/>
            </w:tcBorders>
            <w:noWrap w:val="0"/>
            <w:vAlign w:val="center"/>
          </w:tcPr>
          <w:p w14:paraId="22F7C518">
            <w:pPr>
              <w:jc w:val="center"/>
              <w:rPr>
                <w:rFonts w:hint="eastAsia" w:ascii="宋体" w:hAnsi="宋体" w:eastAsia="宋体" w:cs="宋体"/>
                <w:i w:val="0"/>
                <w:iCs w:val="0"/>
                <w:color w:val="auto"/>
                <w:sz w:val="12"/>
                <w:szCs w:val="12"/>
                <w:u w:val="none"/>
              </w:rPr>
            </w:pPr>
          </w:p>
        </w:tc>
        <w:tc>
          <w:tcPr>
            <w:tcW w:w="578" w:type="dxa"/>
            <w:tcBorders>
              <w:top w:val="single" w:color="000000" w:sz="4" w:space="0"/>
              <w:left w:val="single" w:color="000000" w:sz="4" w:space="0"/>
              <w:bottom w:val="single" w:color="000000" w:sz="4" w:space="0"/>
              <w:right w:val="single" w:color="000000" w:sz="4" w:space="0"/>
            </w:tcBorders>
            <w:noWrap w:val="0"/>
            <w:vAlign w:val="center"/>
          </w:tcPr>
          <w:p w14:paraId="1C1A5B03">
            <w:pPr>
              <w:jc w:val="center"/>
              <w:rPr>
                <w:rFonts w:hint="eastAsia" w:ascii="宋体" w:hAnsi="宋体" w:eastAsia="宋体" w:cs="宋体"/>
                <w:i w:val="0"/>
                <w:iCs w:val="0"/>
                <w:color w:val="auto"/>
                <w:sz w:val="12"/>
                <w:szCs w:val="12"/>
                <w:u w:val="none"/>
              </w:rPr>
            </w:pPr>
          </w:p>
        </w:tc>
        <w:tc>
          <w:tcPr>
            <w:tcW w:w="578" w:type="dxa"/>
            <w:tcBorders>
              <w:top w:val="single" w:color="000000" w:sz="4" w:space="0"/>
              <w:left w:val="single" w:color="000000" w:sz="4" w:space="0"/>
              <w:bottom w:val="single" w:color="000000" w:sz="4" w:space="0"/>
              <w:right w:val="single" w:color="000000" w:sz="4" w:space="0"/>
            </w:tcBorders>
            <w:noWrap w:val="0"/>
            <w:vAlign w:val="center"/>
          </w:tcPr>
          <w:p w14:paraId="6919A55D">
            <w:pPr>
              <w:jc w:val="center"/>
              <w:rPr>
                <w:rFonts w:hint="eastAsia" w:ascii="宋体" w:hAnsi="宋体" w:eastAsia="宋体" w:cs="宋体"/>
                <w:i w:val="0"/>
                <w:iCs w:val="0"/>
                <w:color w:val="auto"/>
                <w:sz w:val="12"/>
                <w:szCs w:val="12"/>
                <w:u w:val="none"/>
              </w:rPr>
            </w:pPr>
          </w:p>
        </w:tc>
        <w:tc>
          <w:tcPr>
            <w:tcW w:w="578" w:type="dxa"/>
            <w:tcBorders>
              <w:top w:val="single" w:color="000000" w:sz="4" w:space="0"/>
              <w:left w:val="single" w:color="000000" w:sz="4" w:space="0"/>
              <w:bottom w:val="single" w:color="000000" w:sz="4" w:space="0"/>
              <w:right w:val="single" w:color="000000" w:sz="4" w:space="0"/>
            </w:tcBorders>
            <w:noWrap w:val="0"/>
            <w:vAlign w:val="center"/>
          </w:tcPr>
          <w:p w14:paraId="48E8710A">
            <w:pPr>
              <w:jc w:val="center"/>
              <w:rPr>
                <w:rFonts w:hint="eastAsia" w:ascii="宋体" w:hAnsi="宋体" w:eastAsia="宋体" w:cs="宋体"/>
                <w:i w:val="0"/>
                <w:iCs w:val="0"/>
                <w:color w:val="auto"/>
                <w:sz w:val="12"/>
                <w:szCs w:val="12"/>
                <w:u w:val="none"/>
              </w:rPr>
            </w:pPr>
          </w:p>
        </w:tc>
        <w:tc>
          <w:tcPr>
            <w:tcW w:w="578" w:type="dxa"/>
            <w:tcBorders>
              <w:top w:val="single" w:color="000000" w:sz="4" w:space="0"/>
              <w:left w:val="single" w:color="000000" w:sz="4" w:space="0"/>
              <w:bottom w:val="single" w:color="000000" w:sz="4" w:space="0"/>
              <w:right w:val="single" w:color="000000" w:sz="4" w:space="0"/>
            </w:tcBorders>
            <w:noWrap/>
            <w:vAlign w:val="center"/>
          </w:tcPr>
          <w:p w14:paraId="0274A058">
            <w:pPr>
              <w:jc w:val="center"/>
              <w:rPr>
                <w:rFonts w:hint="eastAsia" w:ascii="宋体" w:hAnsi="宋体" w:eastAsia="宋体" w:cs="宋体"/>
                <w:i w:val="0"/>
                <w:iCs w:val="0"/>
                <w:color w:val="auto"/>
                <w:sz w:val="12"/>
                <w:szCs w:val="12"/>
                <w:u w:val="none"/>
              </w:rPr>
            </w:pPr>
          </w:p>
        </w:tc>
        <w:tc>
          <w:tcPr>
            <w:tcW w:w="582" w:type="dxa"/>
            <w:tcBorders>
              <w:top w:val="single" w:color="000000" w:sz="4" w:space="0"/>
              <w:left w:val="single" w:color="000000" w:sz="4" w:space="0"/>
              <w:bottom w:val="single" w:color="000000" w:sz="4" w:space="0"/>
              <w:right w:val="single" w:color="000000" w:sz="4" w:space="0"/>
            </w:tcBorders>
            <w:noWrap/>
            <w:vAlign w:val="center"/>
          </w:tcPr>
          <w:p w14:paraId="6B2FABBC">
            <w:pPr>
              <w:jc w:val="center"/>
              <w:rPr>
                <w:rFonts w:hint="eastAsia" w:ascii="宋体" w:hAnsi="宋体" w:eastAsia="宋体" w:cs="宋体"/>
                <w:i w:val="0"/>
                <w:iCs w:val="0"/>
                <w:color w:val="auto"/>
                <w:sz w:val="12"/>
                <w:szCs w:val="12"/>
                <w:u w:val="none"/>
              </w:rPr>
            </w:pPr>
          </w:p>
        </w:tc>
      </w:tr>
      <w:tr w14:paraId="4FDA7C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656" w:type="dxa"/>
            <w:tcBorders>
              <w:top w:val="single" w:color="000000" w:sz="4" w:space="0"/>
              <w:left w:val="single" w:color="000000" w:sz="4" w:space="0"/>
              <w:bottom w:val="single" w:color="000000" w:sz="4" w:space="0"/>
              <w:right w:val="single" w:color="000000" w:sz="4" w:space="0"/>
            </w:tcBorders>
            <w:noWrap w:val="0"/>
            <w:vAlign w:val="center"/>
          </w:tcPr>
          <w:p w14:paraId="39BC2682">
            <w:pPr>
              <w:keepNext w:val="0"/>
              <w:keepLines w:val="0"/>
              <w:widowControl/>
              <w:suppressLineNumbers w:val="0"/>
              <w:jc w:val="center"/>
              <w:textAlignment w:val="center"/>
              <w:rPr>
                <w:rFonts w:hint="eastAsia" w:ascii="宋体" w:hAnsi="宋体" w:eastAsia="宋体" w:cs="宋体"/>
                <w:i w:val="0"/>
                <w:iCs w:val="0"/>
                <w:color w:val="auto"/>
                <w:sz w:val="12"/>
                <w:szCs w:val="12"/>
                <w:u w:val="none"/>
              </w:rPr>
            </w:pPr>
            <w:r>
              <w:rPr>
                <w:rFonts w:hint="eastAsia" w:ascii="宋体" w:hAnsi="宋体" w:eastAsia="宋体" w:cs="宋体"/>
                <w:i w:val="0"/>
                <w:iCs w:val="0"/>
                <w:color w:val="auto"/>
                <w:kern w:val="0"/>
                <w:sz w:val="12"/>
                <w:szCs w:val="12"/>
                <w:u w:val="none"/>
                <w:lang w:val="en-US" w:eastAsia="zh-CN" w:bidi="ar"/>
              </w:rPr>
              <w:t>室外环境卫生与垃圾清运</w:t>
            </w:r>
          </w:p>
        </w:tc>
        <w:tc>
          <w:tcPr>
            <w:tcW w:w="1249" w:type="dxa"/>
            <w:tcBorders>
              <w:top w:val="single" w:color="000000" w:sz="4" w:space="0"/>
              <w:left w:val="single" w:color="000000" w:sz="4" w:space="0"/>
              <w:bottom w:val="single" w:color="000000" w:sz="4" w:space="0"/>
              <w:right w:val="single" w:color="000000" w:sz="4" w:space="0"/>
            </w:tcBorders>
            <w:noWrap w:val="0"/>
            <w:vAlign w:val="center"/>
          </w:tcPr>
          <w:p w14:paraId="26C2EA79">
            <w:pPr>
              <w:keepNext w:val="0"/>
              <w:keepLines w:val="0"/>
              <w:widowControl/>
              <w:suppressLineNumbers w:val="0"/>
              <w:jc w:val="center"/>
              <w:textAlignment w:val="center"/>
              <w:rPr>
                <w:rFonts w:hint="eastAsia" w:ascii="宋体" w:hAnsi="宋体" w:eastAsia="宋体" w:cs="宋体"/>
                <w:i w:val="0"/>
                <w:iCs w:val="0"/>
                <w:color w:val="auto"/>
                <w:sz w:val="12"/>
                <w:szCs w:val="12"/>
                <w:u w:val="none"/>
              </w:rPr>
            </w:pPr>
            <w:r>
              <w:rPr>
                <w:rFonts w:hint="eastAsia" w:ascii="宋体" w:hAnsi="宋体" w:eastAsia="宋体" w:cs="宋体"/>
                <w:i w:val="0"/>
                <w:iCs w:val="0"/>
                <w:color w:val="auto"/>
                <w:kern w:val="0"/>
                <w:sz w:val="12"/>
                <w:szCs w:val="12"/>
                <w:u w:val="none"/>
                <w:lang w:val="en-US" w:eastAsia="zh-CN" w:bidi="ar"/>
              </w:rPr>
              <w:t>硬化路面、道路</w:t>
            </w:r>
            <w:r>
              <w:rPr>
                <w:rFonts w:hint="eastAsia" w:ascii="宋体" w:hAnsi="宋体" w:eastAsia="宋体" w:cs="宋体"/>
                <w:i w:val="0"/>
                <w:iCs w:val="0"/>
                <w:color w:val="auto"/>
                <w:kern w:val="0"/>
                <w:sz w:val="12"/>
                <w:szCs w:val="12"/>
                <w:u w:val="none"/>
                <w:lang w:val="en-US" w:eastAsia="zh-CN" w:bidi="ar"/>
              </w:rPr>
              <w:br w:type="textWrapping"/>
            </w:r>
            <w:r>
              <w:rPr>
                <w:rFonts w:hint="eastAsia" w:ascii="宋体" w:hAnsi="宋体" w:eastAsia="宋体" w:cs="宋体"/>
                <w:i w:val="0"/>
                <w:iCs w:val="0"/>
                <w:color w:val="auto"/>
                <w:kern w:val="0"/>
                <w:sz w:val="12"/>
                <w:szCs w:val="12"/>
                <w:u w:val="none"/>
                <w:lang w:val="en-US" w:eastAsia="zh-CN" w:bidi="ar"/>
              </w:rPr>
              <w:t>两旁、果皮箱、</w:t>
            </w:r>
            <w:r>
              <w:rPr>
                <w:rFonts w:hint="eastAsia" w:ascii="宋体" w:hAnsi="宋体" w:eastAsia="宋体" w:cs="宋体"/>
                <w:i w:val="0"/>
                <w:iCs w:val="0"/>
                <w:color w:val="auto"/>
                <w:kern w:val="0"/>
                <w:sz w:val="12"/>
                <w:szCs w:val="12"/>
                <w:u w:val="none"/>
                <w:lang w:val="en-US" w:eastAsia="zh-CN" w:bidi="ar"/>
              </w:rPr>
              <w:br w:type="textWrapping"/>
            </w:r>
            <w:r>
              <w:rPr>
                <w:rFonts w:hint="eastAsia" w:ascii="宋体" w:hAnsi="宋体" w:eastAsia="宋体" w:cs="宋体"/>
                <w:i w:val="0"/>
                <w:iCs w:val="0"/>
                <w:color w:val="auto"/>
                <w:kern w:val="0"/>
                <w:sz w:val="12"/>
                <w:szCs w:val="12"/>
                <w:u w:val="none"/>
                <w:lang w:val="en-US" w:eastAsia="zh-CN" w:bidi="ar"/>
              </w:rPr>
              <w:t>垃圾桶、各类设</w:t>
            </w:r>
            <w:r>
              <w:rPr>
                <w:rFonts w:hint="eastAsia" w:ascii="宋体" w:hAnsi="宋体" w:eastAsia="宋体" w:cs="宋体"/>
                <w:i w:val="0"/>
                <w:iCs w:val="0"/>
                <w:color w:val="auto"/>
                <w:kern w:val="0"/>
                <w:sz w:val="12"/>
                <w:szCs w:val="12"/>
                <w:u w:val="none"/>
                <w:lang w:val="en-US" w:eastAsia="zh-CN" w:bidi="ar"/>
              </w:rPr>
              <w:br w:type="textWrapping"/>
            </w:r>
            <w:r>
              <w:rPr>
                <w:rFonts w:hint="eastAsia" w:ascii="宋体" w:hAnsi="宋体" w:eastAsia="宋体" w:cs="宋体"/>
                <w:i w:val="0"/>
                <w:iCs w:val="0"/>
                <w:color w:val="auto"/>
                <w:kern w:val="0"/>
                <w:sz w:val="12"/>
                <w:szCs w:val="12"/>
                <w:u w:val="none"/>
                <w:lang w:val="en-US" w:eastAsia="zh-CN" w:bidi="ar"/>
              </w:rPr>
              <w:t>施设备、其他区域</w:t>
            </w:r>
          </w:p>
        </w:tc>
        <w:tc>
          <w:tcPr>
            <w:tcW w:w="1660" w:type="dxa"/>
            <w:tcBorders>
              <w:top w:val="single" w:color="000000" w:sz="4" w:space="0"/>
              <w:left w:val="single" w:color="000000" w:sz="4" w:space="0"/>
              <w:bottom w:val="single" w:color="000000" w:sz="4" w:space="0"/>
              <w:right w:val="single" w:color="000000" w:sz="4" w:space="0"/>
            </w:tcBorders>
            <w:noWrap w:val="0"/>
            <w:vAlign w:val="center"/>
          </w:tcPr>
          <w:p w14:paraId="22EB5B6F">
            <w:pPr>
              <w:keepNext w:val="0"/>
              <w:keepLines w:val="0"/>
              <w:widowControl/>
              <w:suppressLineNumbers w:val="0"/>
              <w:jc w:val="center"/>
              <w:textAlignment w:val="center"/>
              <w:rPr>
                <w:rFonts w:hint="eastAsia" w:ascii="宋体" w:hAnsi="宋体" w:eastAsia="宋体" w:cs="宋体"/>
                <w:i w:val="0"/>
                <w:iCs w:val="0"/>
                <w:color w:val="auto"/>
                <w:sz w:val="12"/>
                <w:szCs w:val="12"/>
                <w:u w:val="none"/>
              </w:rPr>
            </w:pPr>
            <w:r>
              <w:rPr>
                <w:rFonts w:hint="eastAsia" w:ascii="宋体" w:hAnsi="宋体" w:eastAsia="宋体" w:cs="宋体"/>
                <w:i w:val="0"/>
                <w:iCs w:val="0"/>
                <w:color w:val="auto"/>
                <w:kern w:val="0"/>
                <w:sz w:val="12"/>
                <w:szCs w:val="12"/>
                <w:u w:val="none"/>
                <w:lang w:val="en-US" w:eastAsia="zh-CN" w:bidi="ar"/>
              </w:rPr>
              <w:t>干净、无污迹、无废弃物、光亮、洁净、无积垢，箱（桶）内垃圾不能超过3/4，摆放到位</w:t>
            </w:r>
          </w:p>
        </w:tc>
        <w:tc>
          <w:tcPr>
            <w:tcW w:w="510" w:type="dxa"/>
            <w:tcBorders>
              <w:top w:val="single" w:color="000000" w:sz="4" w:space="0"/>
              <w:left w:val="single" w:color="000000" w:sz="4" w:space="0"/>
              <w:bottom w:val="single" w:color="000000" w:sz="4" w:space="0"/>
              <w:right w:val="single" w:color="000000" w:sz="4" w:space="0"/>
            </w:tcBorders>
            <w:noWrap w:val="0"/>
            <w:vAlign w:val="center"/>
          </w:tcPr>
          <w:p w14:paraId="1F6D6753">
            <w:pPr>
              <w:keepNext w:val="0"/>
              <w:keepLines w:val="0"/>
              <w:widowControl/>
              <w:suppressLineNumbers w:val="0"/>
              <w:jc w:val="center"/>
              <w:textAlignment w:val="center"/>
              <w:rPr>
                <w:rFonts w:hint="eastAsia" w:ascii="宋体" w:hAnsi="宋体" w:eastAsia="宋体" w:cs="宋体"/>
                <w:i w:val="0"/>
                <w:iCs w:val="0"/>
                <w:color w:val="auto"/>
                <w:sz w:val="12"/>
                <w:szCs w:val="12"/>
                <w:u w:val="none"/>
              </w:rPr>
            </w:pPr>
            <w:r>
              <w:rPr>
                <w:rFonts w:hint="eastAsia" w:ascii="宋体" w:hAnsi="宋体" w:eastAsia="宋体" w:cs="宋体"/>
                <w:i w:val="0"/>
                <w:iCs w:val="0"/>
                <w:color w:val="auto"/>
                <w:kern w:val="0"/>
                <w:sz w:val="12"/>
                <w:szCs w:val="12"/>
                <w:u w:val="none"/>
                <w:lang w:val="en-US" w:eastAsia="zh-CN" w:bidi="ar"/>
              </w:rPr>
              <w:t>25</w:t>
            </w:r>
          </w:p>
        </w:tc>
        <w:tc>
          <w:tcPr>
            <w:tcW w:w="510" w:type="dxa"/>
            <w:tcBorders>
              <w:top w:val="single" w:color="000000" w:sz="4" w:space="0"/>
              <w:left w:val="single" w:color="000000" w:sz="4" w:space="0"/>
              <w:bottom w:val="single" w:color="000000" w:sz="4" w:space="0"/>
              <w:right w:val="single" w:color="000000" w:sz="4" w:space="0"/>
            </w:tcBorders>
            <w:noWrap w:val="0"/>
            <w:vAlign w:val="center"/>
          </w:tcPr>
          <w:p w14:paraId="058BDF38">
            <w:pPr>
              <w:keepNext w:val="0"/>
              <w:keepLines w:val="0"/>
              <w:widowControl/>
              <w:suppressLineNumbers w:val="0"/>
              <w:jc w:val="center"/>
              <w:textAlignment w:val="center"/>
              <w:rPr>
                <w:rFonts w:hint="eastAsia" w:ascii="宋体" w:hAnsi="宋体" w:eastAsia="宋体" w:cs="宋体"/>
                <w:i w:val="0"/>
                <w:iCs w:val="0"/>
                <w:color w:val="auto"/>
                <w:sz w:val="12"/>
                <w:szCs w:val="12"/>
                <w:u w:val="none"/>
              </w:rPr>
            </w:pPr>
            <w:r>
              <w:rPr>
                <w:rFonts w:hint="eastAsia" w:ascii="宋体" w:hAnsi="宋体" w:eastAsia="宋体" w:cs="宋体"/>
                <w:i w:val="0"/>
                <w:iCs w:val="0"/>
                <w:color w:val="auto"/>
                <w:kern w:val="0"/>
                <w:sz w:val="12"/>
                <w:szCs w:val="12"/>
                <w:u w:val="none"/>
                <w:lang w:val="en-US" w:eastAsia="zh-CN" w:bidi="ar"/>
              </w:rPr>
              <w:t>23</w:t>
            </w:r>
          </w:p>
        </w:tc>
        <w:tc>
          <w:tcPr>
            <w:tcW w:w="510" w:type="dxa"/>
            <w:tcBorders>
              <w:top w:val="single" w:color="000000" w:sz="4" w:space="0"/>
              <w:left w:val="single" w:color="000000" w:sz="4" w:space="0"/>
              <w:bottom w:val="single" w:color="000000" w:sz="4" w:space="0"/>
              <w:right w:val="single" w:color="000000" w:sz="4" w:space="0"/>
            </w:tcBorders>
            <w:noWrap w:val="0"/>
            <w:vAlign w:val="center"/>
          </w:tcPr>
          <w:p w14:paraId="01AB846C">
            <w:pPr>
              <w:keepNext w:val="0"/>
              <w:keepLines w:val="0"/>
              <w:widowControl/>
              <w:suppressLineNumbers w:val="0"/>
              <w:jc w:val="center"/>
              <w:textAlignment w:val="center"/>
              <w:rPr>
                <w:rFonts w:hint="eastAsia" w:ascii="宋体" w:hAnsi="宋体" w:eastAsia="宋体" w:cs="宋体"/>
                <w:i w:val="0"/>
                <w:iCs w:val="0"/>
                <w:color w:val="auto"/>
                <w:sz w:val="12"/>
                <w:szCs w:val="12"/>
                <w:u w:val="none"/>
              </w:rPr>
            </w:pPr>
            <w:r>
              <w:rPr>
                <w:rFonts w:hint="eastAsia" w:ascii="宋体" w:hAnsi="宋体" w:eastAsia="宋体" w:cs="宋体"/>
                <w:i w:val="0"/>
                <w:iCs w:val="0"/>
                <w:color w:val="auto"/>
                <w:kern w:val="0"/>
                <w:sz w:val="12"/>
                <w:szCs w:val="12"/>
                <w:u w:val="none"/>
                <w:lang w:val="en-US" w:eastAsia="zh-CN" w:bidi="ar"/>
              </w:rPr>
              <w:t>18</w:t>
            </w:r>
          </w:p>
        </w:tc>
        <w:tc>
          <w:tcPr>
            <w:tcW w:w="513" w:type="dxa"/>
            <w:tcBorders>
              <w:top w:val="single" w:color="000000" w:sz="4" w:space="0"/>
              <w:left w:val="single" w:color="000000" w:sz="4" w:space="0"/>
              <w:bottom w:val="single" w:color="000000" w:sz="4" w:space="0"/>
              <w:right w:val="single" w:color="000000" w:sz="4" w:space="0"/>
            </w:tcBorders>
            <w:noWrap w:val="0"/>
            <w:vAlign w:val="center"/>
          </w:tcPr>
          <w:p w14:paraId="5D0F8767">
            <w:pPr>
              <w:keepNext w:val="0"/>
              <w:keepLines w:val="0"/>
              <w:widowControl/>
              <w:suppressLineNumbers w:val="0"/>
              <w:jc w:val="center"/>
              <w:textAlignment w:val="center"/>
              <w:rPr>
                <w:rFonts w:hint="eastAsia" w:ascii="宋体" w:hAnsi="宋体" w:eastAsia="宋体" w:cs="宋体"/>
                <w:i w:val="0"/>
                <w:iCs w:val="0"/>
                <w:color w:val="auto"/>
                <w:sz w:val="12"/>
                <w:szCs w:val="12"/>
                <w:u w:val="none"/>
              </w:rPr>
            </w:pPr>
            <w:r>
              <w:rPr>
                <w:rFonts w:hint="eastAsia" w:ascii="宋体" w:hAnsi="宋体" w:eastAsia="宋体" w:cs="宋体"/>
                <w:i w:val="0"/>
                <w:iCs w:val="0"/>
                <w:color w:val="auto"/>
                <w:kern w:val="0"/>
                <w:sz w:val="12"/>
                <w:szCs w:val="12"/>
                <w:u w:val="none"/>
                <w:lang w:val="en-US" w:eastAsia="zh-CN" w:bidi="ar"/>
              </w:rPr>
              <w:t>14</w:t>
            </w:r>
          </w:p>
        </w:tc>
        <w:tc>
          <w:tcPr>
            <w:tcW w:w="578" w:type="dxa"/>
            <w:tcBorders>
              <w:top w:val="single" w:color="000000" w:sz="4" w:space="0"/>
              <w:left w:val="single" w:color="000000" w:sz="4" w:space="0"/>
              <w:bottom w:val="single" w:color="000000" w:sz="4" w:space="0"/>
              <w:right w:val="single" w:color="000000" w:sz="4" w:space="0"/>
            </w:tcBorders>
            <w:noWrap w:val="0"/>
            <w:vAlign w:val="center"/>
          </w:tcPr>
          <w:p w14:paraId="5F0E6261">
            <w:pPr>
              <w:jc w:val="center"/>
              <w:rPr>
                <w:rFonts w:hint="eastAsia" w:ascii="宋体" w:hAnsi="宋体" w:eastAsia="宋体" w:cs="宋体"/>
                <w:i w:val="0"/>
                <w:iCs w:val="0"/>
                <w:color w:val="auto"/>
                <w:sz w:val="12"/>
                <w:szCs w:val="12"/>
                <w:u w:val="none"/>
              </w:rPr>
            </w:pPr>
          </w:p>
        </w:tc>
        <w:tc>
          <w:tcPr>
            <w:tcW w:w="578" w:type="dxa"/>
            <w:tcBorders>
              <w:top w:val="single" w:color="000000" w:sz="4" w:space="0"/>
              <w:left w:val="single" w:color="000000" w:sz="4" w:space="0"/>
              <w:bottom w:val="single" w:color="000000" w:sz="4" w:space="0"/>
              <w:right w:val="single" w:color="000000" w:sz="4" w:space="0"/>
            </w:tcBorders>
            <w:noWrap w:val="0"/>
            <w:vAlign w:val="center"/>
          </w:tcPr>
          <w:p w14:paraId="0AA729F2">
            <w:pPr>
              <w:jc w:val="center"/>
              <w:rPr>
                <w:rFonts w:hint="eastAsia" w:ascii="宋体" w:hAnsi="宋体" w:eastAsia="宋体" w:cs="宋体"/>
                <w:i w:val="0"/>
                <w:iCs w:val="0"/>
                <w:color w:val="auto"/>
                <w:sz w:val="12"/>
                <w:szCs w:val="12"/>
                <w:u w:val="none"/>
              </w:rPr>
            </w:pPr>
          </w:p>
        </w:tc>
        <w:tc>
          <w:tcPr>
            <w:tcW w:w="578" w:type="dxa"/>
            <w:tcBorders>
              <w:top w:val="single" w:color="000000" w:sz="4" w:space="0"/>
              <w:left w:val="single" w:color="000000" w:sz="4" w:space="0"/>
              <w:bottom w:val="single" w:color="000000" w:sz="4" w:space="0"/>
              <w:right w:val="single" w:color="000000" w:sz="4" w:space="0"/>
            </w:tcBorders>
            <w:noWrap w:val="0"/>
            <w:vAlign w:val="center"/>
          </w:tcPr>
          <w:p w14:paraId="620E85FA">
            <w:pPr>
              <w:jc w:val="center"/>
              <w:rPr>
                <w:rFonts w:hint="eastAsia" w:ascii="宋体" w:hAnsi="宋体" w:eastAsia="宋体" w:cs="宋体"/>
                <w:i w:val="0"/>
                <w:iCs w:val="0"/>
                <w:color w:val="auto"/>
                <w:sz w:val="12"/>
                <w:szCs w:val="12"/>
                <w:u w:val="none"/>
              </w:rPr>
            </w:pPr>
          </w:p>
        </w:tc>
        <w:tc>
          <w:tcPr>
            <w:tcW w:w="578" w:type="dxa"/>
            <w:tcBorders>
              <w:top w:val="single" w:color="000000" w:sz="4" w:space="0"/>
              <w:left w:val="single" w:color="000000" w:sz="4" w:space="0"/>
              <w:bottom w:val="single" w:color="000000" w:sz="4" w:space="0"/>
              <w:right w:val="single" w:color="000000" w:sz="4" w:space="0"/>
            </w:tcBorders>
            <w:noWrap w:val="0"/>
            <w:vAlign w:val="center"/>
          </w:tcPr>
          <w:p w14:paraId="6181DA9B">
            <w:pPr>
              <w:jc w:val="center"/>
              <w:rPr>
                <w:rFonts w:hint="eastAsia" w:ascii="宋体" w:hAnsi="宋体" w:eastAsia="宋体" w:cs="宋体"/>
                <w:i w:val="0"/>
                <w:iCs w:val="0"/>
                <w:color w:val="auto"/>
                <w:sz w:val="12"/>
                <w:szCs w:val="12"/>
                <w:u w:val="none"/>
              </w:rPr>
            </w:pPr>
          </w:p>
        </w:tc>
        <w:tc>
          <w:tcPr>
            <w:tcW w:w="578" w:type="dxa"/>
            <w:tcBorders>
              <w:top w:val="single" w:color="000000" w:sz="4" w:space="0"/>
              <w:left w:val="single" w:color="000000" w:sz="4" w:space="0"/>
              <w:bottom w:val="single" w:color="000000" w:sz="4" w:space="0"/>
              <w:right w:val="single" w:color="000000" w:sz="4" w:space="0"/>
            </w:tcBorders>
            <w:noWrap/>
            <w:vAlign w:val="center"/>
          </w:tcPr>
          <w:p w14:paraId="70DA2C38">
            <w:pPr>
              <w:jc w:val="center"/>
              <w:rPr>
                <w:rFonts w:hint="eastAsia" w:ascii="宋体" w:hAnsi="宋体" w:eastAsia="宋体" w:cs="宋体"/>
                <w:i w:val="0"/>
                <w:iCs w:val="0"/>
                <w:color w:val="auto"/>
                <w:sz w:val="12"/>
                <w:szCs w:val="12"/>
                <w:u w:val="none"/>
              </w:rPr>
            </w:pPr>
          </w:p>
        </w:tc>
        <w:tc>
          <w:tcPr>
            <w:tcW w:w="582" w:type="dxa"/>
            <w:tcBorders>
              <w:top w:val="single" w:color="000000" w:sz="4" w:space="0"/>
              <w:left w:val="single" w:color="000000" w:sz="4" w:space="0"/>
              <w:bottom w:val="single" w:color="000000" w:sz="4" w:space="0"/>
              <w:right w:val="single" w:color="000000" w:sz="4" w:space="0"/>
            </w:tcBorders>
            <w:noWrap/>
            <w:vAlign w:val="center"/>
          </w:tcPr>
          <w:p w14:paraId="01B5539A">
            <w:pPr>
              <w:jc w:val="center"/>
              <w:rPr>
                <w:rFonts w:hint="eastAsia" w:ascii="宋体" w:hAnsi="宋体" w:eastAsia="宋体" w:cs="宋体"/>
                <w:i w:val="0"/>
                <w:iCs w:val="0"/>
                <w:color w:val="auto"/>
                <w:sz w:val="12"/>
                <w:szCs w:val="12"/>
                <w:u w:val="none"/>
              </w:rPr>
            </w:pPr>
          </w:p>
        </w:tc>
      </w:tr>
      <w:tr w14:paraId="4F30C7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656" w:type="dxa"/>
            <w:tcBorders>
              <w:top w:val="single" w:color="000000" w:sz="4" w:space="0"/>
              <w:left w:val="single" w:color="000000" w:sz="4" w:space="0"/>
              <w:bottom w:val="single" w:color="000000" w:sz="4" w:space="0"/>
              <w:right w:val="single" w:color="000000" w:sz="4" w:space="0"/>
            </w:tcBorders>
            <w:noWrap w:val="0"/>
            <w:vAlign w:val="center"/>
          </w:tcPr>
          <w:p w14:paraId="58047BE4">
            <w:pPr>
              <w:keepNext w:val="0"/>
              <w:keepLines w:val="0"/>
              <w:widowControl/>
              <w:suppressLineNumbers w:val="0"/>
              <w:jc w:val="center"/>
              <w:textAlignment w:val="center"/>
              <w:rPr>
                <w:rFonts w:hint="eastAsia" w:ascii="宋体" w:hAnsi="宋体" w:eastAsia="宋体" w:cs="宋体"/>
                <w:i w:val="0"/>
                <w:iCs w:val="0"/>
                <w:color w:val="auto"/>
                <w:sz w:val="12"/>
                <w:szCs w:val="12"/>
                <w:u w:val="none"/>
              </w:rPr>
            </w:pPr>
            <w:r>
              <w:rPr>
                <w:rFonts w:hint="eastAsia" w:ascii="宋体" w:hAnsi="宋体" w:eastAsia="宋体" w:cs="宋体"/>
                <w:i w:val="0"/>
                <w:iCs w:val="0"/>
                <w:color w:val="auto"/>
                <w:kern w:val="0"/>
                <w:sz w:val="12"/>
                <w:szCs w:val="12"/>
                <w:u w:val="none"/>
                <w:lang w:val="en-US" w:eastAsia="zh-CN" w:bidi="ar"/>
              </w:rPr>
              <w:t>工作人员</w:t>
            </w:r>
          </w:p>
        </w:tc>
        <w:tc>
          <w:tcPr>
            <w:tcW w:w="1249" w:type="dxa"/>
            <w:tcBorders>
              <w:top w:val="single" w:color="000000" w:sz="4" w:space="0"/>
              <w:left w:val="single" w:color="000000" w:sz="4" w:space="0"/>
              <w:bottom w:val="single" w:color="000000" w:sz="4" w:space="0"/>
              <w:right w:val="single" w:color="000000" w:sz="4" w:space="0"/>
            </w:tcBorders>
            <w:noWrap w:val="0"/>
            <w:vAlign w:val="center"/>
          </w:tcPr>
          <w:p w14:paraId="4A352D37">
            <w:pPr>
              <w:keepNext w:val="0"/>
              <w:keepLines w:val="0"/>
              <w:widowControl/>
              <w:suppressLineNumbers w:val="0"/>
              <w:jc w:val="center"/>
              <w:textAlignment w:val="center"/>
              <w:rPr>
                <w:rFonts w:hint="eastAsia" w:ascii="宋体" w:hAnsi="宋体" w:eastAsia="宋体" w:cs="宋体"/>
                <w:i w:val="0"/>
                <w:iCs w:val="0"/>
                <w:color w:val="auto"/>
                <w:sz w:val="12"/>
                <w:szCs w:val="12"/>
                <w:u w:val="none"/>
              </w:rPr>
            </w:pPr>
            <w:r>
              <w:rPr>
                <w:rFonts w:hint="eastAsia" w:ascii="宋体" w:hAnsi="宋体" w:eastAsia="宋体" w:cs="宋体"/>
                <w:i w:val="0"/>
                <w:iCs w:val="0"/>
                <w:color w:val="auto"/>
                <w:kern w:val="0"/>
                <w:sz w:val="12"/>
                <w:szCs w:val="12"/>
                <w:u w:val="none"/>
                <w:lang w:val="en-US" w:eastAsia="zh-CN" w:bidi="ar"/>
              </w:rPr>
              <w:t>着工作服、无脱</w:t>
            </w:r>
            <w:r>
              <w:rPr>
                <w:rFonts w:hint="eastAsia" w:ascii="宋体" w:hAnsi="宋体" w:eastAsia="宋体" w:cs="宋体"/>
                <w:i w:val="0"/>
                <w:iCs w:val="0"/>
                <w:color w:val="auto"/>
                <w:kern w:val="0"/>
                <w:sz w:val="12"/>
                <w:szCs w:val="12"/>
                <w:u w:val="none"/>
                <w:lang w:val="en-US" w:eastAsia="zh-CN" w:bidi="ar"/>
              </w:rPr>
              <w:br w:type="textWrapping"/>
            </w:r>
            <w:r>
              <w:rPr>
                <w:rFonts w:hint="eastAsia" w:ascii="宋体" w:hAnsi="宋体" w:eastAsia="宋体" w:cs="宋体"/>
                <w:i w:val="0"/>
                <w:iCs w:val="0"/>
                <w:color w:val="auto"/>
                <w:kern w:val="0"/>
                <w:sz w:val="12"/>
                <w:szCs w:val="12"/>
                <w:u w:val="none"/>
                <w:lang w:val="en-US" w:eastAsia="zh-CN" w:bidi="ar"/>
              </w:rPr>
              <w:t>岗、工作时效性</w:t>
            </w:r>
          </w:p>
        </w:tc>
        <w:tc>
          <w:tcPr>
            <w:tcW w:w="1660" w:type="dxa"/>
            <w:tcBorders>
              <w:top w:val="single" w:color="000000" w:sz="4" w:space="0"/>
              <w:left w:val="single" w:color="000000" w:sz="4" w:space="0"/>
              <w:bottom w:val="single" w:color="000000" w:sz="4" w:space="0"/>
              <w:right w:val="single" w:color="000000" w:sz="4" w:space="0"/>
            </w:tcBorders>
            <w:noWrap w:val="0"/>
            <w:vAlign w:val="center"/>
          </w:tcPr>
          <w:p w14:paraId="184495C2">
            <w:pPr>
              <w:keepNext w:val="0"/>
              <w:keepLines w:val="0"/>
              <w:widowControl/>
              <w:suppressLineNumbers w:val="0"/>
              <w:jc w:val="center"/>
              <w:textAlignment w:val="center"/>
              <w:rPr>
                <w:rFonts w:hint="eastAsia" w:ascii="宋体" w:hAnsi="宋体" w:eastAsia="宋体" w:cs="宋体"/>
                <w:i w:val="0"/>
                <w:iCs w:val="0"/>
                <w:color w:val="auto"/>
                <w:sz w:val="12"/>
                <w:szCs w:val="12"/>
                <w:u w:val="none"/>
              </w:rPr>
            </w:pPr>
            <w:r>
              <w:rPr>
                <w:rFonts w:hint="eastAsia" w:ascii="宋体" w:hAnsi="宋体" w:eastAsia="宋体" w:cs="宋体"/>
                <w:i w:val="0"/>
                <w:iCs w:val="0"/>
                <w:color w:val="auto"/>
                <w:kern w:val="0"/>
                <w:sz w:val="12"/>
                <w:szCs w:val="12"/>
                <w:u w:val="none"/>
                <w:lang w:val="en-US" w:eastAsia="zh-CN" w:bidi="ar"/>
              </w:rPr>
              <w:t>着工作服、无脱岗、及时高效</w:t>
            </w:r>
          </w:p>
        </w:tc>
        <w:tc>
          <w:tcPr>
            <w:tcW w:w="510" w:type="dxa"/>
            <w:tcBorders>
              <w:top w:val="single" w:color="000000" w:sz="4" w:space="0"/>
              <w:left w:val="single" w:color="000000" w:sz="4" w:space="0"/>
              <w:bottom w:val="single" w:color="000000" w:sz="4" w:space="0"/>
              <w:right w:val="single" w:color="000000" w:sz="4" w:space="0"/>
            </w:tcBorders>
            <w:noWrap w:val="0"/>
            <w:vAlign w:val="center"/>
          </w:tcPr>
          <w:p w14:paraId="3455AB23">
            <w:pPr>
              <w:keepNext w:val="0"/>
              <w:keepLines w:val="0"/>
              <w:widowControl/>
              <w:suppressLineNumbers w:val="0"/>
              <w:jc w:val="center"/>
              <w:textAlignment w:val="center"/>
              <w:rPr>
                <w:rFonts w:hint="eastAsia" w:ascii="宋体" w:hAnsi="宋体" w:eastAsia="宋体" w:cs="宋体"/>
                <w:i w:val="0"/>
                <w:iCs w:val="0"/>
                <w:color w:val="auto"/>
                <w:sz w:val="12"/>
                <w:szCs w:val="12"/>
                <w:u w:val="none"/>
              </w:rPr>
            </w:pPr>
            <w:r>
              <w:rPr>
                <w:rFonts w:hint="eastAsia" w:ascii="宋体" w:hAnsi="宋体" w:eastAsia="宋体" w:cs="宋体"/>
                <w:i w:val="0"/>
                <w:iCs w:val="0"/>
                <w:color w:val="auto"/>
                <w:kern w:val="0"/>
                <w:sz w:val="12"/>
                <w:szCs w:val="12"/>
                <w:u w:val="none"/>
                <w:lang w:val="en-US" w:eastAsia="zh-CN" w:bidi="ar"/>
              </w:rPr>
              <w:t>10</w:t>
            </w:r>
          </w:p>
        </w:tc>
        <w:tc>
          <w:tcPr>
            <w:tcW w:w="510" w:type="dxa"/>
            <w:tcBorders>
              <w:top w:val="single" w:color="000000" w:sz="4" w:space="0"/>
              <w:left w:val="single" w:color="000000" w:sz="4" w:space="0"/>
              <w:bottom w:val="single" w:color="000000" w:sz="4" w:space="0"/>
              <w:right w:val="single" w:color="000000" w:sz="4" w:space="0"/>
            </w:tcBorders>
            <w:noWrap w:val="0"/>
            <w:vAlign w:val="center"/>
          </w:tcPr>
          <w:p w14:paraId="79640DC6">
            <w:pPr>
              <w:keepNext w:val="0"/>
              <w:keepLines w:val="0"/>
              <w:widowControl/>
              <w:suppressLineNumbers w:val="0"/>
              <w:jc w:val="center"/>
              <w:textAlignment w:val="center"/>
              <w:rPr>
                <w:rFonts w:hint="eastAsia" w:ascii="宋体" w:hAnsi="宋体" w:eastAsia="宋体" w:cs="宋体"/>
                <w:i w:val="0"/>
                <w:iCs w:val="0"/>
                <w:color w:val="auto"/>
                <w:sz w:val="12"/>
                <w:szCs w:val="12"/>
                <w:u w:val="none"/>
              </w:rPr>
            </w:pPr>
            <w:r>
              <w:rPr>
                <w:rFonts w:hint="eastAsia" w:ascii="宋体" w:hAnsi="宋体" w:eastAsia="宋体" w:cs="宋体"/>
                <w:i w:val="0"/>
                <w:iCs w:val="0"/>
                <w:color w:val="auto"/>
                <w:kern w:val="0"/>
                <w:sz w:val="12"/>
                <w:szCs w:val="12"/>
                <w:u w:val="none"/>
                <w:lang w:val="en-US" w:eastAsia="zh-CN" w:bidi="ar"/>
              </w:rPr>
              <w:t>9</w:t>
            </w:r>
          </w:p>
        </w:tc>
        <w:tc>
          <w:tcPr>
            <w:tcW w:w="510" w:type="dxa"/>
            <w:tcBorders>
              <w:top w:val="single" w:color="000000" w:sz="4" w:space="0"/>
              <w:left w:val="single" w:color="000000" w:sz="4" w:space="0"/>
              <w:bottom w:val="single" w:color="000000" w:sz="4" w:space="0"/>
              <w:right w:val="single" w:color="000000" w:sz="4" w:space="0"/>
            </w:tcBorders>
            <w:noWrap w:val="0"/>
            <w:vAlign w:val="center"/>
          </w:tcPr>
          <w:p w14:paraId="1B95559D">
            <w:pPr>
              <w:keepNext w:val="0"/>
              <w:keepLines w:val="0"/>
              <w:widowControl/>
              <w:suppressLineNumbers w:val="0"/>
              <w:jc w:val="center"/>
              <w:textAlignment w:val="center"/>
              <w:rPr>
                <w:rFonts w:hint="eastAsia" w:ascii="宋体" w:hAnsi="宋体" w:eastAsia="宋体" w:cs="宋体"/>
                <w:i w:val="0"/>
                <w:iCs w:val="0"/>
                <w:color w:val="auto"/>
                <w:sz w:val="12"/>
                <w:szCs w:val="12"/>
                <w:u w:val="none"/>
              </w:rPr>
            </w:pPr>
            <w:r>
              <w:rPr>
                <w:rFonts w:hint="eastAsia" w:ascii="宋体" w:hAnsi="宋体" w:eastAsia="宋体" w:cs="宋体"/>
                <w:i w:val="0"/>
                <w:iCs w:val="0"/>
                <w:color w:val="auto"/>
                <w:kern w:val="0"/>
                <w:sz w:val="12"/>
                <w:szCs w:val="12"/>
                <w:u w:val="none"/>
                <w:lang w:val="en-US" w:eastAsia="zh-CN" w:bidi="ar"/>
              </w:rPr>
              <w:t>7</w:t>
            </w:r>
          </w:p>
        </w:tc>
        <w:tc>
          <w:tcPr>
            <w:tcW w:w="513" w:type="dxa"/>
            <w:tcBorders>
              <w:top w:val="single" w:color="000000" w:sz="4" w:space="0"/>
              <w:left w:val="single" w:color="000000" w:sz="4" w:space="0"/>
              <w:bottom w:val="single" w:color="000000" w:sz="4" w:space="0"/>
              <w:right w:val="single" w:color="000000" w:sz="4" w:space="0"/>
            </w:tcBorders>
            <w:noWrap w:val="0"/>
            <w:vAlign w:val="center"/>
          </w:tcPr>
          <w:p w14:paraId="72037BA4">
            <w:pPr>
              <w:keepNext w:val="0"/>
              <w:keepLines w:val="0"/>
              <w:widowControl/>
              <w:suppressLineNumbers w:val="0"/>
              <w:jc w:val="center"/>
              <w:textAlignment w:val="center"/>
              <w:rPr>
                <w:rFonts w:hint="eastAsia" w:ascii="宋体" w:hAnsi="宋体" w:eastAsia="宋体" w:cs="宋体"/>
                <w:i w:val="0"/>
                <w:iCs w:val="0"/>
                <w:color w:val="auto"/>
                <w:sz w:val="12"/>
                <w:szCs w:val="12"/>
                <w:u w:val="none"/>
              </w:rPr>
            </w:pPr>
            <w:r>
              <w:rPr>
                <w:rFonts w:hint="eastAsia" w:ascii="宋体" w:hAnsi="宋体" w:eastAsia="宋体" w:cs="宋体"/>
                <w:i w:val="0"/>
                <w:iCs w:val="0"/>
                <w:color w:val="auto"/>
                <w:kern w:val="0"/>
                <w:sz w:val="12"/>
                <w:szCs w:val="12"/>
                <w:u w:val="none"/>
                <w:lang w:val="en-US" w:eastAsia="zh-CN" w:bidi="ar"/>
              </w:rPr>
              <w:t>5</w:t>
            </w:r>
          </w:p>
        </w:tc>
        <w:tc>
          <w:tcPr>
            <w:tcW w:w="578" w:type="dxa"/>
            <w:tcBorders>
              <w:top w:val="single" w:color="000000" w:sz="4" w:space="0"/>
              <w:left w:val="single" w:color="000000" w:sz="4" w:space="0"/>
              <w:bottom w:val="single" w:color="000000" w:sz="4" w:space="0"/>
              <w:right w:val="single" w:color="000000" w:sz="4" w:space="0"/>
            </w:tcBorders>
            <w:noWrap w:val="0"/>
            <w:vAlign w:val="center"/>
          </w:tcPr>
          <w:p w14:paraId="277C6068">
            <w:pPr>
              <w:jc w:val="center"/>
              <w:rPr>
                <w:rFonts w:hint="eastAsia" w:ascii="宋体" w:hAnsi="宋体" w:eastAsia="宋体" w:cs="宋体"/>
                <w:i w:val="0"/>
                <w:iCs w:val="0"/>
                <w:color w:val="auto"/>
                <w:sz w:val="12"/>
                <w:szCs w:val="12"/>
                <w:u w:val="none"/>
              </w:rPr>
            </w:pPr>
          </w:p>
        </w:tc>
        <w:tc>
          <w:tcPr>
            <w:tcW w:w="578" w:type="dxa"/>
            <w:tcBorders>
              <w:top w:val="single" w:color="000000" w:sz="4" w:space="0"/>
              <w:left w:val="single" w:color="000000" w:sz="4" w:space="0"/>
              <w:bottom w:val="single" w:color="000000" w:sz="4" w:space="0"/>
              <w:right w:val="single" w:color="000000" w:sz="4" w:space="0"/>
            </w:tcBorders>
            <w:noWrap w:val="0"/>
            <w:vAlign w:val="center"/>
          </w:tcPr>
          <w:p w14:paraId="6F050ADE">
            <w:pPr>
              <w:jc w:val="center"/>
              <w:rPr>
                <w:rFonts w:hint="eastAsia" w:ascii="宋体" w:hAnsi="宋体" w:eastAsia="宋体" w:cs="宋体"/>
                <w:i w:val="0"/>
                <w:iCs w:val="0"/>
                <w:color w:val="auto"/>
                <w:sz w:val="12"/>
                <w:szCs w:val="12"/>
                <w:u w:val="none"/>
              </w:rPr>
            </w:pPr>
          </w:p>
        </w:tc>
        <w:tc>
          <w:tcPr>
            <w:tcW w:w="578" w:type="dxa"/>
            <w:tcBorders>
              <w:top w:val="single" w:color="000000" w:sz="4" w:space="0"/>
              <w:left w:val="single" w:color="000000" w:sz="4" w:space="0"/>
              <w:bottom w:val="single" w:color="000000" w:sz="4" w:space="0"/>
              <w:right w:val="single" w:color="000000" w:sz="4" w:space="0"/>
            </w:tcBorders>
            <w:noWrap w:val="0"/>
            <w:vAlign w:val="center"/>
          </w:tcPr>
          <w:p w14:paraId="5ADB1473">
            <w:pPr>
              <w:jc w:val="center"/>
              <w:rPr>
                <w:rFonts w:hint="eastAsia" w:ascii="宋体" w:hAnsi="宋体" w:eastAsia="宋体" w:cs="宋体"/>
                <w:i w:val="0"/>
                <w:iCs w:val="0"/>
                <w:color w:val="auto"/>
                <w:sz w:val="12"/>
                <w:szCs w:val="12"/>
                <w:u w:val="none"/>
              </w:rPr>
            </w:pPr>
          </w:p>
        </w:tc>
        <w:tc>
          <w:tcPr>
            <w:tcW w:w="578" w:type="dxa"/>
            <w:tcBorders>
              <w:top w:val="single" w:color="000000" w:sz="4" w:space="0"/>
              <w:left w:val="single" w:color="000000" w:sz="4" w:space="0"/>
              <w:bottom w:val="single" w:color="000000" w:sz="4" w:space="0"/>
              <w:right w:val="single" w:color="000000" w:sz="4" w:space="0"/>
            </w:tcBorders>
            <w:noWrap w:val="0"/>
            <w:vAlign w:val="center"/>
          </w:tcPr>
          <w:p w14:paraId="3713DF76">
            <w:pPr>
              <w:jc w:val="center"/>
              <w:rPr>
                <w:rFonts w:hint="eastAsia" w:ascii="宋体" w:hAnsi="宋体" w:eastAsia="宋体" w:cs="宋体"/>
                <w:i w:val="0"/>
                <w:iCs w:val="0"/>
                <w:color w:val="auto"/>
                <w:sz w:val="12"/>
                <w:szCs w:val="12"/>
                <w:u w:val="none"/>
              </w:rPr>
            </w:pPr>
          </w:p>
        </w:tc>
        <w:tc>
          <w:tcPr>
            <w:tcW w:w="578" w:type="dxa"/>
            <w:tcBorders>
              <w:top w:val="single" w:color="000000" w:sz="4" w:space="0"/>
              <w:left w:val="single" w:color="000000" w:sz="4" w:space="0"/>
              <w:bottom w:val="single" w:color="000000" w:sz="4" w:space="0"/>
              <w:right w:val="single" w:color="000000" w:sz="4" w:space="0"/>
            </w:tcBorders>
            <w:noWrap/>
            <w:vAlign w:val="center"/>
          </w:tcPr>
          <w:p w14:paraId="492825E5">
            <w:pPr>
              <w:jc w:val="center"/>
              <w:rPr>
                <w:rFonts w:hint="eastAsia" w:ascii="宋体" w:hAnsi="宋体" w:eastAsia="宋体" w:cs="宋体"/>
                <w:i w:val="0"/>
                <w:iCs w:val="0"/>
                <w:color w:val="auto"/>
                <w:sz w:val="12"/>
                <w:szCs w:val="12"/>
                <w:u w:val="none"/>
              </w:rPr>
            </w:pPr>
          </w:p>
        </w:tc>
        <w:tc>
          <w:tcPr>
            <w:tcW w:w="582" w:type="dxa"/>
            <w:tcBorders>
              <w:top w:val="single" w:color="000000" w:sz="4" w:space="0"/>
              <w:left w:val="single" w:color="000000" w:sz="4" w:space="0"/>
              <w:bottom w:val="single" w:color="000000" w:sz="4" w:space="0"/>
              <w:right w:val="single" w:color="000000" w:sz="4" w:space="0"/>
            </w:tcBorders>
            <w:noWrap/>
            <w:vAlign w:val="center"/>
          </w:tcPr>
          <w:p w14:paraId="09C3E9DB">
            <w:pPr>
              <w:jc w:val="center"/>
              <w:rPr>
                <w:rFonts w:hint="eastAsia" w:ascii="宋体" w:hAnsi="宋体" w:eastAsia="宋体" w:cs="宋体"/>
                <w:i w:val="0"/>
                <w:iCs w:val="0"/>
                <w:color w:val="auto"/>
                <w:sz w:val="12"/>
                <w:szCs w:val="12"/>
                <w:u w:val="none"/>
              </w:rPr>
            </w:pPr>
          </w:p>
        </w:tc>
      </w:tr>
      <w:tr w14:paraId="2BD18D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565" w:type="dxa"/>
            <w:gridSpan w:val="3"/>
            <w:tcBorders>
              <w:top w:val="single" w:color="000000" w:sz="4" w:space="0"/>
              <w:left w:val="single" w:color="000000" w:sz="4" w:space="0"/>
              <w:bottom w:val="single" w:color="000000" w:sz="4" w:space="0"/>
              <w:right w:val="single" w:color="000000" w:sz="4" w:space="0"/>
            </w:tcBorders>
            <w:noWrap/>
            <w:vAlign w:val="center"/>
          </w:tcPr>
          <w:p w14:paraId="5CC3C94C">
            <w:pPr>
              <w:keepNext w:val="0"/>
              <w:keepLines w:val="0"/>
              <w:widowControl/>
              <w:suppressLineNumbers w:val="0"/>
              <w:jc w:val="center"/>
              <w:textAlignment w:val="center"/>
              <w:rPr>
                <w:rFonts w:hint="eastAsia" w:ascii="宋体" w:hAnsi="宋体" w:eastAsia="宋体" w:cs="宋体"/>
                <w:i w:val="0"/>
                <w:iCs w:val="0"/>
                <w:color w:val="auto"/>
                <w:sz w:val="12"/>
                <w:szCs w:val="12"/>
                <w:u w:val="none"/>
              </w:rPr>
            </w:pPr>
            <w:r>
              <w:rPr>
                <w:rFonts w:hint="eastAsia" w:ascii="宋体" w:hAnsi="宋体" w:eastAsia="宋体" w:cs="宋体"/>
                <w:i w:val="0"/>
                <w:iCs w:val="0"/>
                <w:color w:val="auto"/>
                <w:kern w:val="0"/>
                <w:sz w:val="12"/>
                <w:szCs w:val="12"/>
                <w:u w:val="none"/>
                <w:lang w:val="en-US" w:eastAsia="zh-CN" w:bidi="ar"/>
              </w:rPr>
              <w:t>总分</w:t>
            </w:r>
          </w:p>
        </w:tc>
        <w:tc>
          <w:tcPr>
            <w:tcW w:w="5515" w:type="dxa"/>
            <w:gridSpan w:val="10"/>
            <w:tcBorders>
              <w:top w:val="single" w:color="000000" w:sz="4" w:space="0"/>
              <w:left w:val="single" w:color="000000" w:sz="4" w:space="0"/>
              <w:bottom w:val="single" w:color="000000" w:sz="4" w:space="0"/>
              <w:right w:val="single" w:color="000000" w:sz="4" w:space="0"/>
            </w:tcBorders>
            <w:noWrap/>
            <w:vAlign w:val="center"/>
          </w:tcPr>
          <w:p w14:paraId="347C1510">
            <w:pPr>
              <w:jc w:val="center"/>
              <w:rPr>
                <w:rFonts w:hint="eastAsia" w:ascii="宋体" w:hAnsi="宋体" w:eastAsia="宋体" w:cs="宋体"/>
                <w:i w:val="0"/>
                <w:iCs w:val="0"/>
                <w:color w:val="auto"/>
                <w:sz w:val="12"/>
                <w:szCs w:val="12"/>
                <w:u w:val="none"/>
              </w:rPr>
            </w:pPr>
          </w:p>
        </w:tc>
      </w:tr>
      <w:tr w14:paraId="3C0415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1905" w:type="dxa"/>
            <w:gridSpan w:val="2"/>
            <w:tcBorders>
              <w:top w:val="single" w:color="000000" w:sz="4" w:space="0"/>
              <w:left w:val="single" w:color="000000" w:sz="4" w:space="0"/>
              <w:bottom w:val="single" w:color="000000" w:sz="4" w:space="0"/>
              <w:right w:val="single" w:color="000000" w:sz="4" w:space="0"/>
            </w:tcBorders>
            <w:noWrap/>
            <w:vAlign w:val="center"/>
          </w:tcPr>
          <w:p w14:paraId="6B26E1D6">
            <w:pPr>
              <w:keepNext w:val="0"/>
              <w:keepLines w:val="0"/>
              <w:widowControl/>
              <w:suppressLineNumbers w:val="0"/>
              <w:jc w:val="center"/>
              <w:textAlignment w:val="center"/>
              <w:rPr>
                <w:rFonts w:hint="eastAsia" w:ascii="宋体" w:hAnsi="宋体" w:eastAsia="宋体" w:cs="宋体"/>
                <w:i w:val="0"/>
                <w:iCs w:val="0"/>
                <w:color w:val="auto"/>
                <w:sz w:val="12"/>
                <w:szCs w:val="12"/>
                <w:u w:val="none"/>
              </w:rPr>
            </w:pPr>
            <w:r>
              <w:rPr>
                <w:rFonts w:hint="eastAsia" w:ascii="宋体" w:hAnsi="宋体" w:eastAsia="宋体" w:cs="宋体"/>
                <w:i w:val="0"/>
                <w:iCs w:val="0"/>
                <w:color w:val="auto"/>
                <w:kern w:val="0"/>
                <w:sz w:val="12"/>
                <w:szCs w:val="12"/>
                <w:u w:val="none"/>
                <w:lang w:val="en-US" w:eastAsia="zh-CN" w:bidi="ar"/>
              </w:rPr>
              <w:t>备注</w:t>
            </w:r>
          </w:p>
        </w:tc>
        <w:tc>
          <w:tcPr>
            <w:tcW w:w="7175" w:type="dxa"/>
            <w:gridSpan w:val="11"/>
            <w:tcBorders>
              <w:top w:val="single" w:color="000000" w:sz="4" w:space="0"/>
              <w:left w:val="single" w:color="000000" w:sz="4" w:space="0"/>
              <w:bottom w:val="single" w:color="000000" w:sz="4" w:space="0"/>
              <w:right w:val="single" w:color="000000" w:sz="4" w:space="0"/>
            </w:tcBorders>
            <w:noWrap w:val="0"/>
            <w:vAlign w:val="center"/>
          </w:tcPr>
          <w:p w14:paraId="6D644120">
            <w:pPr>
              <w:keepNext w:val="0"/>
              <w:keepLines w:val="0"/>
              <w:widowControl/>
              <w:suppressLineNumbers w:val="0"/>
              <w:jc w:val="left"/>
              <w:textAlignment w:val="center"/>
              <w:rPr>
                <w:rFonts w:hint="eastAsia" w:ascii="宋体" w:hAnsi="宋体" w:eastAsia="宋体" w:cs="宋体"/>
                <w:i w:val="0"/>
                <w:iCs w:val="0"/>
                <w:color w:val="auto"/>
                <w:sz w:val="12"/>
                <w:szCs w:val="12"/>
                <w:u w:val="none"/>
              </w:rPr>
            </w:pPr>
            <w:r>
              <w:rPr>
                <w:rFonts w:hint="eastAsia" w:ascii="宋体" w:hAnsi="宋体" w:eastAsia="宋体" w:cs="宋体"/>
                <w:i w:val="0"/>
                <w:iCs w:val="0"/>
                <w:color w:val="auto"/>
                <w:kern w:val="0"/>
                <w:sz w:val="12"/>
                <w:szCs w:val="12"/>
                <w:u w:val="none"/>
                <w:lang w:val="en-US" w:eastAsia="zh-CN" w:bidi="ar"/>
              </w:rPr>
              <w:t>1、评分达到90分以上者（含90分）视为合格，不扣罚。</w:t>
            </w:r>
            <w:r>
              <w:rPr>
                <w:rFonts w:hint="eastAsia" w:ascii="宋体" w:hAnsi="宋体" w:eastAsia="宋体" w:cs="宋体"/>
                <w:i w:val="0"/>
                <w:iCs w:val="0"/>
                <w:color w:val="auto"/>
                <w:kern w:val="0"/>
                <w:sz w:val="12"/>
                <w:szCs w:val="12"/>
                <w:u w:val="none"/>
                <w:lang w:val="en-US" w:eastAsia="zh-CN" w:bidi="ar"/>
              </w:rPr>
              <w:br w:type="textWrapping"/>
            </w:r>
            <w:r>
              <w:rPr>
                <w:rFonts w:hint="eastAsia" w:ascii="宋体" w:hAnsi="宋体" w:eastAsia="宋体" w:cs="宋体"/>
                <w:i w:val="0"/>
                <w:iCs w:val="0"/>
                <w:color w:val="auto"/>
                <w:kern w:val="0"/>
                <w:sz w:val="12"/>
                <w:szCs w:val="12"/>
                <w:u w:val="none"/>
                <w:lang w:val="en-US" w:eastAsia="zh-CN" w:bidi="ar"/>
              </w:rPr>
              <w:t>2、评分在90分以下者视为不合格，按照分值高低和累计次数扣罚。按分值具体扣罚办法如下:</w:t>
            </w:r>
            <w:r>
              <w:rPr>
                <w:rFonts w:hint="eastAsia" w:ascii="宋体" w:hAnsi="宋体" w:eastAsia="宋体" w:cs="宋体"/>
                <w:i w:val="0"/>
                <w:iCs w:val="0"/>
                <w:color w:val="auto"/>
                <w:kern w:val="0"/>
                <w:sz w:val="12"/>
                <w:szCs w:val="12"/>
                <w:u w:val="none"/>
                <w:lang w:val="en-US" w:eastAsia="zh-CN" w:bidi="ar"/>
              </w:rPr>
              <w:br w:type="textWrapping"/>
            </w:r>
            <w:r>
              <w:rPr>
                <w:rFonts w:hint="eastAsia" w:ascii="宋体" w:hAnsi="宋体" w:eastAsia="宋体" w:cs="宋体"/>
                <w:i w:val="0"/>
                <w:iCs w:val="0"/>
                <w:color w:val="auto"/>
                <w:kern w:val="0"/>
                <w:sz w:val="12"/>
                <w:szCs w:val="12"/>
                <w:u w:val="none"/>
                <w:lang w:val="en-US" w:eastAsia="zh-CN" w:bidi="ar"/>
              </w:rPr>
              <w:t>①80-89.9分时，按年累计次数计算，第一次扣月平均费用的2%；第二次扣月平均费用的5%；第三次扣月平均费用的8%；第四次扣月平均费用的10%；第五次除扣月平均费用的15%外，采购人有权单方面终止合同，并且不补偿、不赔偿中标人任何费用。</w:t>
            </w:r>
            <w:r>
              <w:rPr>
                <w:rFonts w:hint="eastAsia" w:ascii="宋体" w:hAnsi="宋体" w:eastAsia="宋体" w:cs="宋体"/>
                <w:i w:val="0"/>
                <w:iCs w:val="0"/>
                <w:color w:val="auto"/>
                <w:kern w:val="0"/>
                <w:sz w:val="12"/>
                <w:szCs w:val="12"/>
                <w:u w:val="none"/>
                <w:lang w:val="en-US" w:eastAsia="zh-CN" w:bidi="ar"/>
              </w:rPr>
              <w:br w:type="textWrapping"/>
            </w:r>
            <w:r>
              <w:rPr>
                <w:rFonts w:hint="eastAsia" w:ascii="宋体" w:hAnsi="宋体" w:eastAsia="宋体" w:cs="宋体"/>
                <w:i w:val="0"/>
                <w:iCs w:val="0"/>
                <w:color w:val="auto"/>
                <w:kern w:val="0"/>
                <w:sz w:val="12"/>
                <w:szCs w:val="12"/>
                <w:u w:val="none"/>
                <w:lang w:val="en-US" w:eastAsia="zh-CN" w:bidi="ar"/>
              </w:rPr>
              <w:t>②70-79.9分时，按年累计次数计算，第一次扣月平均费用的5%，第二次扣月平均费用的8%；第三次扣月平均费用的10%；第四次扣除月平均费用的15%外；采购人有权单方面终止合同，并且不补偿、不赔偿中标人任何费用。</w:t>
            </w:r>
            <w:r>
              <w:rPr>
                <w:rFonts w:hint="eastAsia" w:ascii="宋体" w:hAnsi="宋体" w:eastAsia="宋体" w:cs="宋体"/>
                <w:i w:val="0"/>
                <w:iCs w:val="0"/>
                <w:color w:val="auto"/>
                <w:kern w:val="0"/>
                <w:sz w:val="12"/>
                <w:szCs w:val="12"/>
                <w:u w:val="none"/>
                <w:lang w:val="en-US" w:eastAsia="zh-CN" w:bidi="ar"/>
              </w:rPr>
              <w:br w:type="textWrapping"/>
            </w:r>
            <w:r>
              <w:rPr>
                <w:rFonts w:hint="eastAsia" w:ascii="宋体" w:hAnsi="宋体" w:eastAsia="宋体" w:cs="宋体"/>
                <w:i w:val="0"/>
                <w:iCs w:val="0"/>
                <w:color w:val="auto"/>
                <w:kern w:val="0"/>
                <w:sz w:val="12"/>
                <w:szCs w:val="12"/>
                <w:u w:val="none"/>
                <w:lang w:val="en-US" w:eastAsia="zh-CN" w:bidi="ar"/>
              </w:rPr>
              <w:t>③60-69.9分时，按年累计次数计算，第一次扣月平均费用的10%；第二次扣月平均费用的15%；第三次除扣月平均费用的20%外，采购人有权单方面终止合同，并且不补偿、不赔偿中标人任何费用。</w:t>
            </w:r>
            <w:r>
              <w:rPr>
                <w:rFonts w:hint="eastAsia" w:ascii="宋体" w:hAnsi="宋体" w:eastAsia="宋体" w:cs="宋体"/>
                <w:i w:val="0"/>
                <w:iCs w:val="0"/>
                <w:color w:val="auto"/>
                <w:kern w:val="0"/>
                <w:sz w:val="12"/>
                <w:szCs w:val="12"/>
                <w:u w:val="none"/>
                <w:lang w:val="en-US" w:eastAsia="zh-CN" w:bidi="ar"/>
              </w:rPr>
              <w:br w:type="textWrapping"/>
            </w:r>
            <w:r>
              <w:rPr>
                <w:rFonts w:hint="eastAsia" w:ascii="宋体" w:hAnsi="宋体" w:eastAsia="宋体" w:cs="宋体"/>
                <w:i w:val="0"/>
                <w:iCs w:val="0"/>
                <w:color w:val="auto"/>
                <w:kern w:val="0"/>
                <w:sz w:val="12"/>
                <w:szCs w:val="12"/>
                <w:u w:val="none"/>
                <w:lang w:val="en-US" w:eastAsia="zh-CN" w:bidi="ar"/>
              </w:rPr>
              <w:t>④低于60分时，采购人有权单方面终止合同，并且不补偿、不赔偿中标人任何费用。</w:t>
            </w:r>
          </w:p>
        </w:tc>
      </w:tr>
      <w:tr w14:paraId="5C2AC2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9080" w:type="dxa"/>
            <w:gridSpan w:val="13"/>
            <w:tcBorders>
              <w:top w:val="nil"/>
              <w:left w:val="nil"/>
              <w:bottom w:val="nil"/>
              <w:right w:val="nil"/>
            </w:tcBorders>
            <w:noWrap/>
            <w:vAlign w:val="center"/>
          </w:tcPr>
          <w:p w14:paraId="27A6A80F">
            <w:pPr>
              <w:keepNext w:val="0"/>
              <w:keepLines w:val="0"/>
              <w:widowControl/>
              <w:suppressLineNumbers w:val="0"/>
              <w:jc w:val="left"/>
              <w:textAlignment w:val="center"/>
              <w:rPr>
                <w:rFonts w:hint="eastAsia" w:ascii="宋体" w:hAnsi="宋体" w:eastAsia="宋体" w:cs="宋体"/>
                <w:i w:val="0"/>
                <w:iCs w:val="0"/>
                <w:color w:val="auto"/>
                <w:sz w:val="12"/>
                <w:szCs w:val="12"/>
                <w:u w:val="none"/>
              </w:rPr>
            </w:pPr>
            <w:r>
              <w:rPr>
                <w:rFonts w:hint="eastAsia" w:ascii="宋体" w:hAnsi="宋体" w:eastAsia="宋体" w:cs="宋体"/>
                <w:i w:val="0"/>
                <w:iCs w:val="0"/>
                <w:color w:val="auto"/>
                <w:kern w:val="0"/>
                <w:sz w:val="12"/>
                <w:szCs w:val="12"/>
                <w:u w:val="none"/>
                <w:lang w:val="en-US" w:eastAsia="zh-CN" w:bidi="ar"/>
              </w:rPr>
              <w:t xml:space="preserve">            考核人：                                 科室负责人：</w:t>
            </w:r>
          </w:p>
        </w:tc>
      </w:tr>
      <w:tr w14:paraId="07A931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9080" w:type="dxa"/>
            <w:gridSpan w:val="13"/>
            <w:tcBorders>
              <w:top w:val="nil"/>
              <w:left w:val="nil"/>
              <w:bottom w:val="nil"/>
              <w:right w:val="nil"/>
            </w:tcBorders>
            <w:noWrap/>
            <w:vAlign w:val="center"/>
          </w:tcPr>
          <w:p w14:paraId="1643B926">
            <w:pPr>
              <w:keepNext w:val="0"/>
              <w:keepLines w:val="0"/>
              <w:widowControl/>
              <w:suppressLineNumbers w:val="0"/>
              <w:jc w:val="left"/>
              <w:textAlignment w:val="center"/>
              <w:rPr>
                <w:rFonts w:hint="eastAsia" w:ascii="宋体" w:hAnsi="宋体" w:eastAsia="宋体" w:cs="宋体"/>
                <w:i w:val="0"/>
                <w:iCs w:val="0"/>
                <w:color w:val="auto"/>
                <w:sz w:val="12"/>
                <w:szCs w:val="12"/>
                <w:u w:val="none"/>
              </w:rPr>
            </w:pPr>
            <w:r>
              <w:rPr>
                <w:rFonts w:hint="eastAsia" w:ascii="宋体" w:hAnsi="宋体" w:eastAsia="宋体" w:cs="宋体"/>
                <w:i w:val="0"/>
                <w:iCs w:val="0"/>
                <w:color w:val="auto"/>
                <w:kern w:val="0"/>
                <w:sz w:val="12"/>
                <w:szCs w:val="12"/>
                <w:u w:val="none"/>
                <w:lang w:val="en-US" w:eastAsia="zh-CN" w:bidi="ar"/>
              </w:rPr>
              <w:t xml:space="preserve">            分管副处长：                             处长：</w:t>
            </w:r>
          </w:p>
        </w:tc>
      </w:tr>
    </w:tbl>
    <w:p w14:paraId="2EAA38B3">
      <w:pPr>
        <w:rPr>
          <w:rFonts w:hint="eastAsia" w:ascii="黑体" w:hAnsi="黑体" w:eastAsia="黑体" w:cs="黑体"/>
          <w:b/>
          <w:bCs/>
          <w:color w:val="auto"/>
          <w:sz w:val="32"/>
          <w:szCs w:val="32"/>
          <w:lang w:val="en-US" w:eastAsia="zh-CN"/>
        </w:rPr>
      </w:pPr>
      <w:r>
        <w:rPr>
          <w:rFonts w:hint="eastAsia" w:ascii="黑体" w:hAnsi="黑体" w:eastAsia="黑体" w:cs="黑体"/>
          <w:b/>
          <w:bCs/>
          <w:color w:val="auto"/>
          <w:sz w:val="32"/>
          <w:szCs w:val="32"/>
          <w:lang w:val="en-US" w:eastAsia="zh-CN"/>
        </w:rPr>
        <w:br w:type="page"/>
      </w:r>
    </w:p>
    <w:tbl>
      <w:tblPr>
        <w:tblStyle w:val="29"/>
        <w:tblW w:w="0" w:type="auto"/>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50"/>
        <w:gridCol w:w="1223"/>
        <w:gridCol w:w="1630"/>
        <w:gridCol w:w="505"/>
        <w:gridCol w:w="505"/>
        <w:gridCol w:w="505"/>
        <w:gridCol w:w="506"/>
        <w:gridCol w:w="576"/>
        <w:gridCol w:w="576"/>
        <w:gridCol w:w="576"/>
        <w:gridCol w:w="576"/>
        <w:gridCol w:w="576"/>
        <w:gridCol w:w="576"/>
      </w:tblGrid>
      <w:tr w14:paraId="46FCA4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4" w:hRule="atLeast"/>
        </w:trPr>
        <w:tc>
          <w:tcPr>
            <w:tcW w:w="8980" w:type="dxa"/>
            <w:gridSpan w:val="13"/>
            <w:tcBorders>
              <w:top w:val="nil"/>
              <w:left w:val="nil"/>
              <w:bottom w:val="nil"/>
              <w:right w:val="nil"/>
            </w:tcBorders>
            <w:noWrap/>
            <w:vAlign w:val="center"/>
          </w:tcPr>
          <w:p w14:paraId="7B77324A">
            <w:pPr>
              <w:keepNext w:val="0"/>
              <w:keepLines w:val="0"/>
              <w:widowControl/>
              <w:suppressLineNumbers w:val="0"/>
              <w:jc w:val="center"/>
              <w:textAlignment w:val="center"/>
              <w:rPr>
                <w:rFonts w:hint="eastAsia" w:ascii="宋体" w:hAnsi="宋体" w:eastAsia="宋体" w:cs="宋体"/>
                <w:b/>
                <w:bCs/>
                <w:i w:val="0"/>
                <w:iCs w:val="0"/>
                <w:color w:val="auto"/>
                <w:sz w:val="32"/>
                <w:szCs w:val="32"/>
                <w:u w:val="none"/>
              </w:rPr>
            </w:pPr>
            <w:r>
              <w:rPr>
                <w:rFonts w:hint="eastAsia" w:ascii="宋体" w:hAnsi="宋体" w:eastAsia="宋体" w:cs="宋体"/>
                <w:b/>
                <w:bCs/>
                <w:i w:val="0"/>
                <w:iCs w:val="0"/>
                <w:color w:val="auto"/>
                <w:kern w:val="0"/>
                <w:sz w:val="32"/>
                <w:szCs w:val="32"/>
                <w:u w:val="none"/>
                <w:lang w:val="en-US" w:eastAsia="zh-CN" w:bidi="ar"/>
              </w:rPr>
              <w:t xml:space="preserve">   </w:t>
            </w:r>
            <w:r>
              <w:rPr>
                <w:rFonts w:hint="eastAsia" w:ascii="宋体" w:hAnsi="宋体" w:eastAsia="宋体" w:cs="宋体"/>
                <w:b/>
                <w:bCs/>
                <w:i w:val="0"/>
                <w:iCs w:val="0"/>
                <w:color w:val="auto"/>
                <w:kern w:val="0"/>
                <w:sz w:val="32"/>
                <w:szCs w:val="32"/>
                <w:u w:val="single"/>
                <w:lang w:val="en-US" w:eastAsia="zh-CN" w:bidi="ar"/>
              </w:rPr>
              <w:t xml:space="preserve">    </w:t>
            </w:r>
            <w:r>
              <w:rPr>
                <w:rFonts w:hint="eastAsia" w:ascii="宋体" w:hAnsi="宋体" w:eastAsia="宋体" w:cs="宋体"/>
                <w:b/>
                <w:bCs/>
                <w:i w:val="0"/>
                <w:iCs w:val="0"/>
                <w:color w:val="auto"/>
                <w:kern w:val="0"/>
                <w:sz w:val="32"/>
                <w:szCs w:val="32"/>
                <w:u w:val="none"/>
                <w:lang w:val="en-US" w:eastAsia="zh-CN" w:bidi="ar"/>
              </w:rPr>
              <w:t>年</w:t>
            </w:r>
            <w:r>
              <w:rPr>
                <w:rFonts w:hint="eastAsia" w:ascii="宋体" w:hAnsi="宋体" w:eastAsia="宋体" w:cs="宋体"/>
                <w:b/>
                <w:bCs/>
                <w:i w:val="0"/>
                <w:iCs w:val="0"/>
                <w:color w:val="auto"/>
                <w:kern w:val="0"/>
                <w:sz w:val="32"/>
                <w:szCs w:val="32"/>
                <w:u w:val="single"/>
                <w:lang w:val="en-US" w:eastAsia="zh-CN" w:bidi="ar"/>
              </w:rPr>
              <w:t xml:space="preserve">    </w:t>
            </w:r>
            <w:r>
              <w:rPr>
                <w:rFonts w:hint="eastAsia" w:ascii="宋体" w:hAnsi="宋体" w:eastAsia="宋体" w:cs="宋体"/>
                <w:b/>
                <w:bCs/>
                <w:i w:val="0"/>
                <w:iCs w:val="0"/>
                <w:color w:val="auto"/>
                <w:kern w:val="0"/>
                <w:sz w:val="32"/>
                <w:szCs w:val="32"/>
                <w:u w:val="none"/>
                <w:lang w:val="en-US" w:eastAsia="zh-CN" w:bidi="ar"/>
              </w:rPr>
              <w:t>月院本部卫生检查考核表（大学生活动中心）</w:t>
            </w:r>
          </w:p>
        </w:tc>
      </w:tr>
      <w:tr w14:paraId="3B9774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4" w:hRule="atLeast"/>
        </w:trPr>
        <w:tc>
          <w:tcPr>
            <w:tcW w:w="1873" w:type="dxa"/>
            <w:gridSpan w:val="2"/>
            <w:vMerge w:val="restart"/>
            <w:tcBorders>
              <w:top w:val="single" w:color="000000" w:sz="4" w:space="0"/>
              <w:left w:val="single" w:color="000000" w:sz="4" w:space="0"/>
              <w:bottom w:val="single" w:color="000000" w:sz="4" w:space="0"/>
              <w:right w:val="single" w:color="000000" w:sz="4" w:space="0"/>
            </w:tcBorders>
            <w:noWrap/>
            <w:vAlign w:val="center"/>
          </w:tcPr>
          <w:p w14:paraId="1F8081FE">
            <w:pPr>
              <w:keepNext w:val="0"/>
              <w:keepLines w:val="0"/>
              <w:widowControl/>
              <w:suppressLineNumbers w:val="0"/>
              <w:jc w:val="center"/>
              <w:textAlignment w:val="center"/>
              <w:rPr>
                <w:rFonts w:hint="eastAsia" w:ascii="宋体" w:hAnsi="宋体" w:eastAsia="宋体" w:cs="宋体"/>
                <w:i w:val="0"/>
                <w:iCs w:val="0"/>
                <w:color w:val="auto"/>
                <w:sz w:val="12"/>
                <w:szCs w:val="12"/>
                <w:u w:val="none"/>
              </w:rPr>
            </w:pPr>
            <w:r>
              <w:rPr>
                <w:rFonts w:hint="eastAsia" w:ascii="宋体" w:hAnsi="宋体" w:eastAsia="宋体" w:cs="宋体"/>
                <w:i w:val="0"/>
                <w:iCs w:val="0"/>
                <w:color w:val="auto"/>
                <w:kern w:val="0"/>
                <w:sz w:val="12"/>
                <w:szCs w:val="12"/>
                <w:u w:val="none"/>
                <w:lang w:val="en-US" w:eastAsia="zh-CN" w:bidi="ar"/>
              </w:rPr>
              <w:t>检查内容</w:t>
            </w:r>
          </w:p>
        </w:tc>
        <w:tc>
          <w:tcPr>
            <w:tcW w:w="1630" w:type="dxa"/>
            <w:vMerge w:val="restart"/>
            <w:tcBorders>
              <w:top w:val="single" w:color="000000" w:sz="4" w:space="0"/>
              <w:left w:val="single" w:color="000000" w:sz="4" w:space="0"/>
              <w:bottom w:val="single" w:color="000000" w:sz="4" w:space="0"/>
              <w:right w:val="single" w:color="000000" w:sz="4" w:space="0"/>
            </w:tcBorders>
            <w:noWrap/>
            <w:vAlign w:val="center"/>
          </w:tcPr>
          <w:p w14:paraId="267E4E5F">
            <w:pPr>
              <w:keepNext w:val="0"/>
              <w:keepLines w:val="0"/>
              <w:widowControl/>
              <w:suppressLineNumbers w:val="0"/>
              <w:jc w:val="center"/>
              <w:textAlignment w:val="center"/>
              <w:rPr>
                <w:rFonts w:hint="eastAsia" w:ascii="宋体" w:hAnsi="宋体" w:eastAsia="宋体" w:cs="宋体"/>
                <w:i w:val="0"/>
                <w:iCs w:val="0"/>
                <w:color w:val="auto"/>
                <w:sz w:val="12"/>
                <w:szCs w:val="12"/>
                <w:u w:val="none"/>
              </w:rPr>
            </w:pPr>
            <w:r>
              <w:rPr>
                <w:rFonts w:hint="eastAsia" w:ascii="宋体" w:hAnsi="宋体" w:eastAsia="宋体" w:cs="宋体"/>
                <w:i w:val="0"/>
                <w:iCs w:val="0"/>
                <w:color w:val="auto"/>
                <w:kern w:val="0"/>
                <w:sz w:val="12"/>
                <w:szCs w:val="12"/>
                <w:u w:val="none"/>
                <w:lang w:val="en-US" w:eastAsia="zh-CN" w:bidi="ar"/>
              </w:rPr>
              <w:t>检查标准</w:t>
            </w:r>
          </w:p>
        </w:tc>
        <w:tc>
          <w:tcPr>
            <w:tcW w:w="2021" w:type="dxa"/>
            <w:gridSpan w:val="4"/>
            <w:tcBorders>
              <w:top w:val="single" w:color="000000" w:sz="4" w:space="0"/>
              <w:left w:val="single" w:color="000000" w:sz="4" w:space="0"/>
              <w:bottom w:val="single" w:color="000000" w:sz="4" w:space="0"/>
              <w:right w:val="single" w:color="000000" w:sz="4" w:space="0"/>
            </w:tcBorders>
            <w:noWrap/>
            <w:vAlign w:val="center"/>
          </w:tcPr>
          <w:p w14:paraId="4FB8D7B0">
            <w:pPr>
              <w:keepNext w:val="0"/>
              <w:keepLines w:val="0"/>
              <w:widowControl/>
              <w:suppressLineNumbers w:val="0"/>
              <w:jc w:val="center"/>
              <w:textAlignment w:val="center"/>
              <w:rPr>
                <w:rFonts w:hint="eastAsia" w:ascii="宋体" w:hAnsi="宋体" w:eastAsia="宋体" w:cs="宋体"/>
                <w:i w:val="0"/>
                <w:iCs w:val="0"/>
                <w:color w:val="auto"/>
                <w:sz w:val="12"/>
                <w:szCs w:val="12"/>
                <w:u w:val="none"/>
              </w:rPr>
            </w:pPr>
            <w:r>
              <w:rPr>
                <w:rFonts w:hint="eastAsia" w:ascii="宋体" w:hAnsi="宋体" w:eastAsia="宋体" w:cs="宋体"/>
                <w:i w:val="0"/>
                <w:iCs w:val="0"/>
                <w:color w:val="auto"/>
                <w:kern w:val="0"/>
                <w:sz w:val="12"/>
                <w:szCs w:val="12"/>
                <w:u w:val="none"/>
                <w:lang w:val="en-US" w:eastAsia="zh-CN" w:bidi="ar"/>
              </w:rPr>
              <w:t>检查评定分数</w:t>
            </w:r>
          </w:p>
        </w:tc>
        <w:tc>
          <w:tcPr>
            <w:tcW w:w="3456" w:type="dxa"/>
            <w:gridSpan w:val="6"/>
            <w:tcBorders>
              <w:top w:val="single" w:color="000000" w:sz="4" w:space="0"/>
              <w:left w:val="single" w:color="000000" w:sz="4" w:space="0"/>
              <w:bottom w:val="single" w:color="000000" w:sz="4" w:space="0"/>
              <w:right w:val="single" w:color="000000" w:sz="4" w:space="0"/>
            </w:tcBorders>
            <w:noWrap/>
            <w:vAlign w:val="center"/>
          </w:tcPr>
          <w:p w14:paraId="7469E7FD">
            <w:pPr>
              <w:keepNext w:val="0"/>
              <w:keepLines w:val="0"/>
              <w:widowControl/>
              <w:suppressLineNumbers w:val="0"/>
              <w:jc w:val="center"/>
              <w:textAlignment w:val="center"/>
              <w:rPr>
                <w:rFonts w:hint="eastAsia" w:ascii="宋体" w:hAnsi="宋体" w:eastAsia="宋体" w:cs="宋体"/>
                <w:i w:val="0"/>
                <w:iCs w:val="0"/>
                <w:color w:val="auto"/>
                <w:sz w:val="12"/>
                <w:szCs w:val="12"/>
                <w:u w:val="none"/>
              </w:rPr>
            </w:pPr>
            <w:r>
              <w:rPr>
                <w:rFonts w:hint="eastAsia" w:ascii="宋体" w:hAnsi="宋体" w:eastAsia="宋体" w:cs="宋体"/>
                <w:i w:val="0"/>
                <w:iCs w:val="0"/>
                <w:color w:val="auto"/>
                <w:kern w:val="0"/>
                <w:sz w:val="12"/>
                <w:szCs w:val="12"/>
                <w:u w:val="none"/>
                <w:lang w:val="en-US" w:eastAsia="zh-CN" w:bidi="ar"/>
              </w:rPr>
              <w:t>得分</w:t>
            </w:r>
          </w:p>
        </w:tc>
      </w:tr>
      <w:tr w14:paraId="55034D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4" w:hRule="atLeast"/>
        </w:trPr>
        <w:tc>
          <w:tcPr>
            <w:tcW w:w="1873" w:type="dxa"/>
            <w:gridSpan w:val="2"/>
            <w:vMerge w:val="continue"/>
            <w:tcBorders>
              <w:top w:val="single" w:color="000000" w:sz="4" w:space="0"/>
              <w:left w:val="single" w:color="000000" w:sz="4" w:space="0"/>
              <w:bottom w:val="single" w:color="000000" w:sz="4" w:space="0"/>
              <w:right w:val="single" w:color="000000" w:sz="4" w:space="0"/>
            </w:tcBorders>
            <w:noWrap/>
            <w:vAlign w:val="center"/>
          </w:tcPr>
          <w:p w14:paraId="6EF0A461">
            <w:pPr>
              <w:jc w:val="center"/>
              <w:rPr>
                <w:rFonts w:hint="eastAsia" w:ascii="宋体" w:hAnsi="宋体" w:eastAsia="宋体" w:cs="宋体"/>
                <w:i w:val="0"/>
                <w:iCs w:val="0"/>
                <w:color w:val="auto"/>
                <w:sz w:val="12"/>
                <w:szCs w:val="12"/>
                <w:u w:val="none"/>
              </w:rPr>
            </w:pPr>
          </w:p>
        </w:tc>
        <w:tc>
          <w:tcPr>
            <w:tcW w:w="1630" w:type="dxa"/>
            <w:vMerge w:val="continue"/>
            <w:tcBorders>
              <w:top w:val="single" w:color="000000" w:sz="4" w:space="0"/>
              <w:left w:val="single" w:color="000000" w:sz="4" w:space="0"/>
              <w:bottom w:val="single" w:color="000000" w:sz="4" w:space="0"/>
              <w:right w:val="single" w:color="000000" w:sz="4" w:space="0"/>
            </w:tcBorders>
            <w:noWrap/>
            <w:vAlign w:val="center"/>
          </w:tcPr>
          <w:p w14:paraId="34CB6961">
            <w:pPr>
              <w:jc w:val="center"/>
              <w:rPr>
                <w:rFonts w:hint="eastAsia" w:ascii="宋体" w:hAnsi="宋体" w:eastAsia="宋体" w:cs="宋体"/>
                <w:i w:val="0"/>
                <w:iCs w:val="0"/>
                <w:color w:val="auto"/>
                <w:sz w:val="12"/>
                <w:szCs w:val="12"/>
                <w:u w:val="none"/>
              </w:rPr>
            </w:pPr>
          </w:p>
        </w:tc>
        <w:tc>
          <w:tcPr>
            <w:tcW w:w="505" w:type="dxa"/>
            <w:tcBorders>
              <w:top w:val="single" w:color="000000" w:sz="4" w:space="0"/>
              <w:left w:val="single" w:color="000000" w:sz="4" w:space="0"/>
              <w:bottom w:val="single" w:color="000000" w:sz="4" w:space="0"/>
              <w:right w:val="single" w:color="000000" w:sz="4" w:space="0"/>
            </w:tcBorders>
            <w:noWrap/>
            <w:vAlign w:val="center"/>
          </w:tcPr>
          <w:p w14:paraId="68F1DBA7">
            <w:pPr>
              <w:keepNext w:val="0"/>
              <w:keepLines w:val="0"/>
              <w:widowControl/>
              <w:suppressLineNumbers w:val="0"/>
              <w:jc w:val="center"/>
              <w:textAlignment w:val="center"/>
              <w:rPr>
                <w:rFonts w:hint="eastAsia" w:ascii="宋体" w:hAnsi="宋体" w:eastAsia="宋体" w:cs="宋体"/>
                <w:i w:val="0"/>
                <w:iCs w:val="0"/>
                <w:color w:val="auto"/>
                <w:sz w:val="12"/>
                <w:szCs w:val="12"/>
                <w:u w:val="none"/>
              </w:rPr>
            </w:pPr>
            <w:r>
              <w:rPr>
                <w:rFonts w:hint="eastAsia" w:ascii="宋体" w:hAnsi="宋体" w:eastAsia="宋体" w:cs="宋体"/>
                <w:i w:val="0"/>
                <w:iCs w:val="0"/>
                <w:color w:val="auto"/>
                <w:kern w:val="0"/>
                <w:sz w:val="12"/>
                <w:szCs w:val="12"/>
                <w:u w:val="none"/>
                <w:lang w:val="en-US" w:eastAsia="zh-CN" w:bidi="ar"/>
              </w:rPr>
              <w:t>优</w:t>
            </w:r>
          </w:p>
        </w:tc>
        <w:tc>
          <w:tcPr>
            <w:tcW w:w="505" w:type="dxa"/>
            <w:tcBorders>
              <w:top w:val="single" w:color="000000" w:sz="4" w:space="0"/>
              <w:left w:val="single" w:color="000000" w:sz="4" w:space="0"/>
              <w:bottom w:val="single" w:color="000000" w:sz="4" w:space="0"/>
              <w:right w:val="single" w:color="000000" w:sz="4" w:space="0"/>
            </w:tcBorders>
            <w:noWrap/>
            <w:vAlign w:val="center"/>
          </w:tcPr>
          <w:p w14:paraId="5EA211E5">
            <w:pPr>
              <w:keepNext w:val="0"/>
              <w:keepLines w:val="0"/>
              <w:widowControl/>
              <w:suppressLineNumbers w:val="0"/>
              <w:jc w:val="center"/>
              <w:textAlignment w:val="center"/>
              <w:rPr>
                <w:rFonts w:hint="eastAsia" w:ascii="宋体" w:hAnsi="宋体" w:eastAsia="宋体" w:cs="宋体"/>
                <w:i w:val="0"/>
                <w:iCs w:val="0"/>
                <w:color w:val="auto"/>
                <w:sz w:val="12"/>
                <w:szCs w:val="12"/>
                <w:u w:val="none"/>
              </w:rPr>
            </w:pPr>
            <w:r>
              <w:rPr>
                <w:rFonts w:hint="eastAsia" w:ascii="宋体" w:hAnsi="宋体" w:eastAsia="宋体" w:cs="宋体"/>
                <w:i w:val="0"/>
                <w:iCs w:val="0"/>
                <w:color w:val="auto"/>
                <w:kern w:val="0"/>
                <w:sz w:val="12"/>
                <w:szCs w:val="12"/>
                <w:u w:val="none"/>
                <w:lang w:val="en-US" w:eastAsia="zh-CN" w:bidi="ar"/>
              </w:rPr>
              <w:t>良</w:t>
            </w:r>
          </w:p>
        </w:tc>
        <w:tc>
          <w:tcPr>
            <w:tcW w:w="505" w:type="dxa"/>
            <w:tcBorders>
              <w:top w:val="single" w:color="000000" w:sz="4" w:space="0"/>
              <w:left w:val="single" w:color="000000" w:sz="4" w:space="0"/>
              <w:bottom w:val="single" w:color="000000" w:sz="4" w:space="0"/>
              <w:right w:val="single" w:color="000000" w:sz="4" w:space="0"/>
            </w:tcBorders>
            <w:noWrap/>
            <w:vAlign w:val="center"/>
          </w:tcPr>
          <w:p w14:paraId="42827E5E">
            <w:pPr>
              <w:keepNext w:val="0"/>
              <w:keepLines w:val="0"/>
              <w:widowControl/>
              <w:suppressLineNumbers w:val="0"/>
              <w:jc w:val="center"/>
              <w:textAlignment w:val="center"/>
              <w:rPr>
                <w:rFonts w:hint="eastAsia" w:ascii="宋体" w:hAnsi="宋体" w:eastAsia="宋体" w:cs="宋体"/>
                <w:i w:val="0"/>
                <w:iCs w:val="0"/>
                <w:color w:val="auto"/>
                <w:sz w:val="12"/>
                <w:szCs w:val="12"/>
                <w:u w:val="none"/>
              </w:rPr>
            </w:pPr>
            <w:r>
              <w:rPr>
                <w:rFonts w:hint="eastAsia" w:ascii="宋体" w:hAnsi="宋体" w:eastAsia="宋体" w:cs="宋体"/>
                <w:i w:val="0"/>
                <w:iCs w:val="0"/>
                <w:color w:val="auto"/>
                <w:kern w:val="0"/>
                <w:sz w:val="12"/>
                <w:szCs w:val="12"/>
                <w:u w:val="none"/>
                <w:lang w:val="en-US" w:eastAsia="zh-CN" w:bidi="ar"/>
              </w:rPr>
              <w:t>中</w:t>
            </w:r>
          </w:p>
        </w:tc>
        <w:tc>
          <w:tcPr>
            <w:tcW w:w="506" w:type="dxa"/>
            <w:tcBorders>
              <w:top w:val="single" w:color="000000" w:sz="4" w:space="0"/>
              <w:left w:val="single" w:color="000000" w:sz="4" w:space="0"/>
              <w:bottom w:val="single" w:color="000000" w:sz="4" w:space="0"/>
              <w:right w:val="single" w:color="000000" w:sz="4" w:space="0"/>
            </w:tcBorders>
            <w:noWrap/>
            <w:vAlign w:val="center"/>
          </w:tcPr>
          <w:p w14:paraId="41E1F553">
            <w:pPr>
              <w:keepNext w:val="0"/>
              <w:keepLines w:val="0"/>
              <w:widowControl/>
              <w:suppressLineNumbers w:val="0"/>
              <w:jc w:val="center"/>
              <w:textAlignment w:val="center"/>
              <w:rPr>
                <w:rFonts w:hint="eastAsia" w:ascii="宋体" w:hAnsi="宋体" w:eastAsia="宋体" w:cs="宋体"/>
                <w:i w:val="0"/>
                <w:iCs w:val="0"/>
                <w:color w:val="auto"/>
                <w:sz w:val="12"/>
                <w:szCs w:val="12"/>
                <w:u w:val="none"/>
              </w:rPr>
            </w:pPr>
            <w:r>
              <w:rPr>
                <w:rFonts w:hint="eastAsia" w:ascii="宋体" w:hAnsi="宋体" w:eastAsia="宋体" w:cs="宋体"/>
                <w:i w:val="0"/>
                <w:iCs w:val="0"/>
                <w:color w:val="auto"/>
                <w:kern w:val="0"/>
                <w:sz w:val="12"/>
                <w:szCs w:val="12"/>
                <w:u w:val="none"/>
                <w:lang w:val="en-US" w:eastAsia="zh-CN" w:bidi="ar"/>
              </w:rPr>
              <w:t>差</w:t>
            </w:r>
          </w:p>
        </w:tc>
        <w:tc>
          <w:tcPr>
            <w:tcW w:w="576" w:type="dxa"/>
            <w:tcBorders>
              <w:top w:val="single" w:color="000000" w:sz="4" w:space="0"/>
              <w:left w:val="single" w:color="000000" w:sz="4" w:space="0"/>
              <w:bottom w:val="single" w:color="000000" w:sz="4" w:space="0"/>
              <w:right w:val="single" w:color="000000" w:sz="4" w:space="0"/>
            </w:tcBorders>
            <w:noWrap/>
            <w:vAlign w:val="center"/>
          </w:tcPr>
          <w:p w14:paraId="22D8FF3A">
            <w:pPr>
              <w:keepNext w:val="0"/>
              <w:keepLines w:val="0"/>
              <w:widowControl/>
              <w:suppressLineNumbers w:val="0"/>
              <w:jc w:val="center"/>
              <w:textAlignment w:val="center"/>
              <w:rPr>
                <w:rFonts w:hint="eastAsia" w:ascii="宋体" w:hAnsi="宋体" w:eastAsia="宋体" w:cs="宋体"/>
                <w:i w:val="0"/>
                <w:iCs w:val="0"/>
                <w:color w:val="auto"/>
                <w:sz w:val="12"/>
                <w:szCs w:val="12"/>
                <w:u w:val="none"/>
              </w:rPr>
            </w:pPr>
            <w:r>
              <w:rPr>
                <w:rFonts w:hint="eastAsia" w:ascii="宋体" w:hAnsi="宋体" w:eastAsia="宋体" w:cs="宋体"/>
                <w:i w:val="0"/>
                <w:iCs w:val="0"/>
                <w:color w:val="auto"/>
                <w:kern w:val="0"/>
                <w:sz w:val="12"/>
                <w:szCs w:val="12"/>
                <w:u w:val="none"/>
                <w:lang w:val="en-US" w:eastAsia="zh-CN" w:bidi="ar"/>
              </w:rPr>
              <w:t>第一周</w:t>
            </w:r>
          </w:p>
        </w:tc>
        <w:tc>
          <w:tcPr>
            <w:tcW w:w="576" w:type="dxa"/>
            <w:tcBorders>
              <w:top w:val="single" w:color="000000" w:sz="4" w:space="0"/>
              <w:left w:val="single" w:color="000000" w:sz="4" w:space="0"/>
              <w:bottom w:val="single" w:color="000000" w:sz="4" w:space="0"/>
              <w:right w:val="single" w:color="000000" w:sz="4" w:space="0"/>
            </w:tcBorders>
            <w:noWrap/>
            <w:vAlign w:val="center"/>
          </w:tcPr>
          <w:p w14:paraId="342FBCDD">
            <w:pPr>
              <w:keepNext w:val="0"/>
              <w:keepLines w:val="0"/>
              <w:widowControl/>
              <w:suppressLineNumbers w:val="0"/>
              <w:jc w:val="center"/>
              <w:textAlignment w:val="center"/>
              <w:rPr>
                <w:rFonts w:hint="eastAsia" w:ascii="宋体" w:hAnsi="宋体" w:eastAsia="宋体" w:cs="宋体"/>
                <w:i w:val="0"/>
                <w:iCs w:val="0"/>
                <w:color w:val="auto"/>
                <w:sz w:val="12"/>
                <w:szCs w:val="12"/>
                <w:u w:val="none"/>
              </w:rPr>
            </w:pPr>
            <w:r>
              <w:rPr>
                <w:rFonts w:hint="eastAsia" w:ascii="宋体" w:hAnsi="宋体" w:eastAsia="宋体" w:cs="宋体"/>
                <w:i w:val="0"/>
                <w:iCs w:val="0"/>
                <w:color w:val="auto"/>
                <w:kern w:val="0"/>
                <w:sz w:val="12"/>
                <w:szCs w:val="12"/>
                <w:u w:val="none"/>
                <w:lang w:val="en-US" w:eastAsia="zh-CN" w:bidi="ar"/>
              </w:rPr>
              <w:t>第二周</w:t>
            </w:r>
          </w:p>
        </w:tc>
        <w:tc>
          <w:tcPr>
            <w:tcW w:w="576" w:type="dxa"/>
            <w:tcBorders>
              <w:top w:val="single" w:color="000000" w:sz="4" w:space="0"/>
              <w:left w:val="single" w:color="000000" w:sz="4" w:space="0"/>
              <w:bottom w:val="single" w:color="000000" w:sz="4" w:space="0"/>
              <w:right w:val="single" w:color="000000" w:sz="4" w:space="0"/>
            </w:tcBorders>
            <w:noWrap/>
            <w:vAlign w:val="center"/>
          </w:tcPr>
          <w:p w14:paraId="77358D7F">
            <w:pPr>
              <w:keepNext w:val="0"/>
              <w:keepLines w:val="0"/>
              <w:widowControl/>
              <w:suppressLineNumbers w:val="0"/>
              <w:jc w:val="center"/>
              <w:textAlignment w:val="center"/>
              <w:rPr>
                <w:rFonts w:hint="eastAsia" w:ascii="宋体" w:hAnsi="宋体" w:eastAsia="宋体" w:cs="宋体"/>
                <w:i w:val="0"/>
                <w:iCs w:val="0"/>
                <w:color w:val="auto"/>
                <w:sz w:val="12"/>
                <w:szCs w:val="12"/>
                <w:u w:val="none"/>
              </w:rPr>
            </w:pPr>
            <w:r>
              <w:rPr>
                <w:rFonts w:hint="eastAsia" w:ascii="宋体" w:hAnsi="宋体" w:eastAsia="宋体" w:cs="宋体"/>
                <w:i w:val="0"/>
                <w:iCs w:val="0"/>
                <w:color w:val="auto"/>
                <w:kern w:val="0"/>
                <w:sz w:val="12"/>
                <w:szCs w:val="12"/>
                <w:u w:val="none"/>
                <w:lang w:val="en-US" w:eastAsia="zh-CN" w:bidi="ar"/>
              </w:rPr>
              <w:t>第三周</w:t>
            </w:r>
          </w:p>
        </w:tc>
        <w:tc>
          <w:tcPr>
            <w:tcW w:w="576" w:type="dxa"/>
            <w:tcBorders>
              <w:top w:val="single" w:color="000000" w:sz="4" w:space="0"/>
              <w:left w:val="single" w:color="000000" w:sz="4" w:space="0"/>
              <w:bottom w:val="single" w:color="000000" w:sz="4" w:space="0"/>
              <w:right w:val="single" w:color="000000" w:sz="4" w:space="0"/>
            </w:tcBorders>
            <w:noWrap/>
            <w:vAlign w:val="center"/>
          </w:tcPr>
          <w:p w14:paraId="446953C5">
            <w:pPr>
              <w:keepNext w:val="0"/>
              <w:keepLines w:val="0"/>
              <w:widowControl/>
              <w:suppressLineNumbers w:val="0"/>
              <w:jc w:val="center"/>
              <w:textAlignment w:val="center"/>
              <w:rPr>
                <w:rFonts w:hint="eastAsia" w:ascii="宋体" w:hAnsi="宋体" w:eastAsia="宋体" w:cs="宋体"/>
                <w:i w:val="0"/>
                <w:iCs w:val="0"/>
                <w:color w:val="auto"/>
                <w:sz w:val="12"/>
                <w:szCs w:val="12"/>
                <w:u w:val="none"/>
              </w:rPr>
            </w:pPr>
            <w:r>
              <w:rPr>
                <w:rFonts w:hint="eastAsia" w:ascii="宋体" w:hAnsi="宋体" w:eastAsia="宋体" w:cs="宋体"/>
                <w:i w:val="0"/>
                <w:iCs w:val="0"/>
                <w:color w:val="auto"/>
                <w:kern w:val="0"/>
                <w:sz w:val="12"/>
                <w:szCs w:val="12"/>
                <w:u w:val="none"/>
                <w:lang w:val="en-US" w:eastAsia="zh-CN" w:bidi="ar"/>
              </w:rPr>
              <w:t>第四周</w:t>
            </w:r>
          </w:p>
        </w:tc>
        <w:tc>
          <w:tcPr>
            <w:tcW w:w="576" w:type="dxa"/>
            <w:tcBorders>
              <w:top w:val="single" w:color="000000" w:sz="4" w:space="0"/>
              <w:left w:val="single" w:color="000000" w:sz="4" w:space="0"/>
              <w:bottom w:val="single" w:color="000000" w:sz="4" w:space="0"/>
              <w:right w:val="single" w:color="000000" w:sz="4" w:space="0"/>
            </w:tcBorders>
            <w:noWrap/>
            <w:vAlign w:val="center"/>
          </w:tcPr>
          <w:p w14:paraId="1E236175">
            <w:pPr>
              <w:keepNext w:val="0"/>
              <w:keepLines w:val="0"/>
              <w:widowControl/>
              <w:suppressLineNumbers w:val="0"/>
              <w:jc w:val="center"/>
              <w:textAlignment w:val="center"/>
              <w:rPr>
                <w:rFonts w:hint="eastAsia" w:ascii="宋体" w:hAnsi="宋体" w:eastAsia="宋体" w:cs="宋体"/>
                <w:i w:val="0"/>
                <w:iCs w:val="0"/>
                <w:color w:val="auto"/>
                <w:sz w:val="12"/>
                <w:szCs w:val="12"/>
                <w:u w:val="none"/>
              </w:rPr>
            </w:pPr>
            <w:r>
              <w:rPr>
                <w:rFonts w:hint="eastAsia" w:ascii="宋体" w:hAnsi="宋体" w:eastAsia="宋体" w:cs="宋体"/>
                <w:i w:val="0"/>
                <w:iCs w:val="0"/>
                <w:color w:val="auto"/>
                <w:kern w:val="0"/>
                <w:sz w:val="12"/>
                <w:szCs w:val="12"/>
                <w:u w:val="none"/>
                <w:lang w:val="en-US" w:eastAsia="zh-CN" w:bidi="ar"/>
              </w:rPr>
              <w:t>第五周</w:t>
            </w:r>
          </w:p>
        </w:tc>
        <w:tc>
          <w:tcPr>
            <w:tcW w:w="576" w:type="dxa"/>
            <w:tcBorders>
              <w:top w:val="single" w:color="000000" w:sz="4" w:space="0"/>
              <w:left w:val="single" w:color="000000" w:sz="4" w:space="0"/>
              <w:bottom w:val="single" w:color="000000" w:sz="4" w:space="0"/>
              <w:right w:val="single" w:color="000000" w:sz="4" w:space="0"/>
            </w:tcBorders>
            <w:noWrap/>
            <w:vAlign w:val="center"/>
          </w:tcPr>
          <w:p w14:paraId="1778140F">
            <w:pPr>
              <w:keepNext w:val="0"/>
              <w:keepLines w:val="0"/>
              <w:widowControl/>
              <w:suppressLineNumbers w:val="0"/>
              <w:jc w:val="center"/>
              <w:textAlignment w:val="center"/>
              <w:rPr>
                <w:rFonts w:hint="eastAsia" w:ascii="宋体" w:hAnsi="宋体" w:eastAsia="宋体" w:cs="宋体"/>
                <w:i w:val="0"/>
                <w:iCs w:val="0"/>
                <w:color w:val="auto"/>
                <w:sz w:val="12"/>
                <w:szCs w:val="12"/>
                <w:u w:val="none"/>
              </w:rPr>
            </w:pPr>
            <w:r>
              <w:rPr>
                <w:rFonts w:hint="eastAsia" w:ascii="宋体" w:hAnsi="宋体" w:eastAsia="宋体" w:cs="宋体"/>
                <w:i w:val="0"/>
                <w:iCs w:val="0"/>
                <w:color w:val="auto"/>
                <w:kern w:val="0"/>
                <w:sz w:val="12"/>
                <w:szCs w:val="12"/>
                <w:u w:val="none"/>
                <w:lang w:val="en-US" w:eastAsia="zh-CN" w:bidi="ar"/>
              </w:rPr>
              <w:t>平均分</w:t>
            </w:r>
          </w:p>
        </w:tc>
      </w:tr>
      <w:tr w14:paraId="42A341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3" w:hRule="atLeast"/>
        </w:trPr>
        <w:tc>
          <w:tcPr>
            <w:tcW w:w="650" w:type="dxa"/>
            <w:tcBorders>
              <w:top w:val="single" w:color="000000" w:sz="4" w:space="0"/>
              <w:left w:val="single" w:color="000000" w:sz="4" w:space="0"/>
              <w:bottom w:val="single" w:color="000000" w:sz="4" w:space="0"/>
              <w:right w:val="single" w:color="000000" w:sz="4" w:space="0"/>
            </w:tcBorders>
            <w:noWrap w:val="0"/>
            <w:vAlign w:val="center"/>
          </w:tcPr>
          <w:p w14:paraId="5AC0FAEA">
            <w:pPr>
              <w:keepNext w:val="0"/>
              <w:keepLines w:val="0"/>
              <w:widowControl/>
              <w:suppressLineNumbers w:val="0"/>
              <w:jc w:val="center"/>
              <w:textAlignment w:val="center"/>
              <w:rPr>
                <w:rFonts w:hint="eastAsia" w:ascii="宋体" w:hAnsi="宋体" w:eastAsia="宋体" w:cs="宋体"/>
                <w:i w:val="0"/>
                <w:iCs w:val="0"/>
                <w:color w:val="auto"/>
                <w:sz w:val="12"/>
                <w:szCs w:val="12"/>
                <w:u w:val="none"/>
              </w:rPr>
            </w:pPr>
            <w:r>
              <w:rPr>
                <w:rFonts w:hint="eastAsia" w:ascii="宋体" w:hAnsi="宋体" w:eastAsia="宋体" w:cs="宋体"/>
                <w:i w:val="0"/>
                <w:iCs w:val="0"/>
                <w:color w:val="auto"/>
                <w:kern w:val="0"/>
                <w:sz w:val="12"/>
                <w:szCs w:val="12"/>
                <w:u w:val="none"/>
                <w:lang w:val="en-US" w:eastAsia="zh-CN" w:bidi="ar"/>
              </w:rPr>
              <w:t>室内公共区域</w:t>
            </w:r>
          </w:p>
        </w:tc>
        <w:tc>
          <w:tcPr>
            <w:tcW w:w="1223" w:type="dxa"/>
            <w:tcBorders>
              <w:top w:val="nil"/>
              <w:left w:val="single" w:color="000000" w:sz="4" w:space="0"/>
              <w:bottom w:val="single" w:color="000000" w:sz="4" w:space="0"/>
              <w:right w:val="single" w:color="000000" w:sz="4" w:space="0"/>
            </w:tcBorders>
            <w:noWrap w:val="0"/>
            <w:vAlign w:val="center"/>
          </w:tcPr>
          <w:p w14:paraId="2D428EF3">
            <w:pPr>
              <w:keepNext w:val="0"/>
              <w:keepLines w:val="0"/>
              <w:widowControl/>
              <w:suppressLineNumbers w:val="0"/>
              <w:jc w:val="center"/>
              <w:textAlignment w:val="center"/>
              <w:rPr>
                <w:rFonts w:hint="eastAsia" w:ascii="宋体" w:hAnsi="宋体" w:eastAsia="宋体" w:cs="宋体"/>
                <w:i w:val="0"/>
                <w:iCs w:val="0"/>
                <w:color w:val="auto"/>
                <w:sz w:val="12"/>
                <w:szCs w:val="12"/>
                <w:u w:val="none"/>
              </w:rPr>
            </w:pPr>
            <w:r>
              <w:rPr>
                <w:rFonts w:hint="eastAsia" w:ascii="宋体" w:hAnsi="宋体" w:eastAsia="宋体" w:cs="宋体"/>
                <w:i w:val="0"/>
                <w:iCs w:val="0"/>
                <w:color w:val="auto"/>
                <w:kern w:val="0"/>
                <w:sz w:val="12"/>
                <w:szCs w:val="12"/>
                <w:u w:val="none"/>
                <w:lang w:val="en-US" w:eastAsia="zh-CN" w:bidi="ar"/>
              </w:rPr>
              <w:t>大厅、墙面、地面、天花板、电梯、门窗、标识标牌、照明灯具、垃圾桶等</w:t>
            </w:r>
          </w:p>
        </w:tc>
        <w:tc>
          <w:tcPr>
            <w:tcW w:w="1630" w:type="dxa"/>
            <w:tcBorders>
              <w:top w:val="nil"/>
              <w:left w:val="single" w:color="000000" w:sz="4" w:space="0"/>
              <w:bottom w:val="single" w:color="000000" w:sz="4" w:space="0"/>
              <w:right w:val="single" w:color="000000" w:sz="4" w:space="0"/>
            </w:tcBorders>
            <w:noWrap w:val="0"/>
            <w:vAlign w:val="center"/>
          </w:tcPr>
          <w:p w14:paraId="09FC1E46">
            <w:pPr>
              <w:keepNext w:val="0"/>
              <w:keepLines w:val="0"/>
              <w:widowControl/>
              <w:suppressLineNumbers w:val="0"/>
              <w:jc w:val="center"/>
              <w:textAlignment w:val="center"/>
              <w:rPr>
                <w:rFonts w:hint="eastAsia" w:ascii="宋体" w:hAnsi="宋体" w:eastAsia="宋体" w:cs="宋体"/>
                <w:i w:val="0"/>
                <w:iCs w:val="0"/>
                <w:color w:val="auto"/>
                <w:sz w:val="12"/>
                <w:szCs w:val="12"/>
                <w:u w:val="none"/>
              </w:rPr>
            </w:pPr>
            <w:r>
              <w:rPr>
                <w:rFonts w:hint="eastAsia" w:ascii="宋体" w:hAnsi="宋体" w:eastAsia="宋体" w:cs="宋体"/>
                <w:i w:val="0"/>
                <w:iCs w:val="0"/>
                <w:color w:val="auto"/>
                <w:kern w:val="0"/>
                <w:sz w:val="12"/>
                <w:szCs w:val="12"/>
                <w:u w:val="none"/>
                <w:lang w:val="en-US" w:eastAsia="zh-CN" w:bidi="ar"/>
              </w:rPr>
              <w:t>干净、无污迹、无废弃物、无积尘、无蜘蛛网、及时关闭门窗、桶内垃圾不超过2/3，摆放到位、及时关灯无长明灯</w:t>
            </w:r>
          </w:p>
        </w:tc>
        <w:tc>
          <w:tcPr>
            <w:tcW w:w="505" w:type="dxa"/>
            <w:tcBorders>
              <w:top w:val="single" w:color="000000" w:sz="4" w:space="0"/>
              <w:left w:val="single" w:color="000000" w:sz="4" w:space="0"/>
              <w:bottom w:val="single" w:color="000000" w:sz="4" w:space="0"/>
              <w:right w:val="single" w:color="000000" w:sz="4" w:space="0"/>
            </w:tcBorders>
            <w:noWrap w:val="0"/>
            <w:vAlign w:val="center"/>
          </w:tcPr>
          <w:p w14:paraId="04E7819B">
            <w:pPr>
              <w:keepNext w:val="0"/>
              <w:keepLines w:val="0"/>
              <w:widowControl/>
              <w:suppressLineNumbers w:val="0"/>
              <w:jc w:val="center"/>
              <w:textAlignment w:val="center"/>
              <w:rPr>
                <w:rFonts w:hint="eastAsia" w:ascii="宋体" w:hAnsi="宋体" w:eastAsia="宋体" w:cs="宋体"/>
                <w:i w:val="0"/>
                <w:iCs w:val="0"/>
                <w:color w:val="auto"/>
                <w:sz w:val="12"/>
                <w:szCs w:val="12"/>
                <w:u w:val="none"/>
              </w:rPr>
            </w:pPr>
            <w:r>
              <w:rPr>
                <w:rFonts w:hint="eastAsia" w:ascii="宋体" w:hAnsi="宋体" w:eastAsia="宋体" w:cs="宋体"/>
                <w:i w:val="0"/>
                <w:iCs w:val="0"/>
                <w:color w:val="auto"/>
                <w:kern w:val="0"/>
                <w:sz w:val="12"/>
                <w:szCs w:val="12"/>
                <w:u w:val="none"/>
                <w:lang w:val="en-US" w:eastAsia="zh-CN" w:bidi="ar"/>
              </w:rPr>
              <w:t>35</w:t>
            </w:r>
          </w:p>
        </w:tc>
        <w:tc>
          <w:tcPr>
            <w:tcW w:w="505" w:type="dxa"/>
            <w:tcBorders>
              <w:top w:val="single" w:color="000000" w:sz="4" w:space="0"/>
              <w:left w:val="single" w:color="000000" w:sz="4" w:space="0"/>
              <w:bottom w:val="single" w:color="000000" w:sz="4" w:space="0"/>
              <w:right w:val="single" w:color="000000" w:sz="4" w:space="0"/>
            </w:tcBorders>
            <w:noWrap w:val="0"/>
            <w:vAlign w:val="center"/>
          </w:tcPr>
          <w:p w14:paraId="690E7792">
            <w:pPr>
              <w:keepNext w:val="0"/>
              <w:keepLines w:val="0"/>
              <w:widowControl/>
              <w:suppressLineNumbers w:val="0"/>
              <w:jc w:val="center"/>
              <w:textAlignment w:val="center"/>
              <w:rPr>
                <w:rFonts w:hint="eastAsia" w:ascii="宋体" w:hAnsi="宋体" w:eastAsia="宋体" w:cs="宋体"/>
                <w:i w:val="0"/>
                <w:iCs w:val="0"/>
                <w:color w:val="auto"/>
                <w:sz w:val="12"/>
                <w:szCs w:val="12"/>
                <w:u w:val="none"/>
              </w:rPr>
            </w:pPr>
            <w:r>
              <w:rPr>
                <w:rFonts w:hint="eastAsia" w:ascii="宋体" w:hAnsi="宋体" w:eastAsia="宋体" w:cs="宋体"/>
                <w:i w:val="0"/>
                <w:iCs w:val="0"/>
                <w:color w:val="auto"/>
                <w:kern w:val="0"/>
                <w:sz w:val="12"/>
                <w:szCs w:val="12"/>
                <w:u w:val="none"/>
                <w:lang w:val="en-US" w:eastAsia="zh-CN" w:bidi="ar"/>
              </w:rPr>
              <w:t>32</w:t>
            </w:r>
          </w:p>
        </w:tc>
        <w:tc>
          <w:tcPr>
            <w:tcW w:w="505" w:type="dxa"/>
            <w:tcBorders>
              <w:top w:val="single" w:color="000000" w:sz="4" w:space="0"/>
              <w:left w:val="single" w:color="000000" w:sz="4" w:space="0"/>
              <w:bottom w:val="single" w:color="000000" w:sz="4" w:space="0"/>
              <w:right w:val="single" w:color="000000" w:sz="4" w:space="0"/>
            </w:tcBorders>
            <w:noWrap w:val="0"/>
            <w:vAlign w:val="center"/>
          </w:tcPr>
          <w:p w14:paraId="5BEF2481">
            <w:pPr>
              <w:keepNext w:val="0"/>
              <w:keepLines w:val="0"/>
              <w:widowControl/>
              <w:suppressLineNumbers w:val="0"/>
              <w:jc w:val="center"/>
              <w:textAlignment w:val="center"/>
              <w:rPr>
                <w:rFonts w:hint="eastAsia" w:ascii="宋体" w:hAnsi="宋体" w:eastAsia="宋体" w:cs="宋体"/>
                <w:i w:val="0"/>
                <w:iCs w:val="0"/>
                <w:color w:val="auto"/>
                <w:sz w:val="12"/>
                <w:szCs w:val="12"/>
                <w:u w:val="none"/>
              </w:rPr>
            </w:pPr>
            <w:r>
              <w:rPr>
                <w:rFonts w:hint="eastAsia" w:ascii="宋体" w:hAnsi="宋体" w:eastAsia="宋体" w:cs="宋体"/>
                <w:i w:val="0"/>
                <w:iCs w:val="0"/>
                <w:color w:val="auto"/>
                <w:kern w:val="0"/>
                <w:sz w:val="12"/>
                <w:szCs w:val="12"/>
                <w:u w:val="none"/>
                <w:lang w:val="en-US" w:eastAsia="zh-CN" w:bidi="ar"/>
              </w:rPr>
              <w:t>25</w:t>
            </w:r>
          </w:p>
        </w:tc>
        <w:tc>
          <w:tcPr>
            <w:tcW w:w="506" w:type="dxa"/>
            <w:tcBorders>
              <w:top w:val="single" w:color="000000" w:sz="4" w:space="0"/>
              <w:left w:val="single" w:color="000000" w:sz="4" w:space="0"/>
              <w:bottom w:val="single" w:color="000000" w:sz="4" w:space="0"/>
              <w:right w:val="single" w:color="000000" w:sz="4" w:space="0"/>
            </w:tcBorders>
            <w:noWrap w:val="0"/>
            <w:vAlign w:val="center"/>
          </w:tcPr>
          <w:p w14:paraId="42EBD7D3">
            <w:pPr>
              <w:keepNext w:val="0"/>
              <w:keepLines w:val="0"/>
              <w:widowControl/>
              <w:suppressLineNumbers w:val="0"/>
              <w:jc w:val="center"/>
              <w:textAlignment w:val="center"/>
              <w:rPr>
                <w:rFonts w:hint="eastAsia" w:ascii="宋体" w:hAnsi="宋体" w:eastAsia="宋体" w:cs="宋体"/>
                <w:i w:val="0"/>
                <w:iCs w:val="0"/>
                <w:color w:val="auto"/>
                <w:sz w:val="12"/>
                <w:szCs w:val="12"/>
                <w:u w:val="none"/>
              </w:rPr>
            </w:pPr>
            <w:r>
              <w:rPr>
                <w:rFonts w:hint="eastAsia" w:ascii="宋体" w:hAnsi="宋体" w:eastAsia="宋体" w:cs="宋体"/>
                <w:i w:val="0"/>
                <w:iCs w:val="0"/>
                <w:color w:val="auto"/>
                <w:kern w:val="0"/>
                <w:sz w:val="12"/>
                <w:szCs w:val="12"/>
                <w:u w:val="none"/>
                <w:lang w:val="en-US" w:eastAsia="zh-CN" w:bidi="ar"/>
              </w:rPr>
              <w:t>18</w:t>
            </w:r>
          </w:p>
        </w:tc>
        <w:tc>
          <w:tcPr>
            <w:tcW w:w="576" w:type="dxa"/>
            <w:tcBorders>
              <w:top w:val="single" w:color="000000" w:sz="4" w:space="0"/>
              <w:left w:val="single" w:color="000000" w:sz="4" w:space="0"/>
              <w:bottom w:val="single" w:color="000000" w:sz="4" w:space="0"/>
              <w:right w:val="single" w:color="000000" w:sz="4" w:space="0"/>
            </w:tcBorders>
            <w:noWrap w:val="0"/>
            <w:vAlign w:val="center"/>
          </w:tcPr>
          <w:p w14:paraId="7FBFAF68">
            <w:pPr>
              <w:jc w:val="center"/>
              <w:rPr>
                <w:rFonts w:hint="eastAsia" w:ascii="宋体" w:hAnsi="宋体" w:eastAsia="宋体" w:cs="宋体"/>
                <w:i w:val="0"/>
                <w:iCs w:val="0"/>
                <w:color w:val="auto"/>
                <w:sz w:val="12"/>
                <w:szCs w:val="12"/>
                <w:u w:val="none"/>
              </w:rPr>
            </w:pPr>
          </w:p>
        </w:tc>
        <w:tc>
          <w:tcPr>
            <w:tcW w:w="576" w:type="dxa"/>
            <w:tcBorders>
              <w:top w:val="single" w:color="000000" w:sz="4" w:space="0"/>
              <w:left w:val="single" w:color="000000" w:sz="4" w:space="0"/>
              <w:bottom w:val="single" w:color="000000" w:sz="4" w:space="0"/>
              <w:right w:val="single" w:color="000000" w:sz="4" w:space="0"/>
            </w:tcBorders>
            <w:noWrap w:val="0"/>
            <w:vAlign w:val="center"/>
          </w:tcPr>
          <w:p w14:paraId="2B265A49">
            <w:pPr>
              <w:jc w:val="center"/>
              <w:rPr>
                <w:rFonts w:hint="eastAsia" w:ascii="宋体" w:hAnsi="宋体" w:eastAsia="宋体" w:cs="宋体"/>
                <w:i w:val="0"/>
                <w:iCs w:val="0"/>
                <w:color w:val="auto"/>
                <w:sz w:val="12"/>
                <w:szCs w:val="12"/>
                <w:u w:val="none"/>
              </w:rPr>
            </w:pPr>
          </w:p>
        </w:tc>
        <w:tc>
          <w:tcPr>
            <w:tcW w:w="576" w:type="dxa"/>
            <w:tcBorders>
              <w:top w:val="single" w:color="000000" w:sz="4" w:space="0"/>
              <w:left w:val="single" w:color="000000" w:sz="4" w:space="0"/>
              <w:bottom w:val="single" w:color="000000" w:sz="4" w:space="0"/>
              <w:right w:val="single" w:color="000000" w:sz="4" w:space="0"/>
            </w:tcBorders>
            <w:noWrap w:val="0"/>
            <w:vAlign w:val="center"/>
          </w:tcPr>
          <w:p w14:paraId="22760128">
            <w:pPr>
              <w:jc w:val="center"/>
              <w:rPr>
                <w:rFonts w:hint="eastAsia" w:ascii="宋体" w:hAnsi="宋体" w:eastAsia="宋体" w:cs="宋体"/>
                <w:i w:val="0"/>
                <w:iCs w:val="0"/>
                <w:color w:val="auto"/>
                <w:sz w:val="12"/>
                <w:szCs w:val="12"/>
                <w:u w:val="none"/>
              </w:rPr>
            </w:pPr>
          </w:p>
        </w:tc>
        <w:tc>
          <w:tcPr>
            <w:tcW w:w="576" w:type="dxa"/>
            <w:tcBorders>
              <w:top w:val="single" w:color="000000" w:sz="4" w:space="0"/>
              <w:left w:val="single" w:color="000000" w:sz="4" w:space="0"/>
              <w:bottom w:val="single" w:color="000000" w:sz="4" w:space="0"/>
              <w:right w:val="single" w:color="000000" w:sz="4" w:space="0"/>
            </w:tcBorders>
            <w:noWrap w:val="0"/>
            <w:vAlign w:val="center"/>
          </w:tcPr>
          <w:p w14:paraId="6A91D1D1">
            <w:pPr>
              <w:jc w:val="center"/>
              <w:rPr>
                <w:rFonts w:hint="eastAsia" w:ascii="宋体" w:hAnsi="宋体" w:eastAsia="宋体" w:cs="宋体"/>
                <w:i w:val="0"/>
                <w:iCs w:val="0"/>
                <w:color w:val="auto"/>
                <w:sz w:val="12"/>
                <w:szCs w:val="12"/>
                <w:u w:val="none"/>
              </w:rPr>
            </w:pPr>
          </w:p>
        </w:tc>
        <w:tc>
          <w:tcPr>
            <w:tcW w:w="576" w:type="dxa"/>
            <w:tcBorders>
              <w:top w:val="single" w:color="000000" w:sz="4" w:space="0"/>
              <w:left w:val="single" w:color="000000" w:sz="4" w:space="0"/>
              <w:bottom w:val="single" w:color="000000" w:sz="4" w:space="0"/>
              <w:right w:val="single" w:color="000000" w:sz="4" w:space="0"/>
            </w:tcBorders>
            <w:noWrap/>
            <w:vAlign w:val="center"/>
          </w:tcPr>
          <w:p w14:paraId="58A09FE6">
            <w:pPr>
              <w:jc w:val="center"/>
              <w:rPr>
                <w:rFonts w:hint="eastAsia" w:ascii="宋体" w:hAnsi="宋体" w:eastAsia="宋体" w:cs="宋体"/>
                <w:i w:val="0"/>
                <w:iCs w:val="0"/>
                <w:color w:val="auto"/>
                <w:sz w:val="12"/>
                <w:szCs w:val="12"/>
                <w:u w:val="none"/>
              </w:rPr>
            </w:pPr>
          </w:p>
        </w:tc>
        <w:tc>
          <w:tcPr>
            <w:tcW w:w="576" w:type="dxa"/>
            <w:tcBorders>
              <w:top w:val="single" w:color="000000" w:sz="4" w:space="0"/>
              <w:left w:val="single" w:color="000000" w:sz="4" w:space="0"/>
              <w:bottom w:val="single" w:color="000000" w:sz="4" w:space="0"/>
              <w:right w:val="single" w:color="000000" w:sz="4" w:space="0"/>
            </w:tcBorders>
            <w:noWrap/>
            <w:vAlign w:val="center"/>
          </w:tcPr>
          <w:p w14:paraId="63128217">
            <w:pPr>
              <w:jc w:val="center"/>
              <w:rPr>
                <w:rFonts w:hint="eastAsia" w:ascii="宋体" w:hAnsi="宋体" w:eastAsia="宋体" w:cs="宋体"/>
                <w:i w:val="0"/>
                <w:iCs w:val="0"/>
                <w:color w:val="auto"/>
                <w:sz w:val="12"/>
                <w:szCs w:val="12"/>
                <w:u w:val="none"/>
              </w:rPr>
            </w:pPr>
          </w:p>
        </w:tc>
      </w:tr>
      <w:tr w14:paraId="4F998E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05" w:hRule="atLeast"/>
        </w:trPr>
        <w:tc>
          <w:tcPr>
            <w:tcW w:w="650" w:type="dxa"/>
            <w:tcBorders>
              <w:top w:val="single" w:color="000000" w:sz="4" w:space="0"/>
              <w:left w:val="single" w:color="000000" w:sz="4" w:space="0"/>
              <w:bottom w:val="single" w:color="000000" w:sz="4" w:space="0"/>
              <w:right w:val="single" w:color="000000" w:sz="4" w:space="0"/>
            </w:tcBorders>
            <w:noWrap w:val="0"/>
            <w:vAlign w:val="center"/>
          </w:tcPr>
          <w:p w14:paraId="00DDF335">
            <w:pPr>
              <w:keepNext w:val="0"/>
              <w:keepLines w:val="0"/>
              <w:widowControl/>
              <w:suppressLineNumbers w:val="0"/>
              <w:jc w:val="center"/>
              <w:textAlignment w:val="center"/>
              <w:rPr>
                <w:rFonts w:hint="eastAsia" w:ascii="宋体" w:hAnsi="宋体" w:eastAsia="宋体" w:cs="宋体"/>
                <w:i w:val="0"/>
                <w:iCs w:val="0"/>
                <w:color w:val="auto"/>
                <w:sz w:val="12"/>
                <w:szCs w:val="12"/>
                <w:u w:val="none"/>
              </w:rPr>
            </w:pPr>
            <w:r>
              <w:rPr>
                <w:rFonts w:hint="eastAsia" w:ascii="宋体" w:hAnsi="宋体" w:eastAsia="宋体" w:cs="宋体"/>
                <w:i w:val="0"/>
                <w:iCs w:val="0"/>
                <w:color w:val="auto"/>
                <w:kern w:val="0"/>
                <w:sz w:val="12"/>
                <w:szCs w:val="12"/>
                <w:u w:val="none"/>
                <w:lang w:val="en-US" w:eastAsia="zh-CN" w:bidi="ar"/>
              </w:rPr>
              <w:t>洗手间卫生清洁</w:t>
            </w:r>
          </w:p>
        </w:tc>
        <w:tc>
          <w:tcPr>
            <w:tcW w:w="1223" w:type="dxa"/>
            <w:tcBorders>
              <w:top w:val="single" w:color="000000" w:sz="4" w:space="0"/>
              <w:left w:val="single" w:color="000000" w:sz="4" w:space="0"/>
              <w:bottom w:val="single" w:color="000000" w:sz="4" w:space="0"/>
              <w:right w:val="single" w:color="000000" w:sz="4" w:space="0"/>
            </w:tcBorders>
            <w:noWrap w:val="0"/>
            <w:vAlign w:val="center"/>
          </w:tcPr>
          <w:p w14:paraId="7569BABB">
            <w:pPr>
              <w:keepNext w:val="0"/>
              <w:keepLines w:val="0"/>
              <w:widowControl/>
              <w:suppressLineNumbers w:val="0"/>
              <w:jc w:val="center"/>
              <w:textAlignment w:val="center"/>
              <w:rPr>
                <w:rFonts w:hint="eastAsia" w:ascii="宋体" w:hAnsi="宋体" w:eastAsia="宋体" w:cs="宋体"/>
                <w:i w:val="0"/>
                <w:iCs w:val="0"/>
                <w:color w:val="auto"/>
                <w:sz w:val="12"/>
                <w:szCs w:val="12"/>
                <w:u w:val="none"/>
              </w:rPr>
            </w:pPr>
            <w:r>
              <w:rPr>
                <w:rFonts w:hint="eastAsia" w:ascii="宋体" w:hAnsi="宋体" w:eastAsia="宋体" w:cs="宋体"/>
                <w:i w:val="0"/>
                <w:iCs w:val="0"/>
                <w:color w:val="auto"/>
                <w:kern w:val="0"/>
                <w:sz w:val="12"/>
                <w:szCs w:val="12"/>
                <w:u w:val="none"/>
                <w:lang w:val="en-US" w:eastAsia="zh-CN" w:bidi="ar"/>
              </w:rPr>
              <w:t>地面、墙面、门窗、洗手台、水龙头、冲水阀、隔板、便池、小便器、照明灯具、纸篓、垃圾桶、空气洁净程度</w:t>
            </w:r>
          </w:p>
        </w:tc>
        <w:tc>
          <w:tcPr>
            <w:tcW w:w="1630" w:type="dxa"/>
            <w:tcBorders>
              <w:top w:val="nil"/>
              <w:left w:val="single" w:color="000000" w:sz="4" w:space="0"/>
              <w:bottom w:val="single" w:color="000000" w:sz="4" w:space="0"/>
              <w:right w:val="single" w:color="000000" w:sz="4" w:space="0"/>
            </w:tcBorders>
            <w:noWrap w:val="0"/>
            <w:vAlign w:val="center"/>
          </w:tcPr>
          <w:p w14:paraId="2F22ED22">
            <w:pPr>
              <w:keepNext w:val="0"/>
              <w:keepLines w:val="0"/>
              <w:widowControl/>
              <w:suppressLineNumbers w:val="0"/>
              <w:jc w:val="center"/>
              <w:textAlignment w:val="center"/>
              <w:rPr>
                <w:rFonts w:hint="eastAsia" w:ascii="宋体" w:hAnsi="宋体" w:eastAsia="宋体" w:cs="宋体"/>
                <w:i w:val="0"/>
                <w:iCs w:val="0"/>
                <w:color w:val="auto"/>
                <w:sz w:val="12"/>
                <w:szCs w:val="12"/>
                <w:u w:val="none"/>
              </w:rPr>
            </w:pPr>
            <w:r>
              <w:rPr>
                <w:rFonts w:hint="eastAsia" w:ascii="宋体" w:hAnsi="宋体" w:eastAsia="宋体" w:cs="宋体"/>
                <w:i w:val="0"/>
                <w:iCs w:val="0"/>
                <w:color w:val="auto"/>
                <w:kern w:val="0"/>
                <w:sz w:val="12"/>
                <w:szCs w:val="12"/>
                <w:u w:val="none"/>
                <w:lang w:val="en-US" w:eastAsia="zh-CN" w:bidi="ar"/>
              </w:rPr>
              <w:t>干净、无污迹、无废弃物、无积尘、无蜘蛛网、及时关闭门窗、桶内垃圾不超过2/3，摆放到位，及时关灯无长明灯，清新无臭味</w:t>
            </w:r>
          </w:p>
        </w:tc>
        <w:tc>
          <w:tcPr>
            <w:tcW w:w="505" w:type="dxa"/>
            <w:tcBorders>
              <w:top w:val="single" w:color="000000" w:sz="4" w:space="0"/>
              <w:left w:val="single" w:color="000000" w:sz="4" w:space="0"/>
              <w:bottom w:val="single" w:color="000000" w:sz="4" w:space="0"/>
              <w:right w:val="single" w:color="000000" w:sz="4" w:space="0"/>
            </w:tcBorders>
            <w:noWrap w:val="0"/>
            <w:vAlign w:val="center"/>
          </w:tcPr>
          <w:p w14:paraId="7AFE36A2">
            <w:pPr>
              <w:keepNext w:val="0"/>
              <w:keepLines w:val="0"/>
              <w:widowControl/>
              <w:suppressLineNumbers w:val="0"/>
              <w:jc w:val="center"/>
              <w:textAlignment w:val="center"/>
              <w:rPr>
                <w:rFonts w:hint="eastAsia" w:ascii="宋体" w:hAnsi="宋体" w:eastAsia="宋体" w:cs="宋体"/>
                <w:i w:val="0"/>
                <w:iCs w:val="0"/>
                <w:color w:val="auto"/>
                <w:sz w:val="12"/>
                <w:szCs w:val="12"/>
                <w:u w:val="none"/>
              </w:rPr>
            </w:pPr>
            <w:r>
              <w:rPr>
                <w:rFonts w:hint="eastAsia" w:ascii="宋体" w:hAnsi="宋体" w:eastAsia="宋体" w:cs="宋体"/>
                <w:i w:val="0"/>
                <w:iCs w:val="0"/>
                <w:color w:val="auto"/>
                <w:kern w:val="0"/>
                <w:sz w:val="12"/>
                <w:szCs w:val="12"/>
                <w:u w:val="none"/>
                <w:lang w:val="en-US" w:eastAsia="zh-CN" w:bidi="ar"/>
              </w:rPr>
              <w:t>30</w:t>
            </w:r>
          </w:p>
        </w:tc>
        <w:tc>
          <w:tcPr>
            <w:tcW w:w="505" w:type="dxa"/>
            <w:tcBorders>
              <w:top w:val="single" w:color="000000" w:sz="4" w:space="0"/>
              <w:left w:val="single" w:color="000000" w:sz="4" w:space="0"/>
              <w:bottom w:val="single" w:color="000000" w:sz="4" w:space="0"/>
              <w:right w:val="single" w:color="000000" w:sz="4" w:space="0"/>
            </w:tcBorders>
            <w:noWrap w:val="0"/>
            <w:vAlign w:val="center"/>
          </w:tcPr>
          <w:p w14:paraId="0E0DFBAF">
            <w:pPr>
              <w:keepNext w:val="0"/>
              <w:keepLines w:val="0"/>
              <w:widowControl/>
              <w:suppressLineNumbers w:val="0"/>
              <w:jc w:val="center"/>
              <w:textAlignment w:val="center"/>
              <w:rPr>
                <w:rFonts w:hint="eastAsia" w:ascii="宋体" w:hAnsi="宋体" w:eastAsia="宋体" w:cs="宋体"/>
                <w:i w:val="0"/>
                <w:iCs w:val="0"/>
                <w:color w:val="auto"/>
                <w:sz w:val="12"/>
                <w:szCs w:val="12"/>
                <w:u w:val="none"/>
              </w:rPr>
            </w:pPr>
            <w:r>
              <w:rPr>
                <w:rFonts w:hint="eastAsia" w:ascii="宋体" w:hAnsi="宋体" w:eastAsia="宋体" w:cs="宋体"/>
                <w:i w:val="0"/>
                <w:iCs w:val="0"/>
                <w:color w:val="auto"/>
                <w:kern w:val="0"/>
                <w:sz w:val="12"/>
                <w:szCs w:val="12"/>
                <w:u w:val="none"/>
                <w:lang w:val="en-US" w:eastAsia="zh-CN" w:bidi="ar"/>
              </w:rPr>
              <w:t>28</w:t>
            </w:r>
          </w:p>
        </w:tc>
        <w:tc>
          <w:tcPr>
            <w:tcW w:w="505" w:type="dxa"/>
            <w:tcBorders>
              <w:top w:val="single" w:color="000000" w:sz="4" w:space="0"/>
              <w:left w:val="single" w:color="000000" w:sz="4" w:space="0"/>
              <w:bottom w:val="single" w:color="000000" w:sz="4" w:space="0"/>
              <w:right w:val="single" w:color="000000" w:sz="4" w:space="0"/>
            </w:tcBorders>
            <w:noWrap w:val="0"/>
            <w:vAlign w:val="center"/>
          </w:tcPr>
          <w:p w14:paraId="513B2F01">
            <w:pPr>
              <w:keepNext w:val="0"/>
              <w:keepLines w:val="0"/>
              <w:widowControl/>
              <w:suppressLineNumbers w:val="0"/>
              <w:jc w:val="center"/>
              <w:textAlignment w:val="center"/>
              <w:rPr>
                <w:rFonts w:hint="eastAsia" w:ascii="宋体" w:hAnsi="宋体" w:eastAsia="宋体" w:cs="宋体"/>
                <w:i w:val="0"/>
                <w:iCs w:val="0"/>
                <w:color w:val="auto"/>
                <w:sz w:val="12"/>
                <w:szCs w:val="12"/>
                <w:u w:val="none"/>
              </w:rPr>
            </w:pPr>
            <w:r>
              <w:rPr>
                <w:rFonts w:hint="eastAsia" w:ascii="宋体" w:hAnsi="宋体" w:eastAsia="宋体" w:cs="宋体"/>
                <w:i w:val="0"/>
                <w:iCs w:val="0"/>
                <w:color w:val="auto"/>
                <w:kern w:val="0"/>
                <w:sz w:val="12"/>
                <w:szCs w:val="12"/>
                <w:u w:val="none"/>
                <w:lang w:val="en-US" w:eastAsia="zh-CN" w:bidi="ar"/>
              </w:rPr>
              <w:t>21</w:t>
            </w:r>
          </w:p>
        </w:tc>
        <w:tc>
          <w:tcPr>
            <w:tcW w:w="506" w:type="dxa"/>
            <w:tcBorders>
              <w:top w:val="single" w:color="000000" w:sz="4" w:space="0"/>
              <w:left w:val="single" w:color="000000" w:sz="4" w:space="0"/>
              <w:bottom w:val="single" w:color="000000" w:sz="4" w:space="0"/>
              <w:right w:val="single" w:color="000000" w:sz="4" w:space="0"/>
            </w:tcBorders>
            <w:noWrap w:val="0"/>
            <w:vAlign w:val="center"/>
          </w:tcPr>
          <w:p w14:paraId="1E12EFC7">
            <w:pPr>
              <w:keepNext w:val="0"/>
              <w:keepLines w:val="0"/>
              <w:widowControl/>
              <w:suppressLineNumbers w:val="0"/>
              <w:jc w:val="center"/>
              <w:textAlignment w:val="center"/>
              <w:rPr>
                <w:rFonts w:hint="eastAsia" w:ascii="宋体" w:hAnsi="宋体" w:eastAsia="宋体" w:cs="宋体"/>
                <w:i w:val="0"/>
                <w:iCs w:val="0"/>
                <w:color w:val="auto"/>
                <w:sz w:val="12"/>
                <w:szCs w:val="12"/>
                <w:u w:val="none"/>
              </w:rPr>
            </w:pPr>
            <w:r>
              <w:rPr>
                <w:rFonts w:hint="eastAsia" w:ascii="宋体" w:hAnsi="宋体" w:eastAsia="宋体" w:cs="宋体"/>
                <w:i w:val="0"/>
                <w:iCs w:val="0"/>
                <w:color w:val="auto"/>
                <w:kern w:val="0"/>
                <w:sz w:val="12"/>
                <w:szCs w:val="12"/>
                <w:u w:val="none"/>
                <w:lang w:val="en-US" w:eastAsia="zh-CN" w:bidi="ar"/>
              </w:rPr>
              <w:t>15</w:t>
            </w:r>
          </w:p>
        </w:tc>
        <w:tc>
          <w:tcPr>
            <w:tcW w:w="576" w:type="dxa"/>
            <w:tcBorders>
              <w:top w:val="single" w:color="000000" w:sz="4" w:space="0"/>
              <w:left w:val="single" w:color="000000" w:sz="4" w:space="0"/>
              <w:bottom w:val="single" w:color="000000" w:sz="4" w:space="0"/>
              <w:right w:val="single" w:color="000000" w:sz="4" w:space="0"/>
            </w:tcBorders>
            <w:noWrap w:val="0"/>
            <w:vAlign w:val="center"/>
          </w:tcPr>
          <w:p w14:paraId="3BAB15A6">
            <w:pPr>
              <w:jc w:val="center"/>
              <w:rPr>
                <w:rFonts w:hint="eastAsia" w:ascii="宋体" w:hAnsi="宋体" w:eastAsia="宋体" w:cs="宋体"/>
                <w:i w:val="0"/>
                <w:iCs w:val="0"/>
                <w:color w:val="auto"/>
                <w:sz w:val="12"/>
                <w:szCs w:val="12"/>
                <w:u w:val="none"/>
              </w:rPr>
            </w:pPr>
          </w:p>
        </w:tc>
        <w:tc>
          <w:tcPr>
            <w:tcW w:w="576" w:type="dxa"/>
            <w:tcBorders>
              <w:top w:val="single" w:color="000000" w:sz="4" w:space="0"/>
              <w:left w:val="single" w:color="000000" w:sz="4" w:space="0"/>
              <w:bottom w:val="single" w:color="000000" w:sz="4" w:space="0"/>
              <w:right w:val="single" w:color="000000" w:sz="4" w:space="0"/>
            </w:tcBorders>
            <w:noWrap w:val="0"/>
            <w:vAlign w:val="center"/>
          </w:tcPr>
          <w:p w14:paraId="744C7019">
            <w:pPr>
              <w:jc w:val="center"/>
              <w:rPr>
                <w:rFonts w:hint="eastAsia" w:ascii="宋体" w:hAnsi="宋体" w:eastAsia="宋体" w:cs="宋体"/>
                <w:i w:val="0"/>
                <w:iCs w:val="0"/>
                <w:color w:val="auto"/>
                <w:sz w:val="12"/>
                <w:szCs w:val="12"/>
                <w:u w:val="none"/>
              </w:rPr>
            </w:pPr>
          </w:p>
        </w:tc>
        <w:tc>
          <w:tcPr>
            <w:tcW w:w="576" w:type="dxa"/>
            <w:tcBorders>
              <w:top w:val="single" w:color="000000" w:sz="4" w:space="0"/>
              <w:left w:val="single" w:color="000000" w:sz="4" w:space="0"/>
              <w:bottom w:val="single" w:color="000000" w:sz="4" w:space="0"/>
              <w:right w:val="single" w:color="000000" w:sz="4" w:space="0"/>
            </w:tcBorders>
            <w:noWrap w:val="0"/>
            <w:vAlign w:val="center"/>
          </w:tcPr>
          <w:p w14:paraId="7E7FA062">
            <w:pPr>
              <w:jc w:val="center"/>
              <w:rPr>
                <w:rFonts w:hint="eastAsia" w:ascii="宋体" w:hAnsi="宋体" w:eastAsia="宋体" w:cs="宋体"/>
                <w:i w:val="0"/>
                <w:iCs w:val="0"/>
                <w:color w:val="auto"/>
                <w:sz w:val="12"/>
                <w:szCs w:val="12"/>
                <w:u w:val="none"/>
              </w:rPr>
            </w:pPr>
          </w:p>
        </w:tc>
        <w:tc>
          <w:tcPr>
            <w:tcW w:w="576" w:type="dxa"/>
            <w:tcBorders>
              <w:top w:val="single" w:color="000000" w:sz="4" w:space="0"/>
              <w:left w:val="single" w:color="000000" w:sz="4" w:space="0"/>
              <w:bottom w:val="single" w:color="000000" w:sz="4" w:space="0"/>
              <w:right w:val="single" w:color="000000" w:sz="4" w:space="0"/>
            </w:tcBorders>
            <w:noWrap w:val="0"/>
            <w:vAlign w:val="center"/>
          </w:tcPr>
          <w:p w14:paraId="5D4298C8">
            <w:pPr>
              <w:jc w:val="center"/>
              <w:rPr>
                <w:rFonts w:hint="eastAsia" w:ascii="宋体" w:hAnsi="宋体" w:eastAsia="宋体" w:cs="宋体"/>
                <w:i w:val="0"/>
                <w:iCs w:val="0"/>
                <w:color w:val="auto"/>
                <w:sz w:val="12"/>
                <w:szCs w:val="12"/>
                <w:u w:val="none"/>
              </w:rPr>
            </w:pPr>
          </w:p>
        </w:tc>
        <w:tc>
          <w:tcPr>
            <w:tcW w:w="576" w:type="dxa"/>
            <w:tcBorders>
              <w:top w:val="single" w:color="000000" w:sz="4" w:space="0"/>
              <w:left w:val="single" w:color="000000" w:sz="4" w:space="0"/>
              <w:bottom w:val="single" w:color="000000" w:sz="4" w:space="0"/>
              <w:right w:val="single" w:color="000000" w:sz="4" w:space="0"/>
            </w:tcBorders>
            <w:noWrap/>
            <w:vAlign w:val="center"/>
          </w:tcPr>
          <w:p w14:paraId="22F52134">
            <w:pPr>
              <w:jc w:val="center"/>
              <w:rPr>
                <w:rFonts w:hint="eastAsia" w:ascii="宋体" w:hAnsi="宋体" w:eastAsia="宋体" w:cs="宋体"/>
                <w:i w:val="0"/>
                <w:iCs w:val="0"/>
                <w:color w:val="auto"/>
                <w:sz w:val="12"/>
                <w:szCs w:val="12"/>
                <w:u w:val="none"/>
              </w:rPr>
            </w:pPr>
          </w:p>
        </w:tc>
        <w:tc>
          <w:tcPr>
            <w:tcW w:w="576" w:type="dxa"/>
            <w:tcBorders>
              <w:top w:val="single" w:color="000000" w:sz="4" w:space="0"/>
              <w:left w:val="single" w:color="000000" w:sz="4" w:space="0"/>
              <w:bottom w:val="single" w:color="000000" w:sz="4" w:space="0"/>
              <w:right w:val="single" w:color="000000" w:sz="4" w:space="0"/>
            </w:tcBorders>
            <w:noWrap/>
            <w:vAlign w:val="center"/>
          </w:tcPr>
          <w:p w14:paraId="4EDDCF81">
            <w:pPr>
              <w:jc w:val="center"/>
              <w:rPr>
                <w:rFonts w:hint="eastAsia" w:ascii="宋体" w:hAnsi="宋体" w:eastAsia="宋体" w:cs="宋体"/>
                <w:i w:val="0"/>
                <w:iCs w:val="0"/>
                <w:color w:val="auto"/>
                <w:sz w:val="12"/>
                <w:szCs w:val="12"/>
                <w:u w:val="none"/>
              </w:rPr>
            </w:pPr>
          </w:p>
        </w:tc>
      </w:tr>
      <w:tr w14:paraId="26D8D1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40" w:hRule="atLeast"/>
        </w:trPr>
        <w:tc>
          <w:tcPr>
            <w:tcW w:w="650" w:type="dxa"/>
            <w:tcBorders>
              <w:top w:val="single" w:color="000000" w:sz="4" w:space="0"/>
              <w:left w:val="single" w:color="000000" w:sz="4" w:space="0"/>
              <w:bottom w:val="single" w:color="000000" w:sz="4" w:space="0"/>
              <w:right w:val="single" w:color="000000" w:sz="4" w:space="0"/>
            </w:tcBorders>
            <w:noWrap w:val="0"/>
            <w:vAlign w:val="center"/>
          </w:tcPr>
          <w:p w14:paraId="08EFCF5C">
            <w:pPr>
              <w:keepNext w:val="0"/>
              <w:keepLines w:val="0"/>
              <w:widowControl/>
              <w:suppressLineNumbers w:val="0"/>
              <w:jc w:val="center"/>
              <w:textAlignment w:val="center"/>
              <w:rPr>
                <w:rFonts w:hint="eastAsia" w:ascii="宋体" w:hAnsi="宋体" w:eastAsia="宋体" w:cs="宋体"/>
                <w:i w:val="0"/>
                <w:iCs w:val="0"/>
                <w:color w:val="auto"/>
                <w:sz w:val="12"/>
                <w:szCs w:val="12"/>
                <w:u w:val="none"/>
              </w:rPr>
            </w:pPr>
            <w:r>
              <w:rPr>
                <w:rFonts w:hint="eastAsia" w:ascii="宋体" w:hAnsi="宋体" w:eastAsia="宋体" w:cs="宋体"/>
                <w:i w:val="0"/>
                <w:iCs w:val="0"/>
                <w:color w:val="auto"/>
                <w:kern w:val="0"/>
                <w:sz w:val="12"/>
                <w:szCs w:val="12"/>
                <w:u w:val="none"/>
                <w:lang w:val="en-US" w:eastAsia="zh-CN" w:bidi="ar"/>
              </w:rPr>
              <w:t>室外环境卫生与垃圾清运</w:t>
            </w:r>
          </w:p>
        </w:tc>
        <w:tc>
          <w:tcPr>
            <w:tcW w:w="1223" w:type="dxa"/>
            <w:tcBorders>
              <w:top w:val="single" w:color="000000" w:sz="4" w:space="0"/>
              <w:left w:val="single" w:color="000000" w:sz="4" w:space="0"/>
              <w:bottom w:val="single" w:color="000000" w:sz="4" w:space="0"/>
              <w:right w:val="single" w:color="000000" w:sz="4" w:space="0"/>
            </w:tcBorders>
            <w:noWrap w:val="0"/>
            <w:vAlign w:val="center"/>
          </w:tcPr>
          <w:p w14:paraId="770BE0C1">
            <w:pPr>
              <w:keepNext w:val="0"/>
              <w:keepLines w:val="0"/>
              <w:widowControl/>
              <w:suppressLineNumbers w:val="0"/>
              <w:jc w:val="center"/>
              <w:textAlignment w:val="center"/>
              <w:rPr>
                <w:rFonts w:hint="eastAsia" w:ascii="宋体" w:hAnsi="宋体" w:eastAsia="宋体" w:cs="宋体"/>
                <w:i w:val="0"/>
                <w:iCs w:val="0"/>
                <w:color w:val="auto"/>
                <w:sz w:val="12"/>
                <w:szCs w:val="12"/>
                <w:u w:val="none"/>
              </w:rPr>
            </w:pPr>
            <w:r>
              <w:rPr>
                <w:rFonts w:hint="eastAsia" w:ascii="宋体" w:hAnsi="宋体" w:eastAsia="宋体" w:cs="宋体"/>
                <w:i w:val="0"/>
                <w:iCs w:val="0"/>
                <w:color w:val="auto"/>
                <w:kern w:val="0"/>
                <w:sz w:val="12"/>
                <w:szCs w:val="12"/>
                <w:u w:val="none"/>
                <w:lang w:val="en-US" w:eastAsia="zh-CN" w:bidi="ar"/>
              </w:rPr>
              <w:t>硬化路面、道路</w:t>
            </w:r>
            <w:r>
              <w:rPr>
                <w:rFonts w:hint="eastAsia" w:ascii="宋体" w:hAnsi="宋体" w:eastAsia="宋体" w:cs="宋体"/>
                <w:i w:val="0"/>
                <w:iCs w:val="0"/>
                <w:color w:val="auto"/>
                <w:kern w:val="0"/>
                <w:sz w:val="12"/>
                <w:szCs w:val="12"/>
                <w:u w:val="none"/>
                <w:lang w:val="en-US" w:eastAsia="zh-CN" w:bidi="ar"/>
              </w:rPr>
              <w:br w:type="textWrapping"/>
            </w:r>
            <w:r>
              <w:rPr>
                <w:rFonts w:hint="eastAsia" w:ascii="宋体" w:hAnsi="宋体" w:eastAsia="宋体" w:cs="宋体"/>
                <w:i w:val="0"/>
                <w:iCs w:val="0"/>
                <w:color w:val="auto"/>
                <w:kern w:val="0"/>
                <w:sz w:val="12"/>
                <w:szCs w:val="12"/>
                <w:u w:val="none"/>
                <w:lang w:val="en-US" w:eastAsia="zh-CN" w:bidi="ar"/>
              </w:rPr>
              <w:t>两旁、果皮箱、</w:t>
            </w:r>
            <w:r>
              <w:rPr>
                <w:rFonts w:hint="eastAsia" w:ascii="宋体" w:hAnsi="宋体" w:eastAsia="宋体" w:cs="宋体"/>
                <w:i w:val="0"/>
                <w:iCs w:val="0"/>
                <w:color w:val="auto"/>
                <w:kern w:val="0"/>
                <w:sz w:val="12"/>
                <w:szCs w:val="12"/>
                <w:u w:val="none"/>
                <w:lang w:val="en-US" w:eastAsia="zh-CN" w:bidi="ar"/>
              </w:rPr>
              <w:br w:type="textWrapping"/>
            </w:r>
            <w:r>
              <w:rPr>
                <w:rFonts w:hint="eastAsia" w:ascii="宋体" w:hAnsi="宋体" w:eastAsia="宋体" w:cs="宋体"/>
                <w:i w:val="0"/>
                <w:iCs w:val="0"/>
                <w:color w:val="auto"/>
                <w:kern w:val="0"/>
                <w:sz w:val="12"/>
                <w:szCs w:val="12"/>
                <w:u w:val="none"/>
                <w:lang w:val="en-US" w:eastAsia="zh-CN" w:bidi="ar"/>
              </w:rPr>
              <w:t>垃圾桶、各类设</w:t>
            </w:r>
            <w:r>
              <w:rPr>
                <w:rFonts w:hint="eastAsia" w:ascii="宋体" w:hAnsi="宋体" w:eastAsia="宋体" w:cs="宋体"/>
                <w:i w:val="0"/>
                <w:iCs w:val="0"/>
                <w:color w:val="auto"/>
                <w:kern w:val="0"/>
                <w:sz w:val="12"/>
                <w:szCs w:val="12"/>
                <w:u w:val="none"/>
                <w:lang w:val="en-US" w:eastAsia="zh-CN" w:bidi="ar"/>
              </w:rPr>
              <w:br w:type="textWrapping"/>
            </w:r>
            <w:r>
              <w:rPr>
                <w:rFonts w:hint="eastAsia" w:ascii="宋体" w:hAnsi="宋体" w:eastAsia="宋体" w:cs="宋体"/>
                <w:i w:val="0"/>
                <w:iCs w:val="0"/>
                <w:color w:val="auto"/>
                <w:kern w:val="0"/>
                <w:sz w:val="12"/>
                <w:szCs w:val="12"/>
                <w:u w:val="none"/>
                <w:lang w:val="en-US" w:eastAsia="zh-CN" w:bidi="ar"/>
              </w:rPr>
              <w:t>施设备、其他区域</w:t>
            </w:r>
          </w:p>
        </w:tc>
        <w:tc>
          <w:tcPr>
            <w:tcW w:w="1630" w:type="dxa"/>
            <w:tcBorders>
              <w:top w:val="single" w:color="000000" w:sz="4" w:space="0"/>
              <w:left w:val="single" w:color="000000" w:sz="4" w:space="0"/>
              <w:bottom w:val="single" w:color="000000" w:sz="4" w:space="0"/>
              <w:right w:val="single" w:color="000000" w:sz="4" w:space="0"/>
            </w:tcBorders>
            <w:noWrap w:val="0"/>
            <w:vAlign w:val="center"/>
          </w:tcPr>
          <w:p w14:paraId="71C3A58B">
            <w:pPr>
              <w:keepNext w:val="0"/>
              <w:keepLines w:val="0"/>
              <w:widowControl/>
              <w:suppressLineNumbers w:val="0"/>
              <w:jc w:val="center"/>
              <w:textAlignment w:val="center"/>
              <w:rPr>
                <w:rFonts w:hint="eastAsia" w:ascii="宋体" w:hAnsi="宋体" w:eastAsia="宋体" w:cs="宋体"/>
                <w:i w:val="0"/>
                <w:iCs w:val="0"/>
                <w:color w:val="auto"/>
                <w:sz w:val="12"/>
                <w:szCs w:val="12"/>
                <w:u w:val="none"/>
              </w:rPr>
            </w:pPr>
            <w:r>
              <w:rPr>
                <w:rFonts w:hint="eastAsia" w:ascii="宋体" w:hAnsi="宋体" w:eastAsia="宋体" w:cs="宋体"/>
                <w:i w:val="0"/>
                <w:iCs w:val="0"/>
                <w:color w:val="auto"/>
                <w:kern w:val="0"/>
                <w:sz w:val="12"/>
                <w:szCs w:val="12"/>
                <w:u w:val="none"/>
                <w:lang w:val="en-US" w:eastAsia="zh-CN" w:bidi="ar"/>
              </w:rPr>
              <w:t>干净、无污迹、无废弃物、光亮、洁净、无积垢，箱（桶）内垃圾不能超过3/4，摆放到位</w:t>
            </w:r>
          </w:p>
        </w:tc>
        <w:tc>
          <w:tcPr>
            <w:tcW w:w="505" w:type="dxa"/>
            <w:tcBorders>
              <w:top w:val="single" w:color="000000" w:sz="4" w:space="0"/>
              <w:left w:val="single" w:color="000000" w:sz="4" w:space="0"/>
              <w:bottom w:val="single" w:color="000000" w:sz="4" w:space="0"/>
              <w:right w:val="single" w:color="000000" w:sz="4" w:space="0"/>
            </w:tcBorders>
            <w:noWrap w:val="0"/>
            <w:vAlign w:val="center"/>
          </w:tcPr>
          <w:p w14:paraId="464465C8">
            <w:pPr>
              <w:keepNext w:val="0"/>
              <w:keepLines w:val="0"/>
              <w:widowControl/>
              <w:suppressLineNumbers w:val="0"/>
              <w:jc w:val="center"/>
              <w:textAlignment w:val="center"/>
              <w:rPr>
                <w:rFonts w:hint="eastAsia" w:ascii="宋体" w:hAnsi="宋体" w:eastAsia="宋体" w:cs="宋体"/>
                <w:i w:val="0"/>
                <w:iCs w:val="0"/>
                <w:color w:val="auto"/>
                <w:sz w:val="12"/>
                <w:szCs w:val="12"/>
                <w:u w:val="none"/>
              </w:rPr>
            </w:pPr>
            <w:r>
              <w:rPr>
                <w:rFonts w:hint="eastAsia" w:ascii="宋体" w:hAnsi="宋体" w:eastAsia="宋体" w:cs="宋体"/>
                <w:i w:val="0"/>
                <w:iCs w:val="0"/>
                <w:color w:val="auto"/>
                <w:kern w:val="0"/>
                <w:sz w:val="12"/>
                <w:szCs w:val="12"/>
                <w:u w:val="none"/>
                <w:lang w:val="en-US" w:eastAsia="zh-CN" w:bidi="ar"/>
              </w:rPr>
              <w:t>25</w:t>
            </w:r>
          </w:p>
        </w:tc>
        <w:tc>
          <w:tcPr>
            <w:tcW w:w="505" w:type="dxa"/>
            <w:tcBorders>
              <w:top w:val="single" w:color="000000" w:sz="4" w:space="0"/>
              <w:left w:val="single" w:color="000000" w:sz="4" w:space="0"/>
              <w:bottom w:val="single" w:color="000000" w:sz="4" w:space="0"/>
              <w:right w:val="single" w:color="000000" w:sz="4" w:space="0"/>
            </w:tcBorders>
            <w:noWrap w:val="0"/>
            <w:vAlign w:val="center"/>
          </w:tcPr>
          <w:p w14:paraId="30F972D6">
            <w:pPr>
              <w:keepNext w:val="0"/>
              <w:keepLines w:val="0"/>
              <w:widowControl/>
              <w:suppressLineNumbers w:val="0"/>
              <w:jc w:val="center"/>
              <w:textAlignment w:val="center"/>
              <w:rPr>
                <w:rFonts w:hint="eastAsia" w:ascii="宋体" w:hAnsi="宋体" w:eastAsia="宋体" w:cs="宋体"/>
                <w:i w:val="0"/>
                <w:iCs w:val="0"/>
                <w:color w:val="auto"/>
                <w:sz w:val="12"/>
                <w:szCs w:val="12"/>
                <w:u w:val="none"/>
              </w:rPr>
            </w:pPr>
            <w:r>
              <w:rPr>
                <w:rFonts w:hint="eastAsia" w:ascii="宋体" w:hAnsi="宋体" w:eastAsia="宋体" w:cs="宋体"/>
                <w:i w:val="0"/>
                <w:iCs w:val="0"/>
                <w:color w:val="auto"/>
                <w:kern w:val="0"/>
                <w:sz w:val="12"/>
                <w:szCs w:val="12"/>
                <w:u w:val="none"/>
                <w:lang w:val="en-US" w:eastAsia="zh-CN" w:bidi="ar"/>
              </w:rPr>
              <w:t>23</w:t>
            </w:r>
          </w:p>
        </w:tc>
        <w:tc>
          <w:tcPr>
            <w:tcW w:w="505" w:type="dxa"/>
            <w:tcBorders>
              <w:top w:val="single" w:color="000000" w:sz="4" w:space="0"/>
              <w:left w:val="single" w:color="000000" w:sz="4" w:space="0"/>
              <w:bottom w:val="single" w:color="000000" w:sz="4" w:space="0"/>
              <w:right w:val="single" w:color="000000" w:sz="4" w:space="0"/>
            </w:tcBorders>
            <w:noWrap w:val="0"/>
            <w:vAlign w:val="center"/>
          </w:tcPr>
          <w:p w14:paraId="23314D56">
            <w:pPr>
              <w:keepNext w:val="0"/>
              <w:keepLines w:val="0"/>
              <w:widowControl/>
              <w:suppressLineNumbers w:val="0"/>
              <w:jc w:val="center"/>
              <w:textAlignment w:val="center"/>
              <w:rPr>
                <w:rFonts w:hint="eastAsia" w:ascii="宋体" w:hAnsi="宋体" w:eastAsia="宋体" w:cs="宋体"/>
                <w:i w:val="0"/>
                <w:iCs w:val="0"/>
                <w:color w:val="auto"/>
                <w:sz w:val="12"/>
                <w:szCs w:val="12"/>
                <w:u w:val="none"/>
              </w:rPr>
            </w:pPr>
            <w:r>
              <w:rPr>
                <w:rFonts w:hint="eastAsia" w:ascii="宋体" w:hAnsi="宋体" w:eastAsia="宋体" w:cs="宋体"/>
                <w:i w:val="0"/>
                <w:iCs w:val="0"/>
                <w:color w:val="auto"/>
                <w:kern w:val="0"/>
                <w:sz w:val="12"/>
                <w:szCs w:val="12"/>
                <w:u w:val="none"/>
                <w:lang w:val="en-US" w:eastAsia="zh-CN" w:bidi="ar"/>
              </w:rPr>
              <w:t>18</w:t>
            </w:r>
          </w:p>
        </w:tc>
        <w:tc>
          <w:tcPr>
            <w:tcW w:w="506" w:type="dxa"/>
            <w:tcBorders>
              <w:top w:val="single" w:color="000000" w:sz="4" w:space="0"/>
              <w:left w:val="single" w:color="000000" w:sz="4" w:space="0"/>
              <w:bottom w:val="single" w:color="000000" w:sz="4" w:space="0"/>
              <w:right w:val="single" w:color="000000" w:sz="4" w:space="0"/>
            </w:tcBorders>
            <w:noWrap w:val="0"/>
            <w:vAlign w:val="center"/>
          </w:tcPr>
          <w:p w14:paraId="1C9C4A05">
            <w:pPr>
              <w:keepNext w:val="0"/>
              <w:keepLines w:val="0"/>
              <w:widowControl/>
              <w:suppressLineNumbers w:val="0"/>
              <w:jc w:val="center"/>
              <w:textAlignment w:val="center"/>
              <w:rPr>
                <w:rFonts w:hint="eastAsia" w:ascii="宋体" w:hAnsi="宋体" w:eastAsia="宋体" w:cs="宋体"/>
                <w:i w:val="0"/>
                <w:iCs w:val="0"/>
                <w:color w:val="auto"/>
                <w:sz w:val="12"/>
                <w:szCs w:val="12"/>
                <w:u w:val="none"/>
              </w:rPr>
            </w:pPr>
            <w:r>
              <w:rPr>
                <w:rFonts w:hint="eastAsia" w:ascii="宋体" w:hAnsi="宋体" w:eastAsia="宋体" w:cs="宋体"/>
                <w:i w:val="0"/>
                <w:iCs w:val="0"/>
                <w:color w:val="auto"/>
                <w:kern w:val="0"/>
                <w:sz w:val="12"/>
                <w:szCs w:val="12"/>
                <w:u w:val="none"/>
                <w:lang w:val="en-US" w:eastAsia="zh-CN" w:bidi="ar"/>
              </w:rPr>
              <w:t>14</w:t>
            </w:r>
          </w:p>
        </w:tc>
        <w:tc>
          <w:tcPr>
            <w:tcW w:w="576" w:type="dxa"/>
            <w:tcBorders>
              <w:top w:val="single" w:color="000000" w:sz="4" w:space="0"/>
              <w:left w:val="single" w:color="000000" w:sz="4" w:space="0"/>
              <w:bottom w:val="single" w:color="000000" w:sz="4" w:space="0"/>
              <w:right w:val="single" w:color="000000" w:sz="4" w:space="0"/>
            </w:tcBorders>
            <w:noWrap w:val="0"/>
            <w:vAlign w:val="center"/>
          </w:tcPr>
          <w:p w14:paraId="3809323A">
            <w:pPr>
              <w:jc w:val="center"/>
              <w:rPr>
                <w:rFonts w:hint="eastAsia" w:ascii="宋体" w:hAnsi="宋体" w:eastAsia="宋体" w:cs="宋体"/>
                <w:i w:val="0"/>
                <w:iCs w:val="0"/>
                <w:color w:val="auto"/>
                <w:sz w:val="12"/>
                <w:szCs w:val="12"/>
                <w:u w:val="none"/>
              </w:rPr>
            </w:pPr>
          </w:p>
        </w:tc>
        <w:tc>
          <w:tcPr>
            <w:tcW w:w="576" w:type="dxa"/>
            <w:tcBorders>
              <w:top w:val="single" w:color="000000" w:sz="4" w:space="0"/>
              <w:left w:val="single" w:color="000000" w:sz="4" w:space="0"/>
              <w:bottom w:val="single" w:color="000000" w:sz="4" w:space="0"/>
              <w:right w:val="single" w:color="000000" w:sz="4" w:space="0"/>
            </w:tcBorders>
            <w:noWrap w:val="0"/>
            <w:vAlign w:val="center"/>
          </w:tcPr>
          <w:p w14:paraId="12983708">
            <w:pPr>
              <w:jc w:val="center"/>
              <w:rPr>
                <w:rFonts w:hint="eastAsia" w:ascii="宋体" w:hAnsi="宋体" w:eastAsia="宋体" w:cs="宋体"/>
                <w:i w:val="0"/>
                <w:iCs w:val="0"/>
                <w:color w:val="auto"/>
                <w:sz w:val="12"/>
                <w:szCs w:val="12"/>
                <w:u w:val="none"/>
              </w:rPr>
            </w:pPr>
          </w:p>
        </w:tc>
        <w:tc>
          <w:tcPr>
            <w:tcW w:w="576" w:type="dxa"/>
            <w:tcBorders>
              <w:top w:val="single" w:color="000000" w:sz="4" w:space="0"/>
              <w:left w:val="single" w:color="000000" w:sz="4" w:space="0"/>
              <w:bottom w:val="single" w:color="000000" w:sz="4" w:space="0"/>
              <w:right w:val="single" w:color="000000" w:sz="4" w:space="0"/>
            </w:tcBorders>
            <w:noWrap w:val="0"/>
            <w:vAlign w:val="center"/>
          </w:tcPr>
          <w:p w14:paraId="5EDD42F5">
            <w:pPr>
              <w:jc w:val="center"/>
              <w:rPr>
                <w:rFonts w:hint="eastAsia" w:ascii="宋体" w:hAnsi="宋体" w:eastAsia="宋体" w:cs="宋体"/>
                <w:i w:val="0"/>
                <w:iCs w:val="0"/>
                <w:color w:val="auto"/>
                <w:sz w:val="12"/>
                <w:szCs w:val="12"/>
                <w:u w:val="none"/>
              </w:rPr>
            </w:pPr>
          </w:p>
        </w:tc>
        <w:tc>
          <w:tcPr>
            <w:tcW w:w="576" w:type="dxa"/>
            <w:tcBorders>
              <w:top w:val="single" w:color="000000" w:sz="4" w:space="0"/>
              <w:left w:val="single" w:color="000000" w:sz="4" w:space="0"/>
              <w:bottom w:val="single" w:color="000000" w:sz="4" w:space="0"/>
              <w:right w:val="single" w:color="000000" w:sz="4" w:space="0"/>
            </w:tcBorders>
            <w:noWrap w:val="0"/>
            <w:vAlign w:val="center"/>
          </w:tcPr>
          <w:p w14:paraId="654C79EC">
            <w:pPr>
              <w:jc w:val="center"/>
              <w:rPr>
                <w:rFonts w:hint="eastAsia" w:ascii="宋体" w:hAnsi="宋体" w:eastAsia="宋体" w:cs="宋体"/>
                <w:i w:val="0"/>
                <w:iCs w:val="0"/>
                <w:color w:val="auto"/>
                <w:sz w:val="12"/>
                <w:szCs w:val="12"/>
                <w:u w:val="none"/>
              </w:rPr>
            </w:pPr>
          </w:p>
        </w:tc>
        <w:tc>
          <w:tcPr>
            <w:tcW w:w="576" w:type="dxa"/>
            <w:tcBorders>
              <w:top w:val="single" w:color="000000" w:sz="4" w:space="0"/>
              <w:left w:val="single" w:color="000000" w:sz="4" w:space="0"/>
              <w:bottom w:val="single" w:color="000000" w:sz="4" w:space="0"/>
              <w:right w:val="single" w:color="000000" w:sz="4" w:space="0"/>
            </w:tcBorders>
            <w:noWrap/>
            <w:vAlign w:val="center"/>
          </w:tcPr>
          <w:p w14:paraId="5AEE3071">
            <w:pPr>
              <w:jc w:val="center"/>
              <w:rPr>
                <w:rFonts w:hint="eastAsia" w:ascii="宋体" w:hAnsi="宋体" w:eastAsia="宋体" w:cs="宋体"/>
                <w:i w:val="0"/>
                <w:iCs w:val="0"/>
                <w:color w:val="auto"/>
                <w:sz w:val="12"/>
                <w:szCs w:val="12"/>
                <w:u w:val="none"/>
              </w:rPr>
            </w:pPr>
          </w:p>
        </w:tc>
        <w:tc>
          <w:tcPr>
            <w:tcW w:w="576" w:type="dxa"/>
            <w:tcBorders>
              <w:top w:val="single" w:color="000000" w:sz="4" w:space="0"/>
              <w:left w:val="single" w:color="000000" w:sz="4" w:space="0"/>
              <w:bottom w:val="single" w:color="000000" w:sz="4" w:space="0"/>
              <w:right w:val="single" w:color="000000" w:sz="4" w:space="0"/>
            </w:tcBorders>
            <w:noWrap/>
            <w:vAlign w:val="center"/>
          </w:tcPr>
          <w:p w14:paraId="48E91B28">
            <w:pPr>
              <w:jc w:val="center"/>
              <w:rPr>
                <w:rFonts w:hint="eastAsia" w:ascii="宋体" w:hAnsi="宋体" w:eastAsia="宋体" w:cs="宋体"/>
                <w:i w:val="0"/>
                <w:iCs w:val="0"/>
                <w:color w:val="auto"/>
                <w:sz w:val="12"/>
                <w:szCs w:val="12"/>
                <w:u w:val="none"/>
              </w:rPr>
            </w:pPr>
          </w:p>
        </w:tc>
      </w:tr>
      <w:tr w14:paraId="29D548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6" w:hRule="atLeast"/>
        </w:trPr>
        <w:tc>
          <w:tcPr>
            <w:tcW w:w="650" w:type="dxa"/>
            <w:tcBorders>
              <w:top w:val="single" w:color="000000" w:sz="4" w:space="0"/>
              <w:left w:val="single" w:color="000000" w:sz="4" w:space="0"/>
              <w:bottom w:val="single" w:color="000000" w:sz="4" w:space="0"/>
              <w:right w:val="single" w:color="000000" w:sz="4" w:space="0"/>
            </w:tcBorders>
            <w:noWrap w:val="0"/>
            <w:vAlign w:val="center"/>
          </w:tcPr>
          <w:p w14:paraId="42E2C3BD">
            <w:pPr>
              <w:keepNext w:val="0"/>
              <w:keepLines w:val="0"/>
              <w:widowControl/>
              <w:suppressLineNumbers w:val="0"/>
              <w:jc w:val="center"/>
              <w:textAlignment w:val="center"/>
              <w:rPr>
                <w:rFonts w:hint="eastAsia" w:ascii="宋体" w:hAnsi="宋体" w:eastAsia="宋体" w:cs="宋体"/>
                <w:i w:val="0"/>
                <w:iCs w:val="0"/>
                <w:color w:val="auto"/>
                <w:sz w:val="12"/>
                <w:szCs w:val="12"/>
                <w:u w:val="none"/>
              </w:rPr>
            </w:pPr>
            <w:r>
              <w:rPr>
                <w:rFonts w:hint="eastAsia" w:ascii="宋体" w:hAnsi="宋体" w:eastAsia="宋体" w:cs="宋体"/>
                <w:i w:val="0"/>
                <w:iCs w:val="0"/>
                <w:color w:val="auto"/>
                <w:kern w:val="0"/>
                <w:sz w:val="12"/>
                <w:szCs w:val="12"/>
                <w:u w:val="none"/>
                <w:lang w:val="en-US" w:eastAsia="zh-CN" w:bidi="ar"/>
              </w:rPr>
              <w:t>工作人员</w:t>
            </w:r>
          </w:p>
        </w:tc>
        <w:tc>
          <w:tcPr>
            <w:tcW w:w="1223" w:type="dxa"/>
            <w:tcBorders>
              <w:top w:val="single" w:color="000000" w:sz="4" w:space="0"/>
              <w:left w:val="single" w:color="000000" w:sz="4" w:space="0"/>
              <w:bottom w:val="single" w:color="000000" w:sz="4" w:space="0"/>
              <w:right w:val="single" w:color="000000" w:sz="4" w:space="0"/>
            </w:tcBorders>
            <w:noWrap w:val="0"/>
            <w:vAlign w:val="center"/>
          </w:tcPr>
          <w:p w14:paraId="606B2BF0">
            <w:pPr>
              <w:keepNext w:val="0"/>
              <w:keepLines w:val="0"/>
              <w:widowControl/>
              <w:suppressLineNumbers w:val="0"/>
              <w:jc w:val="center"/>
              <w:textAlignment w:val="center"/>
              <w:rPr>
                <w:rFonts w:hint="eastAsia" w:ascii="宋体" w:hAnsi="宋体" w:eastAsia="宋体" w:cs="宋体"/>
                <w:i w:val="0"/>
                <w:iCs w:val="0"/>
                <w:color w:val="auto"/>
                <w:sz w:val="12"/>
                <w:szCs w:val="12"/>
                <w:u w:val="none"/>
              </w:rPr>
            </w:pPr>
            <w:r>
              <w:rPr>
                <w:rFonts w:hint="eastAsia" w:ascii="宋体" w:hAnsi="宋体" w:eastAsia="宋体" w:cs="宋体"/>
                <w:i w:val="0"/>
                <w:iCs w:val="0"/>
                <w:color w:val="auto"/>
                <w:kern w:val="0"/>
                <w:sz w:val="12"/>
                <w:szCs w:val="12"/>
                <w:u w:val="none"/>
                <w:lang w:val="en-US" w:eastAsia="zh-CN" w:bidi="ar"/>
              </w:rPr>
              <w:t>着工作服、无脱</w:t>
            </w:r>
            <w:r>
              <w:rPr>
                <w:rFonts w:hint="eastAsia" w:ascii="宋体" w:hAnsi="宋体" w:eastAsia="宋体" w:cs="宋体"/>
                <w:i w:val="0"/>
                <w:iCs w:val="0"/>
                <w:color w:val="auto"/>
                <w:kern w:val="0"/>
                <w:sz w:val="12"/>
                <w:szCs w:val="12"/>
                <w:u w:val="none"/>
                <w:lang w:val="en-US" w:eastAsia="zh-CN" w:bidi="ar"/>
              </w:rPr>
              <w:br w:type="textWrapping"/>
            </w:r>
            <w:r>
              <w:rPr>
                <w:rFonts w:hint="eastAsia" w:ascii="宋体" w:hAnsi="宋体" w:eastAsia="宋体" w:cs="宋体"/>
                <w:i w:val="0"/>
                <w:iCs w:val="0"/>
                <w:color w:val="auto"/>
                <w:kern w:val="0"/>
                <w:sz w:val="12"/>
                <w:szCs w:val="12"/>
                <w:u w:val="none"/>
                <w:lang w:val="en-US" w:eastAsia="zh-CN" w:bidi="ar"/>
              </w:rPr>
              <w:t>岗、工作时效性</w:t>
            </w:r>
          </w:p>
        </w:tc>
        <w:tc>
          <w:tcPr>
            <w:tcW w:w="1630" w:type="dxa"/>
            <w:tcBorders>
              <w:top w:val="single" w:color="000000" w:sz="4" w:space="0"/>
              <w:left w:val="single" w:color="000000" w:sz="4" w:space="0"/>
              <w:bottom w:val="single" w:color="000000" w:sz="4" w:space="0"/>
              <w:right w:val="single" w:color="000000" w:sz="4" w:space="0"/>
            </w:tcBorders>
            <w:noWrap w:val="0"/>
            <w:vAlign w:val="center"/>
          </w:tcPr>
          <w:p w14:paraId="484A6A42">
            <w:pPr>
              <w:keepNext w:val="0"/>
              <w:keepLines w:val="0"/>
              <w:widowControl/>
              <w:suppressLineNumbers w:val="0"/>
              <w:jc w:val="center"/>
              <w:textAlignment w:val="center"/>
              <w:rPr>
                <w:rFonts w:hint="eastAsia" w:ascii="宋体" w:hAnsi="宋体" w:eastAsia="宋体" w:cs="宋体"/>
                <w:i w:val="0"/>
                <w:iCs w:val="0"/>
                <w:color w:val="auto"/>
                <w:sz w:val="12"/>
                <w:szCs w:val="12"/>
                <w:u w:val="none"/>
              </w:rPr>
            </w:pPr>
            <w:r>
              <w:rPr>
                <w:rFonts w:hint="eastAsia" w:ascii="宋体" w:hAnsi="宋体" w:eastAsia="宋体" w:cs="宋体"/>
                <w:i w:val="0"/>
                <w:iCs w:val="0"/>
                <w:color w:val="auto"/>
                <w:kern w:val="0"/>
                <w:sz w:val="12"/>
                <w:szCs w:val="12"/>
                <w:u w:val="none"/>
                <w:lang w:val="en-US" w:eastAsia="zh-CN" w:bidi="ar"/>
              </w:rPr>
              <w:t>着工作服、无脱岗、及时高效</w:t>
            </w:r>
          </w:p>
        </w:tc>
        <w:tc>
          <w:tcPr>
            <w:tcW w:w="505" w:type="dxa"/>
            <w:tcBorders>
              <w:top w:val="single" w:color="000000" w:sz="4" w:space="0"/>
              <w:left w:val="single" w:color="000000" w:sz="4" w:space="0"/>
              <w:bottom w:val="single" w:color="000000" w:sz="4" w:space="0"/>
              <w:right w:val="single" w:color="000000" w:sz="4" w:space="0"/>
            </w:tcBorders>
            <w:noWrap w:val="0"/>
            <w:vAlign w:val="center"/>
          </w:tcPr>
          <w:p w14:paraId="14EB8E22">
            <w:pPr>
              <w:keepNext w:val="0"/>
              <w:keepLines w:val="0"/>
              <w:widowControl/>
              <w:suppressLineNumbers w:val="0"/>
              <w:jc w:val="center"/>
              <w:textAlignment w:val="center"/>
              <w:rPr>
                <w:rFonts w:hint="eastAsia" w:ascii="宋体" w:hAnsi="宋体" w:eastAsia="宋体" w:cs="宋体"/>
                <w:i w:val="0"/>
                <w:iCs w:val="0"/>
                <w:color w:val="auto"/>
                <w:sz w:val="12"/>
                <w:szCs w:val="12"/>
                <w:u w:val="none"/>
              </w:rPr>
            </w:pPr>
            <w:r>
              <w:rPr>
                <w:rFonts w:hint="eastAsia" w:ascii="宋体" w:hAnsi="宋体" w:eastAsia="宋体" w:cs="宋体"/>
                <w:i w:val="0"/>
                <w:iCs w:val="0"/>
                <w:color w:val="auto"/>
                <w:kern w:val="0"/>
                <w:sz w:val="12"/>
                <w:szCs w:val="12"/>
                <w:u w:val="none"/>
                <w:lang w:val="en-US" w:eastAsia="zh-CN" w:bidi="ar"/>
              </w:rPr>
              <w:t>10</w:t>
            </w:r>
          </w:p>
        </w:tc>
        <w:tc>
          <w:tcPr>
            <w:tcW w:w="505" w:type="dxa"/>
            <w:tcBorders>
              <w:top w:val="single" w:color="000000" w:sz="4" w:space="0"/>
              <w:left w:val="single" w:color="000000" w:sz="4" w:space="0"/>
              <w:bottom w:val="single" w:color="000000" w:sz="4" w:space="0"/>
              <w:right w:val="single" w:color="000000" w:sz="4" w:space="0"/>
            </w:tcBorders>
            <w:noWrap w:val="0"/>
            <w:vAlign w:val="center"/>
          </w:tcPr>
          <w:p w14:paraId="2609EF7C">
            <w:pPr>
              <w:keepNext w:val="0"/>
              <w:keepLines w:val="0"/>
              <w:widowControl/>
              <w:suppressLineNumbers w:val="0"/>
              <w:jc w:val="center"/>
              <w:textAlignment w:val="center"/>
              <w:rPr>
                <w:rFonts w:hint="eastAsia" w:ascii="宋体" w:hAnsi="宋体" w:eastAsia="宋体" w:cs="宋体"/>
                <w:i w:val="0"/>
                <w:iCs w:val="0"/>
                <w:color w:val="auto"/>
                <w:sz w:val="12"/>
                <w:szCs w:val="12"/>
                <w:u w:val="none"/>
              </w:rPr>
            </w:pPr>
            <w:r>
              <w:rPr>
                <w:rFonts w:hint="eastAsia" w:ascii="宋体" w:hAnsi="宋体" w:eastAsia="宋体" w:cs="宋体"/>
                <w:i w:val="0"/>
                <w:iCs w:val="0"/>
                <w:color w:val="auto"/>
                <w:kern w:val="0"/>
                <w:sz w:val="12"/>
                <w:szCs w:val="12"/>
                <w:u w:val="none"/>
                <w:lang w:val="en-US" w:eastAsia="zh-CN" w:bidi="ar"/>
              </w:rPr>
              <w:t>9</w:t>
            </w:r>
          </w:p>
        </w:tc>
        <w:tc>
          <w:tcPr>
            <w:tcW w:w="505" w:type="dxa"/>
            <w:tcBorders>
              <w:top w:val="single" w:color="000000" w:sz="4" w:space="0"/>
              <w:left w:val="single" w:color="000000" w:sz="4" w:space="0"/>
              <w:bottom w:val="single" w:color="000000" w:sz="4" w:space="0"/>
              <w:right w:val="single" w:color="000000" w:sz="4" w:space="0"/>
            </w:tcBorders>
            <w:noWrap w:val="0"/>
            <w:vAlign w:val="center"/>
          </w:tcPr>
          <w:p w14:paraId="7813AB61">
            <w:pPr>
              <w:keepNext w:val="0"/>
              <w:keepLines w:val="0"/>
              <w:widowControl/>
              <w:suppressLineNumbers w:val="0"/>
              <w:jc w:val="center"/>
              <w:textAlignment w:val="center"/>
              <w:rPr>
                <w:rFonts w:hint="eastAsia" w:ascii="宋体" w:hAnsi="宋体" w:eastAsia="宋体" w:cs="宋体"/>
                <w:i w:val="0"/>
                <w:iCs w:val="0"/>
                <w:color w:val="auto"/>
                <w:sz w:val="12"/>
                <w:szCs w:val="12"/>
                <w:u w:val="none"/>
              </w:rPr>
            </w:pPr>
            <w:r>
              <w:rPr>
                <w:rFonts w:hint="eastAsia" w:ascii="宋体" w:hAnsi="宋体" w:eastAsia="宋体" w:cs="宋体"/>
                <w:i w:val="0"/>
                <w:iCs w:val="0"/>
                <w:color w:val="auto"/>
                <w:kern w:val="0"/>
                <w:sz w:val="12"/>
                <w:szCs w:val="12"/>
                <w:u w:val="none"/>
                <w:lang w:val="en-US" w:eastAsia="zh-CN" w:bidi="ar"/>
              </w:rPr>
              <w:t>7</w:t>
            </w:r>
          </w:p>
        </w:tc>
        <w:tc>
          <w:tcPr>
            <w:tcW w:w="506" w:type="dxa"/>
            <w:tcBorders>
              <w:top w:val="single" w:color="000000" w:sz="4" w:space="0"/>
              <w:left w:val="single" w:color="000000" w:sz="4" w:space="0"/>
              <w:bottom w:val="single" w:color="000000" w:sz="4" w:space="0"/>
              <w:right w:val="single" w:color="000000" w:sz="4" w:space="0"/>
            </w:tcBorders>
            <w:noWrap w:val="0"/>
            <w:vAlign w:val="center"/>
          </w:tcPr>
          <w:p w14:paraId="6A4045D5">
            <w:pPr>
              <w:keepNext w:val="0"/>
              <w:keepLines w:val="0"/>
              <w:widowControl/>
              <w:suppressLineNumbers w:val="0"/>
              <w:jc w:val="center"/>
              <w:textAlignment w:val="center"/>
              <w:rPr>
                <w:rFonts w:hint="eastAsia" w:ascii="宋体" w:hAnsi="宋体" w:eastAsia="宋体" w:cs="宋体"/>
                <w:i w:val="0"/>
                <w:iCs w:val="0"/>
                <w:color w:val="auto"/>
                <w:sz w:val="12"/>
                <w:szCs w:val="12"/>
                <w:u w:val="none"/>
              </w:rPr>
            </w:pPr>
            <w:r>
              <w:rPr>
                <w:rFonts w:hint="eastAsia" w:ascii="宋体" w:hAnsi="宋体" w:eastAsia="宋体" w:cs="宋体"/>
                <w:i w:val="0"/>
                <w:iCs w:val="0"/>
                <w:color w:val="auto"/>
                <w:kern w:val="0"/>
                <w:sz w:val="12"/>
                <w:szCs w:val="12"/>
                <w:u w:val="none"/>
                <w:lang w:val="en-US" w:eastAsia="zh-CN" w:bidi="ar"/>
              </w:rPr>
              <w:t>5</w:t>
            </w:r>
          </w:p>
        </w:tc>
        <w:tc>
          <w:tcPr>
            <w:tcW w:w="576" w:type="dxa"/>
            <w:tcBorders>
              <w:top w:val="single" w:color="000000" w:sz="4" w:space="0"/>
              <w:left w:val="single" w:color="000000" w:sz="4" w:space="0"/>
              <w:bottom w:val="single" w:color="000000" w:sz="4" w:space="0"/>
              <w:right w:val="single" w:color="000000" w:sz="4" w:space="0"/>
            </w:tcBorders>
            <w:noWrap w:val="0"/>
            <w:vAlign w:val="center"/>
          </w:tcPr>
          <w:p w14:paraId="4196C1C9">
            <w:pPr>
              <w:jc w:val="center"/>
              <w:rPr>
                <w:rFonts w:hint="eastAsia" w:ascii="宋体" w:hAnsi="宋体" w:eastAsia="宋体" w:cs="宋体"/>
                <w:i w:val="0"/>
                <w:iCs w:val="0"/>
                <w:color w:val="auto"/>
                <w:sz w:val="12"/>
                <w:szCs w:val="12"/>
                <w:u w:val="none"/>
              </w:rPr>
            </w:pPr>
          </w:p>
        </w:tc>
        <w:tc>
          <w:tcPr>
            <w:tcW w:w="576" w:type="dxa"/>
            <w:tcBorders>
              <w:top w:val="single" w:color="000000" w:sz="4" w:space="0"/>
              <w:left w:val="single" w:color="000000" w:sz="4" w:space="0"/>
              <w:bottom w:val="single" w:color="000000" w:sz="4" w:space="0"/>
              <w:right w:val="single" w:color="000000" w:sz="4" w:space="0"/>
            </w:tcBorders>
            <w:noWrap w:val="0"/>
            <w:vAlign w:val="center"/>
          </w:tcPr>
          <w:p w14:paraId="350AD2EC">
            <w:pPr>
              <w:jc w:val="center"/>
              <w:rPr>
                <w:rFonts w:hint="eastAsia" w:ascii="宋体" w:hAnsi="宋体" w:eastAsia="宋体" w:cs="宋体"/>
                <w:i w:val="0"/>
                <w:iCs w:val="0"/>
                <w:color w:val="auto"/>
                <w:sz w:val="12"/>
                <w:szCs w:val="12"/>
                <w:u w:val="none"/>
              </w:rPr>
            </w:pPr>
          </w:p>
        </w:tc>
        <w:tc>
          <w:tcPr>
            <w:tcW w:w="576" w:type="dxa"/>
            <w:tcBorders>
              <w:top w:val="single" w:color="000000" w:sz="4" w:space="0"/>
              <w:left w:val="single" w:color="000000" w:sz="4" w:space="0"/>
              <w:bottom w:val="single" w:color="000000" w:sz="4" w:space="0"/>
              <w:right w:val="single" w:color="000000" w:sz="4" w:space="0"/>
            </w:tcBorders>
            <w:noWrap w:val="0"/>
            <w:vAlign w:val="center"/>
          </w:tcPr>
          <w:p w14:paraId="36CA3E76">
            <w:pPr>
              <w:jc w:val="center"/>
              <w:rPr>
                <w:rFonts w:hint="eastAsia" w:ascii="宋体" w:hAnsi="宋体" w:eastAsia="宋体" w:cs="宋体"/>
                <w:i w:val="0"/>
                <w:iCs w:val="0"/>
                <w:color w:val="auto"/>
                <w:sz w:val="12"/>
                <w:szCs w:val="12"/>
                <w:u w:val="none"/>
              </w:rPr>
            </w:pPr>
          </w:p>
        </w:tc>
        <w:tc>
          <w:tcPr>
            <w:tcW w:w="576" w:type="dxa"/>
            <w:tcBorders>
              <w:top w:val="single" w:color="000000" w:sz="4" w:space="0"/>
              <w:left w:val="single" w:color="000000" w:sz="4" w:space="0"/>
              <w:bottom w:val="single" w:color="000000" w:sz="4" w:space="0"/>
              <w:right w:val="single" w:color="000000" w:sz="4" w:space="0"/>
            </w:tcBorders>
            <w:noWrap w:val="0"/>
            <w:vAlign w:val="center"/>
          </w:tcPr>
          <w:p w14:paraId="27ED3125">
            <w:pPr>
              <w:jc w:val="center"/>
              <w:rPr>
                <w:rFonts w:hint="eastAsia" w:ascii="宋体" w:hAnsi="宋体" w:eastAsia="宋体" w:cs="宋体"/>
                <w:i w:val="0"/>
                <w:iCs w:val="0"/>
                <w:color w:val="auto"/>
                <w:sz w:val="12"/>
                <w:szCs w:val="12"/>
                <w:u w:val="none"/>
              </w:rPr>
            </w:pPr>
          </w:p>
        </w:tc>
        <w:tc>
          <w:tcPr>
            <w:tcW w:w="576" w:type="dxa"/>
            <w:tcBorders>
              <w:top w:val="single" w:color="000000" w:sz="4" w:space="0"/>
              <w:left w:val="single" w:color="000000" w:sz="4" w:space="0"/>
              <w:bottom w:val="single" w:color="000000" w:sz="4" w:space="0"/>
              <w:right w:val="single" w:color="000000" w:sz="4" w:space="0"/>
            </w:tcBorders>
            <w:noWrap/>
            <w:vAlign w:val="center"/>
          </w:tcPr>
          <w:p w14:paraId="5A4FF446">
            <w:pPr>
              <w:jc w:val="center"/>
              <w:rPr>
                <w:rFonts w:hint="eastAsia" w:ascii="宋体" w:hAnsi="宋体" w:eastAsia="宋体" w:cs="宋体"/>
                <w:i w:val="0"/>
                <w:iCs w:val="0"/>
                <w:color w:val="auto"/>
                <w:sz w:val="12"/>
                <w:szCs w:val="12"/>
                <w:u w:val="none"/>
              </w:rPr>
            </w:pPr>
          </w:p>
        </w:tc>
        <w:tc>
          <w:tcPr>
            <w:tcW w:w="576" w:type="dxa"/>
            <w:tcBorders>
              <w:top w:val="single" w:color="000000" w:sz="4" w:space="0"/>
              <w:left w:val="single" w:color="000000" w:sz="4" w:space="0"/>
              <w:bottom w:val="single" w:color="000000" w:sz="4" w:space="0"/>
              <w:right w:val="single" w:color="000000" w:sz="4" w:space="0"/>
            </w:tcBorders>
            <w:noWrap/>
            <w:vAlign w:val="center"/>
          </w:tcPr>
          <w:p w14:paraId="143A935A">
            <w:pPr>
              <w:jc w:val="center"/>
              <w:rPr>
                <w:rFonts w:hint="eastAsia" w:ascii="宋体" w:hAnsi="宋体" w:eastAsia="宋体" w:cs="宋体"/>
                <w:i w:val="0"/>
                <w:iCs w:val="0"/>
                <w:color w:val="auto"/>
                <w:sz w:val="12"/>
                <w:szCs w:val="12"/>
                <w:u w:val="none"/>
              </w:rPr>
            </w:pPr>
          </w:p>
        </w:tc>
      </w:tr>
      <w:tr w14:paraId="3CF4C6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4" w:hRule="atLeast"/>
        </w:trPr>
        <w:tc>
          <w:tcPr>
            <w:tcW w:w="3503" w:type="dxa"/>
            <w:gridSpan w:val="3"/>
            <w:tcBorders>
              <w:top w:val="single" w:color="000000" w:sz="4" w:space="0"/>
              <w:left w:val="single" w:color="000000" w:sz="4" w:space="0"/>
              <w:bottom w:val="single" w:color="000000" w:sz="4" w:space="0"/>
              <w:right w:val="single" w:color="000000" w:sz="4" w:space="0"/>
            </w:tcBorders>
            <w:noWrap/>
            <w:vAlign w:val="center"/>
          </w:tcPr>
          <w:p w14:paraId="69716752">
            <w:pPr>
              <w:keepNext w:val="0"/>
              <w:keepLines w:val="0"/>
              <w:widowControl/>
              <w:suppressLineNumbers w:val="0"/>
              <w:jc w:val="center"/>
              <w:textAlignment w:val="center"/>
              <w:rPr>
                <w:rFonts w:hint="eastAsia" w:ascii="宋体" w:hAnsi="宋体" w:eastAsia="宋体" w:cs="宋体"/>
                <w:i w:val="0"/>
                <w:iCs w:val="0"/>
                <w:color w:val="auto"/>
                <w:sz w:val="12"/>
                <w:szCs w:val="12"/>
                <w:u w:val="none"/>
              </w:rPr>
            </w:pPr>
            <w:r>
              <w:rPr>
                <w:rFonts w:hint="eastAsia" w:ascii="宋体" w:hAnsi="宋体" w:eastAsia="宋体" w:cs="宋体"/>
                <w:i w:val="0"/>
                <w:iCs w:val="0"/>
                <w:color w:val="auto"/>
                <w:kern w:val="0"/>
                <w:sz w:val="12"/>
                <w:szCs w:val="12"/>
                <w:u w:val="none"/>
                <w:lang w:val="en-US" w:eastAsia="zh-CN" w:bidi="ar"/>
              </w:rPr>
              <w:t>总分</w:t>
            </w:r>
          </w:p>
        </w:tc>
        <w:tc>
          <w:tcPr>
            <w:tcW w:w="5477" w:type="dxa"/>
            <w:gridSpan w:val="10"/>
            <w:tcBorders>
              <w:top w:val="single" w:color="000000" w:sz="4" w:space="0"/>
              <w:left w:val="single" w:color="000000" w:sz="4" w:space="0"/>
              <w:bottom w:val="single" w:color="000000" w:sz="4" w:space="0"/>
              <w:right w:val="single" w:color="000000" w:sz="4" w:space="0"/>
            </w:tcBorders>
            <w:noWrap/>
            <w:vAlign w:val="center"/>
          </w:tcPr>
          <w:p w14:paraId="185420BC">
            <w:pPr>
              <w:jc w:val="center"/>
              <w:rPr>
                <w:rFonts w:hint="eastAsia" w:ascii="宋体" w:hAnsi="宋体" w:eastAsia="宋体" w:cs="宋体"/>
                <w:i w:val="0"/>
                <w:iCs w:val="0"/>
                <w:color w:val="auto"/>
                <w:sz w:val="12"/>
                <w:szCs w:val="12"/>
                <w:u w:val="none"/>
              </w:rPr>
            </w:pPr>
          </w:p>
        </w:tc>
      </w:tr>
      <w:tr w14:paraId="5F2140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58" w:hRule="atLeast"/>
        </w:trPr>
        <w:tc>
          <w:tcPr>
            <w:tcW w:w="1873" w:type="dxa"/>
            <w:gridSpan w:val="2"/>
            <w:tcBorders>
              <w:top w:val="single" w:color="000000" w:sz="4" w:space="0"/>
              <w:left w:val="single" w:color="000000" w:sz="4" w:space="0"/>
              <w:bottom w:val="single" w:color="000000" w:sz="4" w:space="0"/>
              <w:right w:val="single" w:color="000000" w:sz="4" w:space="0"/>
            </w:tcBorders>
            <w:noWrap/>
            <w:vAlign w:val="center"/>
          </w:tcPr>
          <w:p w14:paraId="75D43AC8">
            <w:pPr>
              <w:keepNext w:val="0"/>
              <w:keepLines w:val="0"/>
              <w:widowControl/>
              <w:suppressLineNumbers w:val="0"/>
              <w:jc w:val="center"/>
              <w:textAlignment w:val="center"/>
              <w:rPr>
                <w:rFonts w:hint="eastAsia" w:ascii="宋体" w:hAnsi="宋体" w:eastAsia="宋体" w:cs="宋体"/>
                <w:i w:val="0"/>
                <w:iCs w:val="0"/>
                <w:color w:val="auto"/>
                <w:sz w:val="12"/>
                <w:szCs w:val="12"/>
                <w:u w:val="none"/>
              </w:rPr>
            </w:pPr>
            <w:r>
              <w:rPr>
                <w:rFonts w:hint="eastAsia" w:ascii="宋体" w:hAnsi="宋体" w:eastAsia="宋体" w:cs="宋体"/>
                <w:i w:val="0"/>
                <w:iCs w:val="0"/>
                <w:color w:val="auto"/>
                <w:kern w:val="0"/>
                <w:sz w:val="12"/>
                <w:szCs w:val="12"/>
                <w:u w:val="none"/>
                <w:lang w:val="en-US" w:eastAsia="zh-CN" w:bidi="ar"/>
              </w:rPr>
              <w:t>备注</w:t>
            </w:r>
          </w:p>
        </w:tc>
        <w:tc>
          <w:tcPr>
            <w:tcW w:w="7107" w:type="dxa"/>
            <w:gridSpan w:val="11"/>
            <w:tcBorders>
              <w:top w:val="single" w:color="000000" w:sz="4" w:space="0"/>
              <w:left w:val="single" w:color="000000" w:sz="4" w:space="0"/>
              <w:bottom w:val="single" w:color="000000" w:sz="4" w:space="0"/>
              <w:right w:val="single" w:color="000000" w:sz="4" w:space="0"/>
            </w:tcBorders>
            <w:noWrap w:val="0"/>
            <w:vAlign w:val="center"/>
          </w:tcPr>
          <w:p w14:paraId="69989528">
            <w:pPr>
              <w:keepNext w:val="0"/>
              <w:keepLines w:val="0"/>
              <w:widowControl/>
              <w:suppressLineNumbers w:val="0"/>
              <w:jc w:val="left"/>
              <w:textAlignment w:val="center"/>
              <w:rPr>
                <w:rFonts w:hint="eastAsia" w:ascii="宋体" w:hAnsi="宋体" w:eastAsia="宋体" w:cs="宋体"/>
                <w:i w:val="0"/>
                <w:iCs w:val="0"/>
                <w:color w:val="auto"/>
                <w:sz w:val="12"/>
                <w:szCs w:val="12"/>
                <w:u w:val="none"/>
              </w:rPr>
            </w:pPr>
            <w:r>
              <w:rPr>
                <w:rFonts w:hint="eastAsia" w:ascii="宋体" w:hAnsi="宋体" w:eastAsia="宋体" w:cs="宋体"/>
                <w:i w:val="0"/>
                <w:iCs w:val="0"/>
                <w:color w:val="auto"/>
                <w:kern w:val="0"/>
                <w:sz w:val="12"/>
                <w:szCs w:val="12"/>
                <w:u w:val="none"/>
                <w:lang w:val="en-US" w:eastAsia="zh-CN" w:bidi="ar"/>
              </w:rPr>
              <w:t>1、评分达到90分以上者（含90分）视为合格，不扣罚。</w:t>
            </w:r>
            <w:r>
              <w:rPr>
                <w:rFonts w:hint="eastAsia" w:ascii="宋体" w:hAnsi="宋体" w:eastAsia="宋体" w:cs="宋体"/>
                <w:i w:val="0"/>
                <w:iCs w:val="0"/>
                <w:color w:val="auto"/>
                <w:kern w:val="0"/>
                <w:sz w:val="12"/>
                <w:szCs w:val="12"/>
                <w:u w:val="none"/>
                <w:lang w:val="en-US" w:eastAsia="zh-CN" w:bidi="ar"/>
              </w:rPr>
              <w:br w:type="textWrapping"/>
            </w:r>
            <w:r>
              <w:rPr>
                <w:rFonts w:hint="eastAsia" w:ascii="宋体" w:hAnsi="宋体" w:eastAsia="宋体" w:cs="宋体"/>
                <w:i w:val="0"/>
                <w:iCs w:val="0"/>
                <w:color w:val="auto"/>
                <w:kern w:val="0"/>
                <w:sz w:val="12"/>
                <w:szCs w:val="12"/>
                <w:u w:val="none"/>
                <w:lang w:val="en-US" w:eastAsia="zh-CN" w:bidi="ar"/>
              </w:rPr>
              <w:t>2、评分在90分以下者视为不合格，按照分值高低和累计次数扣罚。按分值具体扣罚办法如下:</w:t>
            </w:r>
            <w:r>
              <w:rPr>
                <w:rFonts w:hint="eastAsia" w:ascii="宋体" w:hAnsi="宋体" w:eastAsia="宋体" w:cs="宋体"/>
                <w:i w:val="0"/>
                <w:iCs w:val="0"/>
                <w:color w:val="auto"/>
                <w:kern w:val="0"/>
                <w:sz w:val="12"/>
                <w:szCs w:val="12"/>
                <w:u w:val="none"/>
                <w:lang w:val="en-US" w:eastAsia="zh-CN" w:bidi="ar"/>
              </w:rPr>
              <w:br w:type="textWrapping"/>
            </w:r>
            <w:r>
              <w:rPr>
                <w:rFonts w:hint="eastAsia" w:ascii="宋体" w:hAnsi="宋体" w:eastAsia="宋体" w:cs="宋体"/>
                <w:i w:val="0"/>
                <w:iCs w:val="0"/>
                <w:color w:val="auto"/>
                <w:kern w:val="0"/>
                <w:sz w:val="12"/>
                <w:szCs w:val="12"/>
                <w:u w:val="none"/>
                <w:lang w:val="en-US" w:eastAsia="zh-CN" w:bidi="ar"/>
              </w:rPr>
              <w:t>①80-89.9分时，按年累计次数计算，第一次扣月平均费用的2%；第二次扣月平均费用的5%；第三次扣月平均费用的8%；第四次扣月平均费用的10%；第五次除扣月平均费用的15%外，采购人有权单方面终止合同，并且不补偿、不赔偿中标人任何费用。</w:t>
            </w:r>
            <w:r>
              <w:rPr>
                <w:rFonts w:hint="eastAsia" w:ascii="宋体" w:hAnsi="宋体" w:eastAsia="宋体" w:cs="宋体"/>
                <w:i w:val="0"/>
                <w:iCs w:val="0"/>
                <w:color w:val="auto"/>
                <w:kern w:val="0"/>
                <w:sz w:val="12"/>
                <w:szCs w:val="12"/>
                <w:u w:val="none"/>
                <w:lang w:val="en-US" w:eastAsia="zh-CN" w:bidi="ar"/>
              </w:rPr>
              <w:br w:type="textWrapping"/>
            </w:r>
            <w:r>
              <w:rPr>
                <w:rFonts w:hint="eastAsia" w:ascii="宋体" w:hAnsi="宋体" w:eastAsia="宋体" w:cs="宋体"/>
                <w:i w:val="0"/>
                <w:iCs w:val="0"/>
                <w:color w:val="auto"/>
                <w:kern w:val="0"/>
                <w:sz w:val="12"/>
                <w:szCs w:val="12"/>
                <w:u w:val="none"/>
                <w:lang w:val="en-US" w:eastAsia="zh-CN" w:bidi="ar"/>
              </w:rPr>
              <w:t>②70-79.9分时，按年累计次数计算，第一次扣月平均费用的5%，第二次扣月平均费用的8%；第三次扣月平均费用的10%；第四次扣除月平均费用的15%外；采购人有权单方面终止合同，并且不补偿、不赔偿中标人任何费用。</w:t>
            </w:r>
            <w:r>
              <w:rPr>
                <w:rFonts w:hint="eastAsia" w:ascii="宋体" w:hAnsi="宋体" w:eastAsia="宋体" w:cs="宋体"/>
                <w:i w:val="0"/>
                <w:iCs w:val="0"/>
                <w:color w:val="auto"/>
                <w:kern w:val="0"/>
                <w:sz w:val="12"/>
                <w:szCs w:val="12"/>
                <w:u w:val="none"/>
                <w:lang w:val="en-US" w:eastAsia="zh-CN" w:bidi="ar"/>
              </w:rPr>
              <w:br w:type="textWrapping"/>
            </w:r>
            <w:r>
              <w:rPr>
                <w:rFonts w:hint="eastAsia" w:ascii="宋体" w:hAnsi="宋体" w:eastAsia="宋体" w:cs="宋体"/>
                <w:i w:val="0"/>
                <w:iCs w:val="0"/>
                <w:color w:val="auto"/>
                <w:kern w:val="0"/>
                <w:sz w:val="12"/>
                <w:szCs w:val="12"/>
                <w:u w:val="none"/>
                <w:lang w:val="en-US" w:eastAsia="zh-CN" w:bidi="ar"/>
              </w:rPr>
              <w:t>③60-69.9分时，按年累计次数计算，第一次扣月平均费用的10%；第二次扣月平均费用的15%；第三次除扣月平均费用的20%外，采购人有权单方面终止合同，并且不补偿、不赔偿中标人任何费用。</w:t>
            </w:r>
            <w:r>
              <w:rPr>
                <w:rFonts w:hint="eastAsia" w:ascii="宋体" w:hAnsi="宋体" w:eastAsia="宋体" w:cs="宋体"/>
                <w:i w:val="0"/>
                <w:iCs w:val="0"/>
                <w:color w:val="auto"/>
                <w:kern w:val="0"/>
                <w:sz w:val="12"/>
                <w:szCs w:val="12"/>
                <w:u w:val="none"/>
                <w:lang w:val="en-US" w:eastAsia="zh-CN" w:bidi="ar"/>
              </w:rPr>
              <w:br w:type="textWrapping"/>
            </w:r>
            <w:r>
              <w:rPr>
                <w:rFonts w:hint="eastAsia" w:ascii="宋体" w:hAnsi="宋体" w:eastAsia="宋体" w:cs="宋体"/>
                <w:i w:val="0"/>
                <w:iCs w:val="0"/>
                <w:color w:val="auto"/>
                <w:kern w:val="0"/>
                <w:sz w:val="12"/>
                <w:szCs w:val="12"/>
                <w:u w:val="none"/>
                <w:lang w:val="en-US" w:eastAsia="zh-CN" w:bidi="ar"/>
              </w:rPr>
              <w:t>④低于60分时，采购人有权单方面终止合同，并且不补偿、不赔偿中标人任何费用。</w:t>
            </w:r>
          </w:p>
        </w:tc>
      </w:tr>
      <w:tr w14:paraId="31711D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4" w:hRule="atLeast"/>
        </w:trPr>
        <w:tc>
          <w:tcPr>
            <w:tcW w:w="8980" w:type="dxa"/>
            <w:gridSpan w:val="13"/>
            <w:tcBorders>
              <w:top w:val="nil"/>
              <w:left w:val="nil"/>
              <w:bottom w:val="nil"/>
              <w:right w:val="nil"/>
            </w:tcBorders>
            <w:noWrap/>
            <w:vAlign w:val="center"/>
          </w:tcPr>
          <w:p w14:paraId="665040A3">
            <w:pPr>
              <w:keepNext w:val="0"/>
              <w:keepLines w:val="0"/>
              <w:widowControl/>
              <w:suppressLineNumbers w:val="0"/>
              <w:jc w:val="left"/>
              <w:textAlignment w:val="center"/>
              <w:rPr>
                <w:rFonts w:hint="eastAsia" w:ascii="宋体" w:hAnsi="宋体" w:eastAsia="宋体" w:cs="宋体"/>
                <w:i w:val="0"/>
                <w:iCs w:val="0"/>
                <w:color w:val="auto"/>
                <w:sz w:val="12"/>
                <w:szCs w:val="12"/>
                <w:u w:val="none"/>
              </w:rPr>
            </w:pPr>
            <w:r>
              <w:rPr>
                <w:rFonts w:hint="eastAsia" w:ascii="宋体" w:hAnsi="宋体" w:eastAsia="宋体" w:cs="宋体"/>
                <w:i w:val="0"/>
                <w:iCs w:val="0"/>
                <w:color w:val="auto"/>
                <w:kern w:val="0"/>
                <w:sz w:val="12"/>
                <w:szCs w:val="12"/>
                <w:u w:val="none"/>
                <w:lang w:val="en-US" w:eastAsia="zh-CN" w:bidi="ar"/>
              </w:rPr>
              <w:t xml:space="preserve">            考核人：                                 科室负责人：</w:t>
            </w:r>
          </w:p>
        </w:tc>
      </w:tr>
      <w:tr w14:paraId="7C089A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2" w:hRule="atLeast"/>
        </w:trPr>
        <w:tc>
          <w:tcPr>
            <w:tcW w:w="8980" w:type="dxa"/>
            <w:gridSpan w:val="13"/>
            <w:tcBorders>
              <w:top w:val="nil"/>
              <w:left w:val="nil"/>
              <w:bottom w:val="nil"/>
              <w:right w:val="nil"/>
            </w:tcBorders>
            <w:noWrap/>
            <w:vAlign w:val="center"/>
          </w:tcPr>
          <w:p w14:paraId="22951C46">
            <w:pPr>
              <w:keepNext w:val="0"/>
              <w:keepLines w:val="0"/>
              <w:widowControl/>
              <w:suppressLineNumbers w:val="0"/>
              <w:jc w:val="left"/>
              <w:textAlignment w:val="center"/>
              <w:rPr>
                <w:rFonts w:hint="eastAsia" w:ascii="宋体" w:hAnsi="宋体" w:eastAsia="宋体" w:cs="宋体"/>
                <w:i w:val="0"/>
                <w:iCs w:val="0"/>
                <w:color w:val="auto"/>
                <w:sz w:val="12"/>
                <w:szCs w:val="12"/>
                <w:u w:val="none"/>
              </w:rPr>
            </w:pPr>
            <w:r>
              <w:rPr>
                <w:rFonts w:hint="eastAsia" w:ascii="宋体" w:hAnsi="宋体" w:eastAsia="宋体" w:cs="宋体"/>
                <w:i w:val="0"/>
                <w:iCs w:val="0"/>
                <w:color w:val="auto"/>
                <w:kern w:val="0"/>
                <w:sz w:val="12"/>
                <w:szCs w:val="12"/>
                <w:u w:val="none"/>
                <w:lang w:val="en-US" w:eastAsia="zh-CN" w:bidi="ar"/>
              </w:rPr>
              <w:t xml:space="preserve">            分管副处长：                             处长：</w:t>
            </w:r>
          </w:p>
        </w:tc>
      </w:tr>
    </w:tbl>
    <w:p w14:paraId="20274363">
      <w:pPr>
        <w:rPr>
          <w:rFonts w:hint="eastAsia" w:ascii="Times New Roman" w:hAnsi="Times New Roman" w:eastAsia="宋体" w:cs="Times New Roman"/>
          <w:color w:val="auto"/>
          <w:lang w:val="en-US" w:eastAsia="zh-CN"/>
        </w:rPr>
      </w:pPr>
    </w:p>
    <w:tbl>
      <w:tblPr>
        <w:tblStyle w:val="29"/>
        <w:tblW w:w="960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94"/>
        <w:gridCol w:w="1230"/>
        <w:gridCol w:w="1744"/>
        <w:gridCol w:w="539"/>
        <w:gridCol w:w="539"/>
        <w:gridCol w:w="539"/>
        <w:gridCol w:w="542"/>
        <w:gridCol w:w="628"/>
        <w:gridCol w:w="628"/>
        <w:gridCol w:w="628"/>
        <w:gridCol w:w="628"/>
        <w:gridCol w:w="628"/>
        <w:gridCol w:w="633"/>
      </w:tblGrid>
      <w:tr w14:paraId="26EE19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1" w:hRule="atLeast"/>
        </w:trPr>
        <w:tc>
          <w:tcPr>
            <w:tcW w:w="9600" w:type="dxa"/>
            <w:gridSpan w:val="13"/>
            <w:tcBorders>
              <w:top w:val="nil"/>
              <w:left w:val="nil"/>
              <w:bottom w:val="nil"/>
              <w:right w:val="nil"/>
            </w:tcBorders>
            <w:noWrap/>
            <w:vAlign w:val="center"/>
          </w:tcPr>
          <w:p w14:paraId="3CE3C50B">
            <w:pPr>
              <w:keepNext w:val="0"/>
              <w:keepLines w:val="0"/>
              <w:widowControl/>
              <w:suppressLineNumbers w:val="0"/>
              <w:jc w:val="center"/>
              <w:textAlignment w:val="center"/>
              <w:rPr>
                <w:rFonts w:hint="eastAsia" w:ascii="宋体" w:hAnsi="宋体" w:eastAsia="宋体" w:cs="宋体"/>
                <w:b/>
                <w:bCs/>
                <w:i w:val="0"/>
                <w:iCs w:val="0"/>
                <w:color w:val="000000"/>
                <w:sz w:val="32"/>
                <w:szCs w:val="32"/>
                <w:u w:val="none"/>
              </w:rPr>
            </w:pPr>
            <w:r>
              <w:rPr>
                <w:rFonts w:hint="eastAsia" w:ascii="宋体" w:hAnsi="宋体" w:eastAsia="宋体" w:cs="宋体"/>
                <w:b/>
                <w:bCs/>
                <w:i w:val="0"/>
                <w:iCs w:val="0"/>
                <w:color w:val="000000"/>
                <w:kern w:val="0"/>
                <w:sz w:val="32"/>
                <w:szCs w:val="32"/>
                <w:u w:val="none"/>
                <w:lang w:val="en-US" w:eastAsia="zh-CN" w:bidi="ar"/>
              </w:rPr>
              <w:t xml:space="preserve">   </w:t>
            </w:r>
            <w:r>
              <w:rPr>
                <w:rFonts w:hint="eastAsia" w:ascii="宋体" w:hAnsi="宋体" w:eastAsia="宋体" w:cs="宋体"/>
                <w:b/>
                <w:bCs/>
                <w:i w:val="0"/>
                <w:iCs w:val="0"/>
                <w:color w:val="000000"/>
                <w:kern w:val="0"/>
                <w:sz w:val="32"/>
                <w:szCs w:val="32"/>
                <w:u w:val="single"/>
                <w:lang w:val="en-US" w:eastAsia="zh-CN" w:bidi="ar"/>
              </w:rPr>
              <w:t xml:space="preserve">    </w:t>
            </w:r>
            <w:r>
              <w:rPr>
                <w:rFonts w:hint="eastAsia" w:ascii="宋体" w:hAnsi="宋体" w:eastAsia="宋体" w:cs="宋体"/>
                <w:b/>
                <w:bCs/>
                <w:i w:val="0"/>
                <w:iCs w:val="0"/>
                <w:color w:val="000000"/>
                <w:kern w:val="0"/>
                <w:sz w:val="32"/>
                <w:szCs w:val="32"/>
                <w:u w:val="none"/>
                <w:lang w:val="en-US" w:eastAsia="zh-CN" w:bidi="ar"/>
              </w:rPr>
              <w:t>年</w:t>
            </w:r>
            <w:r>
              <w:rPr>
                <w:rFonts w:hint="eastAsia" w:ascii="宋体" w:hAnsi="宋体" w:eastAsia="宋体" w:cs="宋体"/>
                <w:b/>
                <w:bCs/>
                <w:i w:val="0"/>
                <w:iCs w:val="0"/>
                <w:color w:val="000000"/>
                <w:kern w:val="0"/>
                <w:sz w:val="32"/>
                <w:szCs w:val="32"/>
                <w:u w:val="single"/>
                <w:lang w:val="en-US" w:eastAsia="zh-CN" w:bidi="ar"/>
              </w:rPr>
              <w:t xml:space="preserve">    </w:t>
            </w:r>
            <w:r>
              <w:rPr>
                <w:rFonts w:hint="eastAsia" w:ascii="宋体" w:hAnsi="宋体" w:eastAsia="宋体" w:cs="宋体"/>
                <w:b/>
                <w:bCs/>
                <w:i w:val="0"/>
                <w:iCs w:val="0"/>
                <w:color w:val="000000"/>
                <w:kern w:val="0"/>
                <w:sz w:val="32"/>
                <w:szCs w:val="32"/>
                <w:u w:val="none"/>
                <w:lang w:val="en-US" w:eastAsia="zh-CN" w:bidi="ar"/>
              </w:rPr>
              <w:t>月院本部卫生检查考核表（其他区域）</w:t>
            </w:r>
          </w:p>
        </w:tc>
      </w:tr>
      <w:tr w14:paraId="62D9A4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7" w:hRule="atLeast"/>
        </w:trPr>
        <w:tc>
          <w:tcPr>
            <w:tcW w:w="1924" w:type="dxa"/>
            <w:gridSpan w:val="2"/>
            <w:vMerge w:val="restart"/>
            <w:tcBorders>
              <w:top w:val="single" w:color="000000" w:sz="4" w:space="0"/>
              <w:left w:val="single" w:color="000000" w:sz="4" w:space="0"/>
              <w:bottom w:val="single" w:color="000000" w:sz="4" w:space="0"/>
              <w:right w:val="single" w:color="000000" w:sz="4" w:space="0"/>
            </w:tcBorders>
            <w:noWrap/>
            <w:vAlign w:val="center"/>
          </w:tcPr>
          <w:p w14:paraId="6449AFDA">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检查内容</w:t>
            </w:r>
          </w:p>
        </w:tc>
        <w:tc>
          <w:tcPr>
            <w:tcW w:w="1744" w:type="dxa"/>
            <w:vMerge w:val="restart"/>
            <w:tcBorders>
              <w:top w:val="single" w:color="000000" w:sz="4" w:space="0"/>
              <w:left w:val="single" w:color="000000" w:sz="4" w:space="0"/>
              <w:bottom w:val="single" w:color="000000" w:sz="4" w:space="0"/>
              <w:right w:val="single" w:color="000000" w:sz="4" w:space="0"/>
            </w:tcBorders>
            <w:noWrap/>
            <w:vAlign w:val="center"/>
          </w:tcPr>
          <w:p w14:paraId="3FFE8D67">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检查标准</w:t>
            </w:r>
          </w:p>
        </w:tc>
        <w:tc>
          <w:tcPr>
            <w:tcW w:w="2159" w:type="dxa"/>
            <w:gridSpan w:val="4"/>
            <w:tcBorders>
              <w:top w:val="single" w:color="000000" w:sz="4" w:space="0"/>
              <w:left w:val="single" w:color="000000" w:sz="4" w:space="0"/>
              <w:bottom w:val="single" w:color="000000" w:sz="4" w:space="0"/>
              <w:right w:val="single" w:color="000000" w:sz="4" w:space="0"/>
            </w:tcBorders>
            <w:noWrap/>
            <w:vAlign w:val="center"/>
          </w:tcPr>
          <w:p w14:paraId="4FB37BB8">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检查评定分数</w:t>
            </w:r>
          </w:p>
        </w:tc>
        <w:tc>
          <w:tcPr>
            <w:tcW w:w="3773" w:type="dxa"/>
            <w:gridSpan w:val="6"/>
            <w:tcBorders>
              <w:top w:val="single" w:color="000000" w:sz="4" w:space="0"/>
              <w:left w:val="single" w:color="000000" w:sz="4" w:space="0"/>
              <w:bottom w:val="single" w:color="000000" w:sz="4" w:space="0"/>
              <w:right w:val="single" w:color="000000" w:sz="4" w:space="0"/>
            </w:tcBorders>
            <w:noWrap/>
            <w:vAlign w:val="center"/>
          </w:tcPr>
          <w:p w14:paraId="0681E494">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得分</w:t>
            </w:r>
          </w:p>
        </w:tc>
      </w:tr>
      <w:tr w14:paraId="55E17D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5" w:hRule="atLeast"/>
        </w:trPr>
        <w:tc>
          <w:tcPr>
            <w:tcW w:w="1924" w:type="dxa"/>
            <w:gridSpan w:val="2"/>
            <w:vMerge w:val="continue"/>
            <w:tcBorders>
              <w:top w:val="single" w:color="000000" w:sz="4" w:space="0"/>
              <w:left w:val="single" w:color="000000" w:sz="4" w:space="0"/>
              <w:bottom w:val="single" w:color="000000" w:sz="4" w:space="0"/>
              <w:right w:val="single" w:color="000000" w:sz="4" w:space="0"/>
            </w:tcBorders>
            <w:noWrap/>
            <w:vAlign w:val="center"/>
          </w:tcPr>
          <w:p w14:paraId="3AA59BE4">
            <w:pPr>
              <w:jc w:val="center"/>
              <w:rPr>
                <w:rFonts w:hint="eastAsia" w:ascii="宋体" w:hAnsi="宋体" w:eastAsia="宋体" w:cs="宋体"/>
                <w:i w:val="0"/>
                <w:iCs w:val="0"/>
                <w:color w:val="000000"/>
                <w:sz w:val="12"/>
                <w:szCs w:val="12"/>
                <w:u w:val="none"/>
              </w:rPr>
            </w:pPr>
          </w:p>
        </w:tc>
        <w:tc>
          <w:tcPr>
            <w:tcW w:w="1744" w:type="dxa"/>
            <w:vMerge w:val="continue"/>
            <w:tcBorders>
              <w:top w:val="single" w:color="000000" w:sz="4" w:space="0"/>
              <w:left w:val="single" w:color="000000" w:sz="4" w:space="0"/>
              <w:bottom w:val="single" w:color="000000" w:sz="4" w:space="0"/>
              <w:right w:val="single" w:color="000000" w:sz="4" w:space="0"/>
            </w:tcBorders>
            <w:noWrap/>
            <w:vAlign w:val="center"/>
          </w:tcPr>
          <w:p w14:paraId="2908A186">
            <w:pPr>
              <w:jc w:val="center"/>
              <w:rPr>
                <w:rFonts w:hint="eastAsia" w:ascii="宋体" w:hAnsi="宋体" w:eastAsia="宋体" w:cs="宋体"/>
                <w:i w:val="0"/>
                <w:iCs w:val="0"/>
                <w:color w:val="000000"/>
                <w:sz w:val="12"/>
                <w:szCs w:val="12"/>
                <w:u w:val="none"/>
              </w:rPr>
            </w:pPr>
          </w:p>
        </w:tc>
        <w:tc>
          <w:tcPr>
            <w:tcW w:w="539" w:type="dxa"/>
            <w:tcBorders>
              <w:top w:val="single" w:color="000000" w:sz="4" w:space="0"/>
              <w:left w:val="single" w:color="000000" w:sz="4" w:space="0"/>
              <w:bottom w:val="single" w:color="000000" w:sz="4" w:space="0"/>
              <w:right w:val="single" w:color="000000" w:sz="4" w:space="0"/>
            </w:tcBorders>
            <w:noWrap/>
            <w:vAlign w:val="center"/>
          </w:tcPr>
          <w:p w14:paraId="418B8026">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优</w:t>
            </w:r>
          </w:p>
        </w:tc>
        <w:tc>
          <w:tcPr>
            <w:tcW w:w="539" w:type="dxa"/>
            <w:tcBorders>
              <w:top w:val="single" w:color="000000" w:sz="4" w:space="0"/>
              <w:left w:val="single" w:color="000000" w:sz="4" w:space="0"/>
              <w:bottom w:val="single" w:color="000000" w:sz="4" w:space="0"/>
              <w:right w:val="single" w:color="000000" w:sz="4" w:space="0"/>
            </w:tcBorders>
            <w:noWrap/>
            <w:vAlign w:val="center"/>
          </w:tcPr>
          <w:p w14:paraId="28CC5E1C">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良</w:t>
            </w:r>
          </w:p>
        </w:tc>
        <w:tc>
          <w:tcPr>
            <w:tcW w:w="539" w:type="dxa"/>
            <w:tcBorders>
              <w:top w:val="single" w:color="000000" w:sz="4" w:space="0"/>
              <w:left w:val="single" w:color="000000" w:sz="4" w:space="0"/>
              <w:bottom w:val="single" w:color="000000" w:sz="4" w:space="0"/>
              <w:right w:val="single" w:color="000000" w:sz="4" w:space="0"/>
            </w:tcBorders>
            <w:noWrap/>
            <w:vAlign w:val="center"/>
          </w:tcPr>
          <w:p w14:paraId="2D63CC56">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中</w:t>
            </w:r>
          </w:p>
        </w:tc>
        <w:tc>
          <w:tcPr>
            <w:tcW w:w="542" w:type="dxa"/>
            <w:tcBorders>
              <w:top w:val="single" w:color="000000" w:sz="4" w:space="0"/>
              <w:left w:val="single" w:color="000000" w:sz="4" w:space="0"/>
              <w:bottom w:val="single" w:color="000000" w:sz="4" w:space="0"/>
              <w:right w:val="single" w:color="000000" w:sz="4" w:space="0"/>
            </w:tcBorders>
            <w:noWrap/>
            <w:vAlign w:val="center"/>
          </w:tcPr>
          <w:p w14:paraId="3627EDEB">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差</w:t>
            </w:r>
          </w:p>
        </w:tc>
        <w:tc>
          <w:tcPr>
            <w:tcW w:w="628" w:type="dxa"/>
            <w:tcBorders>
              <w:top w:val="single" w:color="000000" w:sz="4" w:space="0"/>
              <w:left w:val="single" w:color="000000" w:sz="4" w:space="0"/>
              <w:bottom w:val="single" w:color="000000" w:sz="4" w:space="0"/>
              <w:right w:val="single" w:color="000000" w:sz="4" w:space="0"/>
            </w:tcBorders>
            <w:noWrap/>
            <w:vAlign w:val="center"/>
          </w:tcPr>
          <w:p w14:paraId="354F719D">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第一周</w:t>
            </w:r>
          </w:p>
        </w:tc>
        <w:tc>
          <w:tcPr>
            <w:tcW w:w="628" w:type="dxa"/>
            <w:tcBorders>
              <w:top w:val="single" w:color="000000" w:sz="4" w:space="0"/>
              <w:left w:val="single" w:color="000000" w:sz="4" w:space="0"/>
              <w:bottom w:val="single" w:color="000000" w:sz="4" w:space="0"/>
              <w:right w:val="single" w:color="000000" w:sz="4" w:space="0"/>
            </w:tcBorders>
            <w:noWrap/>
            <w:vAlign w:val="center"/>
          </w:tcPr>
          <w:p w14:paraId="66BA64E3">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第二周</w:t>
            </w:r>
          </w:p>
        </w:tc>
        <w:tc>
          <w:tcPr>
            <w:tcW w:w="628" w:type="dxa"/>
            <w:tcBorders>
              <w:top w:val="single" w:color="000000" w:sz="4" w:space="0"/>
              <w:left w:val="single" w:color="000000" w:sz="4" w:space="0"/>
              <w:bottom w:val="single" w:color="000000" w:sz="4" w:space="0"/>
              <w:right w:val="single" w:color="000000" w:sz="4" w:space="0"/>
            </w:tcBorders>
            <w:noWrap/>
            <w:vAlign w:val="center"/>
          </w:tcPr>
          <w:p w14:paraId="42223651">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第三周</w:t>
            </w:r>
          </w:p>
        </w:tc>
        <w:tc>
          <w:tcPr>
            <w:tcW w:w="628" w:type="dxa"/>
            <w:tcBorders>
              <w:top w:val="single" w:color="000000" w:sz="4" w:space="0"/>
              <w:left w:val="single" w:color="000000" w:sz="4" w:space="0"/>
              <w:bottom w:val="single" w:color="000000" w:sz="4" w:space="0"/>
              <w:right w:val="single" w:color="000000" w:sz="4" w:space="0"/>
            </w:tcBorders>
            <w:noWrap/>
            <w:vAlign w:val="center"/>
          </w:tcPr>
          <w:p w14:paraId="12F94773">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第四周</w:t>
            </w:r>
          </w:p>
        </w:tc>
        <w:tc>
          <w:tcPr>
            <w:tcW w:w="628" w:type="dxa"/>
            <w:tcBorders>
              <w:top w:val="single" w:color="000000" w:sz="4" w:space="0"/>
              <w:left w:val="single" w:color="000000" w:sz="4" w:space="0"/>
              <w:bottom w:val="single" w:color="000000" w:sz="4" w:space="0"/>
              <w:right w:val="single" w:color="000000" w:sz="4" w:space="0"/>
            </w:tcBorders>
            <w:noWrap/>
            <w:vAlign w:val="center"/>
          </w:tcPr>
          <w:p w14:paraId="57204CCC">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第五周</w:t>
            </w:r>
          </w:p>
        </w:tc>
        <w:tc>
          <w:tcPr>
            <w:tcW w:w="633" w:type="dxa"/>
            <w:tcBorders>
              <w:top w:val="single" w:color="000000" w:sz="4" w:space="0"/>
              <w:left w:val="single" w:color="000000" w:sz="4" w:space="0"/>
              <w:bottom w:val="single" w:color="000000" w:sz="4" w:space="0"/>
              <w:right w:val="single" w:color="000000" w:sz="4" w:space="0"/>
            </w:tcBorders>
            <w:noWrap/>
            <w:vAlign w:val="center"/>
          </w:tcPr>
          <w:p w14:paraId="0930A6CE">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平均分</w:t>
            </w:r>
          </w:p>
        </w:tc>
      </w:tr>
      <w:tr w14:paraId="15F151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44" w:hRule="atLeast"/>
        </w:trPr>
        <w:tc>
          <w:tcPr>
            <w:tcW w:w="694" w:type="dxa"/>
            <w:tcBorders>
              <w:top w:val="single" w:color="000000" w:sz="4" w:space="0"/>
              <w:left w:val="single" w:color="000000" w:sz="4" w:space="0"/>
              <w:bottom w:val="single" w:color="000000" w:sz="4" w:space="0"/>
              <w:right w:val="single" w:color="000000" w:sz="4" w:space="0"/>
            </w:tcBorders>
            <w:noWrap w:val="0"/>
            <w:vAlign w:val="center"/>
          </w:tcPr>
          <w:p w14:paraId="415D2E92">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室内公共区域</w:t>
            </w:r>
          </w:p>
        </w:tc>
        <w:tc>
          <w:tcPr>
            <w:tcW w:w="1230" w:type="dxa"/>
            <w:tcBorders>
              <w:top w:val="nil"/>
              <w:left w:val="single" w:color="000000" w:sz="4" w:space="0"/>
              <w:bottom w:val="single" w:color="000000" w:sz="4" w:space="0"/>
              <w:right w:val="single" w:color="000000" w:sz="4" w:space="0"/>
            </w:tcBorders>
            <w:noWrap w:val="0"/>
            <w:vAlign w:val="center"/>
          </w:tcPr>
          <w:p w14:paraId="448EE7DD">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大厅、墙面、地面、天花板、电梯、门窗、标识标牌、照明灯具、垃圾桶等</w:t>
            </w:r>
          </w:p>
        </w:tc>
        <w:tc>
          <w:tcPr>
            <w:tcW w:w="1744" w:type="dxa"/>
            <w:tcBorders>
              <w:top w:val="nil"/>
              <w:left w:val="single" w:color="000000" w:sz="4" w:space="0"/>
              <w:bottom w:val="single" w:color="000000" w:sz="4" w:space="0"/>
              <w:right w:val="single" w:color="000000" w:sz="4" w:space="0"/>
            </w:tcBorders>
            <w:noWrap w:val="0"/>
            <w:vAlign w:val="center"/>
          </w:tcPr>
          <w:p w14:paraId="76B5A879">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干净、无污迹、无废弃物、无积尘、无蜘蛛网、及时关闭门窗、桶内垃圾不超过2/3，摆放到位、及时关灯无长明灯</w:t>
            </w:r>
          </w:p>
        </w:tc>
        <w:tc>
          <w:tcPr>
            <w:tcW w:w="539" w:type="dxa"/>
            <w:tcBorders>
              <w:top w:val="single" w:color="000000" w:sz="4" w:space="0"/>
              <w:left w:val="single" w:color="000000" w:sz="4" w:space="0"/>
              <w:bottom w:val="single" w:color="000000" w:sz="4" w:space="0"/>
              <w:right w:val="single" w:color="000000" w:sz="4" w:space="0"/>
            </w:tcBorders>
            <w:noWrap w:val="0"/>
            <w:vAlign w:val="center"/>
          </w:tcPr>
          <w:p w14:paraId="5FA8CB91">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35</w:t>
            </w:r>
          </w:p>
        </w:tc>
        <w:tc>
          <w:tcPr>
            <w:tcW w:w="539" w:type="dxa"/>
            <w:tcBorders>
              <w:top w:val="single" w:color="000000" w:sz="4" w:space="0"/>
              <w:left w:val="single" w:color="000000" w:sz="4" w:space="0"/>
              <w:bottom w:val="single" w:color="000000" w:sz="4" w:space="0"/>
              <w:right w:val="single" w:color="000000" w:sz="4" w:space="0"/>
            </w:tcBorders>
            <w:noWrap w:val="0"/>
            <w:vAlign w:val="center"/>
          </w:tcPr>
          <w:p w14:paraId="757630AE">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32</w:t>
            </w:r>
          </w:p>
        </w:tc>
        <w:tc>
          <w:tcPr>
            <w:tcW w:w="539" w:type="dxa"/>
            <w:tcBorders>
              <w:top w:val="single" w:color="000000" w:sz="4" w:space="0"/>
              <w:left w:val="single" w:color="000000" w:sz="4" w:space="0"/>
              <w:bottom w:val="single" w:color="000000" w:sz="4" w:space="0"/>
              <w:right w:val="single" w:color="000000" w:sz="4" w:space="0"/>
            </w:tcBorders>
            <w:noWrap w:val="0"/>
            <w:vAlign w:val="center"/>
          </w:tcPr>
          <w:p w14:paraId="6BFA3602">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25</w:t>
            </w:r>
          </w:p>
        </w:tc>
        <w:tc>
          <w:tcPr>
            <w:tcW w:w="542" w:type="dxa"/>
            <w:tcBorders>
              <w:top w:val="single" w:color="000000" w:sz="4" w:space="0"/>
              <w:left w:val="single" w:color="000000" w:sz="4" w:space="0"/>
              <w:bottom w:val="single" w:color="000000" w:sz="4" w:space="0"/>
              <w:right w:val="single" w:color="000000" w:sz="4" w:space="0"/>
            </w:tcBorders>
            <w:noWrap w:val="0"/>
            <w:vAlign w:val="center"/>
          </w:tcPr>
          <w:p w14:paraId="3A0F425E">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18</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30F1847C">
            <w:pPr>
              <w:jc w:val="center"/>
              <w:rPr>
                <w:rFonts w:hint="eastAsia" w:ascii="宋体" w:hAnsi="宋体" w:eastAsia="宋体" w:cs="宋体"/>
                <w:i w:val="0"/>
                <w:iCs w:val="0"/>
                <w:color w:val="000000"/>
                <w:sz w:val="12"/>
                <w:szCs w:val="12"/>
                <w:u w:val="none"/>
              </w:rPr>
            </w:pP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65396948">
            <w:pPr>
              <w:jc w:val="center"/>
              <w:rPr>
                <w:rFonts w:hint="eastAsia" w:ascii="宋体" w:hAnsi="宋体" w:eastAsia="宋体" w:cs="宋体"/>
                <w:i w:val="0"/>
                <w:iCs w:val="0"/>
                <w:color w:val="000000"/>
                <w:sz w:val="12"/>
                <w:szCs w:val="12"/>
                <w:u w:val="none"/>
              </w:rPr>
            </w:pP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1693F01E">
            <w:pPr>
              <w:jc w:val="center"/>
              <w:rPr>
                <w:rFonts w:hint="eastAsia" w:ascii="宋体" w:hAnsi="宋体" w:eastAsia="宋体" w:cs="宋体"/>
                <w:i w:val="0"/>
                <w:iCs w:val="0"/>
                <w:color w:val="000000"/>
                <w:sz w:val="12"/>
                <w:szCs w:val="12"/>
                <w:u w:val="none"/>
              </w:rPr>
            </w:pP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43D62197">
            <w:pPr>
              <w:jc w:val="center"/>
              <w:rPr>
                <w:rFonts w:hint="eastAsia" w:ascii="宋体" w:hAnsi="宋体" w:eastAsia="宋体" w:cs="宋体"/>
                <w:i w:val="0"/>
                <w:iCs w:val="0"/>
                <w:color w:val="000000"/>
                <w:sz w:val="12"/>
                <w:szCs w:val="12"/>
                <w:u w:val="none"/>
              </w:rPr>
            </w:pPr>
          </w:p>
        </w:tc>
        <w:tc>
          <w:tcPr>
            <w:tcW w:w="628" w:type="dxa"/>
            <w:tcBorders>
              <w:top w:val="single" w:color="000000" w:sz="4" w:space="0"/>
              <w:left w:val="single" w:color="000000" w:sz="4" w:space="0"/>
              <w:bottom w:val="single" w:color="000000" w:sz="4" w:space="0"/>
              <w:right w:val="single" w:color="000000" w:sz="4" w:space="0"/>
            </w:tcBorders>
            <w:noWrap/>
            <w:vAlign w:val="center"/>
          </w:tcPr>
          <w:p w14:paraId="2E03970A">
            <w:pPr>
              <w:jc w:val="center"/>
              <w:rPr>
                <w:rFonts w:hint="eastAsia" w:ascii="宋体" w:hAnsi="宋体" w:eastAsia="宋体" w:cs="宋体"/>
                <w:i w:val="0"/>
                <w:iCs w:val="0"/>
                <w:color w:val="000000"/>
                <w:sz w:val="12"/>
                <w:szCs w:val="12"/>
                <w:u w:val="none"/>
              </w:rPr>
            </w:pPr>
          </w:p>
        </w:tc>
        <w:tc>
          <w:tcPr>
            <w:tcW w:w="633" w:type="dxa"/>
            <w:tcBorders>
              <w:top w:val="single" w:color="000000" w:sz="4" w:space="0"/>
              <w:left w:val="single" w:color="000000" w:sz="4" w:space="0"/>
              <w:bottom w:val="single" w:color="000000" w:sz="4" w:space="0"/>
              <w:right w:val="single" w:color="000000" w:sz="4" w:space="0"/>
            </w:tcBorders>
            <w:noWrap/>
            <w:vAlign w:val="center"/>
          </w:tcPr>
          <w:p w14:paraId="539342A4">
            <w:pPr>
              <w:jc w:val="center"/>
              <w:rPr>
                <w:rFonts w:hint="eastAsia" w:ascii="宋体" w:hAnsi="宋体" w:eastAsia="宋体" w:cs="宋体"/>
                <w:i w:val="0"/>
                <w:iCs w:val="0"/>
                <w:color w:val="000000"/>
                <w:sz w:val="12"/>
                <w:szCs w:val="12"/>
                <w:u w:val="none"/>
              </w:rPr>
            </w:pPr>
          </w:p>
        </w:tc>
      </w:tr>
      <w:tr w14:paraId="30CE46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51" w:hRule="atLeast"/>
        </w:trPr>
        <w:tc>
          <w:tcPr>
            <w:tcW w:w="694" w:type="dxa"/>
            <w:tcBorders>
              <w:top w:val="single" w:color="000000" w:sz="4" w:space="0"/>
              <w:left w:val="single" w:color="000000" w:sz="4" w:space="0"/>
              <w:bottom w:val="single" w:color="000000" w:sz="4" w:space="0"/>
              <w:right w:val="single" w:color="000000" w:sz="4" w:space="0"/>
            </w:tcBorders>
            <w:noWrap w:val="0"/>
            <w:vAlign w:val="center"/>
          </w:tcPr>
          <w:p w14:paraId="61419830">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洗手间卫生清洁</w:t>
            </w:r>
          </w:p>
        </w:tc>
        <w:tc>
          <w:tcPr>
            <w:tcW w:w="1230" w:type="dxa"/>
            <w:tcBorders>
              <w:top w:val="single" w:color="000000" w:sz="4" w:space="0"/>
              <w:left w:val="single" w:color="000000" w:sz="4" w:space="0"/>
              <w:bottom w:val="single" w:color="000000" w:sz="4" w:space="0"/>
              <w:right w:val="single" w:color="000000" w:sz="4" w:space="0"/>
            </w:tcBorders>
            <w:noWrap w:val="0"/>
            <w:vAlign w:val="center"/>
          </w:tcPr>
          <w:p w14:paraId="31699485">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地面、墙面、门窗、洗手台、水龙头、冲水阀、隔板、便池、小便器、照明灯具、纸篓、垃圾桶、空气洁净程度</w:t>
            </w:r>
          </w:p>
        </w:tc>
        <w:tc>
          <w:tcPr>
            <w:tcW w:w="1744" w:type="dxa"/>
            <w:tcBorders>
              <w:top w:val="nil"/>
              <w:left w:val="single" w:color="000000" w:sz="4" w:space="0"/>
              <w:bottom w:val="single" w:color="000000" w:sz="4" w:space="0"/>
              <w:right w:val="single" w:color="000000" w:sz="4" w:space="0"/>
            </w:tcBorders>
            <w:noWrap w:val="0"/>
            <w:vAlign w:val="center"/>
          </w:tcPr>
          <w:p w14:paraId="766A2020">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干净、无污迹、无废弃物、无积尘、无蜘蛛网、及时关闭门窗、桶内垃圾不超过2/3，摆放到位，及时关灯无长明灯，清新无臭味</w:t>
            </w:r>
          </w:p>
        </w:tc>
        <w:tc>
          <w:tcPr>
            <w:tcW w:w="539" w:type="dxa"/>
            <w:tcBorders>
              <w:top w:val="single" w:color="000000" w:sz="4" w:space="0"/>
              <w:left w:val="single" w:color="000000" w:sz="4" w:space="0"/>
              <w:bottom w:val="single" w:color="000000" w:sz="4" w:space="0"/>
              <w:right w:val="single" w:color="000000" w:sz="4" w:space="0"/>
            </w:tcBorders>
            <w:noWrap w:val="0"/>
            <w:vAlign w:val="center"/>
          </w:tcPr>
          <w:p w14:paraId="415AE07A">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30</w:t>
            </w:r>
          </w:p>
        </w:tc>
        <w:tc>
          <w:tcPr>
            <w:tcW w:w="539" w:type="dxa"/>
            <w:tcBorders>
              <w:top w:val="single" w:color="000000" w:sz="4" w:space="0"/>
              <w:left w:val="single" w:color="000000" w:sz="4" w:space="0"/>
              <w:bottom w:val="single" w:color="000000" w:sz="4" w:space="0"/>
              <w:right w:val="single" w:color="000000" w:sz="4" w:space="0"/>
            </w:tcBorders>
            <w:noWrap w:val="0"/>
            <w:vAlign w:val="center"/>
          </w:tcPr>
          <w:p w14:paraId="2D1EBF20">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28</w:t>
            </w:r>
          </w:p>
        </w:tc>
        <w:tc>
          <w:tcPr>
            <w:tcW w:w="539" w:type="dxa"/>
            <w:tcBorders>
              <w:top w:val="single" w:color="000000" w:sz="4" w:space="0"/>
              <w:left w:val="single" w:color="000000" w:sz="4" w:space="0"/>
              <w:bottom w:val="single" w:color="000000" w:sz="4" w:space="0"/>
              <w:right w:val="single" w:color="000000" w:sz="4" w:space="0"/>
            </w:tcBorders>
            <w:noWrap w:val="0"/>
            <w:vAlign w:val="center"/>
          </w:tcPr>
          <w:p w14:paraId="74966FD0">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21</w:t>
            </w:r>
          </w:p>
        </w:tc>
        <w:tc>
          <w:tcPr>
            <w:tcW w:w="542" w:type="dxa"/>
            <w:tcBorders>
              <w:top w:val="single" w:color="000000" w:sz="4" w:space="0"/>
              <w:left w:val="single" w:color="000000" w:sz="4" w:space="0"/>
              <w:bottom w:val="single" w:color="000000" w:sz="4" w:space="0"/>
              <w:right w:val="single" w:color="000000" w:sz="4" w:space="0"/>
            </w:tcBorders>
            <w:noWrap w:val="0"/>
            <w:vAlign w:val="center"/>
          </w:tcPr>
          <w:p w14:paraId="20F81E3A">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15</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52B35F22">
            <w:pPr>
              <w:jc w:val="center"/>
              <w:rPr>
                <w:rFonts w:hint="eastAsia" w:ascii="宋体" w:hAnsi="宋体" w:eastAsia="宋体" w:cs="宋体"/>
                <w:i w:val="0"/>
                <w:iCs w:val="0"/>
                <w:color w:val="000000"/>
                <w:sz w:val="12"/>
                <w:szCs w:val="12"/>
                <w:u w:val="none"/>
              </w:rPr>
            </w:pP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497B5D96">
            <w:pPr>
              <w:jc w:val="center"/>
              <w:rPr>
                <w:rFonts w:hint="eastAsia" w:ascii="宋体" w:hAnsi="宋体" w:eastAsia="宋体" w:cs="宋体"/>
                <w:i w:val="0"/>
                <w:iCs w:val="0"/>
                <w:color w:val="000000"/>
                <w:sz w:val="12"/>
                <w:szCs w:val="12"/>
                <w:u w:val="none"/>
              </w:rPr>
            </w:pP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72325034">
            <w:pPr>
              <w:jc w:val="center"/>
              <w:rPr>
                <w:rFonts w:hint="eastAsia" w:ascii="宋体" w:hAnsi="宋体" w:eastAsia="宋体" w:cs="宋体"/>
                <w:i w:val="0"/>
                <w:iCs w:val="0"/>
                <w:color w:val="000000"/>
                <w:sz w:val="12"/>
                <w:szCs w:val="12"/>
                <w:u w:val="none"/>
              </w:rPr>
            </w:pP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377752A2">
            <w:pPr>
              <w:jc w:val="center"/>
              <w:rPr>
                <w:rFonts w:hint="eastAsia" w:ascii="宋体" w:hAnsi="宋体" w:eastAsia="宋体" w:cs="宋体"/>
                <w:i w:val="0"/>
                <w:iCs w:val="0"/>
                <w:color w:val="000000"/>
                <w:sz w:val="12"/>
                <w:szCs w:val="12"/>
                <w:u w:val="none"/>
              </w:rPr>
            </w:pPr>
          </w:p>
        </w:tc>
        <w:tc>
          <w:tcPr>
            <w:tcW w:w="628" w:type="dxa"/>
            <w:tcBorders>
              <w:top w:val="single" w:color="000000" w:sz="4" w:space="0"/>
              <w:left w:val="single" w:color="000000" w:sz="4" w:space="0"/>
              <w:bottom w:val="single" w:color="000000" w:sz="4" w:space="0"/>
              <w:right w:val="single" w:color="000000" w:sz="4" w:space="0"/>
            </w:tcBorders>
            <w:noWrap/>
            <w:vAlign w:val="center"/>
          </w:tcPr>
          <w:p w14:paraId="300FE586">
            <w:pPr>
              <w:jc w:val="center"/>
              <w:rPr>
                <w:rFonts w:hint="eastAsia" w:ascii="宋体" w:hAnsi="宋体" w:eastAsia="宋体" w:cs="宋体"/>
                <w:i w:val="0"/>
                <w:iCs w:val="0"/>
                <w:color w:val="000000"/>
                <w:sz w:val="12"/>
                <w:szCs w:val="12"/>
                <w:u w:val="none"/>
              </w:rPr>
            </w:pPr>
          </w:p>
        </w:tc>
        <w:tc>
          <w:tcPr>
            <w:tcW w:w="633" w:type="dxa"/>
            <w:tcBorders>
              <w:top w:val="single" w:color="000000" w:sz="4" w:space="0"/>
              <w:left w:val="single" w:color="000000" w:sz="4" w:space="0"/>
              <w:bottom w:val="single" w:color="000000" w:sz="4" w:space="0"/>
              <w:right w:val="single" w:color="000000" w:sz="4" w:space="0"/>
            </w:tcBorders>
            <w:noWrap/>
            <w:vAlign w:val="center"/>
          </w:tcPr>
          <w:p w14:paraId="4ACE8AAD">
            <w:pPr>
              <w:jc w:val="center"/>
              <w:rPr>
                <w:rFonts w:hint="eastAsia" w:ascii="宋体" w:hAnsi="宋体" w:eastAsia="宋体" w:cs="宋体"/>
                <w:i w:val="0"/>
                <w:iCs w:val="0"/>
                <w:color w:val="000000"/>
                <w:sz w:val="12"/>
                <w:szCs w:val="12"/>
                <w:u w:val="none"/>
              </w:rPr>
            </w:pPr>
          </w:p>
        </w:tc>
      </w:tr>
      <w:tr w14:paraId="49A389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37" w:hRule="atLeast"/>
        </w:trPr>
        <w:tc>
          <w:tcPr>
            <w:tcW w:w="694" w:type="dxa"/>
            <w:tcBorders>
              <w:top w:val="single" w:color="000000" w:sz="4" w:space="0"/>
              <w:left w:val="single" w:color="000000" w:sz="4" w:space="0"/>
              <w:bottom w:val="single" w:color="000000" w:sz="4" w:space="0"/>
              <w:right w:val="single" w:color="000000" w:sz="4" w:space="0"/>
            </w:tcBorders>
            <w:noWrap w:val="0"/>
            <w:vAlign w:val="center"/>
          </w:tcPr>
          <w:p w14:paraId="1C25E4D2">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室外环境卫生与垃圾清运</w:t>
            </w:r>
          </w:p>
        </w:tc>
        <w:tc>
          <w:tcPr>
            <w:tcW w:w="1230" w:type="dxa"/>
            <w:tcBorders>
              <w:top w:val="single" w:color="000000" w:sz="4" w:space="0"/>
              <w:left w:val="single" w:color="000000" w:sz="4" w:space="0"/>
              <w:bottom w:val="single" w:color="000000" w:sz="4" w:space="0"/>
              <w:right w:val="single" w:color="000000" w:sz="4" w:space="0"/>
            </w:tcBorders>
            <w:noWrap w:val="0"/>
            <w:vAlign w:val="center"/>
          </w:tcPr>
          <w:p w14:paraId="55A57E3E">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硬化路面、道路</w:t>
            </w:r>
            <w:r>
              <w:rPr>
                <w:rFonts w:hint="eastAsia" w:ascii="宋体" w:hAnsi="宋体" w:eastAsia="宋体" w:cs="宋体"/>
                <w:i w:val="0"/>
                <w:iCs w:val="0"/>
                <w:color w:val="000000"/>
                <w:kern w:val="0"/>
                <w:sz w:val="12"/>
                <w:szCs w:val="12"/>
                <w:u w:val="none"/>
                <w:lang w:val="en-US" w:eastAsia="zh-CN" w:bidi="ar"/>
              </w:rPr>
              <w:br w:type="textWrapping"/>
            </w:r>
            <w:r>
              <w:rPr>
                <w:rFonts w:hint="eastAsia" w:ascii="宋体" w:hAnsi="宋体" w:eastAsia="宋体" w:cs="宋体"/>
                <w:i w:val="0"/>
                <w:iCs w:val="0"/>
                <w:color w:val="000000"/>
                <w:kern w:val="0"/>
                <w:sz w:val="12"/>
                <w:szCs w:val="12"/>
                <w:u w:val="none"/>
                <w:lang w:val="en-US" w:eastAsia="zh-CN" w:bidi="ar"/>
              </w:rPr>
              <w:t>两旁、果皮箱、</w:t>
            </w:r>
            <w:r>
              <w:rPr>
                <w:rFonts w:hint="eastAsia" w:ascii="宋体" w:hAnsi="宋体" w:eastAsia="宋体" w:cs="宋体"/>
                <w:i w:val="0"/>
                <w:iCs w:val="0"/>
                <w:color w:val="000000"/>
                <w:kern w:val="0"/>
                <w:sz w:val="12"/>
                <w:szCs w:val="12"/>
                <w:u w:val="none"/>
                <w:lang w:val="en-US" w:eastAsia="zh-CN" w:bidi="ar"/>
              </w:rPr>
              <w:br w:type="textWrapping"/>
            </w:r>
            <w:r>
              <w:rPr>
                <w:rFonts w:hint="eastAsia" w:ascii="宋体" w:hAnsi="宋体" w:eastAsia="宋体" w:cs="宋体"/>
                <w:i w:val="0"/>
                <w:iCs w:val="0"/>
                <w:color w:val="000000"/>
                <w:kern w:val="0"/>
                <w:sz w:val="12"/>
                <w:szCs w:val="12"/>
                <w:u w:val="none"/>
                <w:lang w:val="en-US" w:eastAsia="zh-CN" w:bidi="ar"/>
              </w:rPr>
              <w:t>垃圾桶、各类设</w:t>
            </w:r>
            <w:r>
              <w:rPr>
                <w:rFonts w:hint="eastAsia" w:ascii="宋体" w:hAnsi="宋体" w:eastAsia="宋体" w:cs="宋体"/>
                <w:i w:val="0"/>
                <w:iCs w:val="0"/>
                <w:color w:val="000000"/>
                <w:kern w:val="0"/>
                <w:sz w:val="12"/>
                <w:szCs w:val="12"/>
                <w:u w:val="none"/>
                <w:lang w:val="en-US" w:eastAsia="zh-CN" w:bidi="ar"/>
              </w:rPr>
              <w:br w:type="textWrapping"/>
            </w:r>
            <w:r>
              <w:rPr>
                <w:rFonts w:hint="eastAsia" w:ascii="宋体" w:hAnsi="宋体" w:eastAsia="宋体" w:cs="宋体"/>
                <w:i w:val="0"/>
                <w:iCs w:val="0"/>
                <w:color w:val="000000"/>
                <w:kern w:val="0"/>
                <w:sz w:val="12"/>
                <w:szCs w:val="12"/>
                <w:u w:val="none"/>
                <w:lang w:val="en-US" w:eastAsia="zh-CN" w:bidi="ar"/>
              </w:rPr>
              <w:t>施设备、其他区域</w:t>
            </w:r>
          </w:p>
        </w:tc>
        <w:tc>
          <w:tcPr>
            <w:tcW w:w="1744" w:type="dxa"/>
            <w:tcBorders>
              <w:top w:val="single" w:color="000000" w:sz="4" w:space="0"/>
              <w:left w:val="single" w:color="000000" w:sz="4" w:space="0"/>
              <w:bottom w:val="single" w:color="000000" w:sz="4" w:space="0"/>
              <w:right w:val="single" w:color="000000" w:sz="4" w:space="0"/>
            </w:tcBorders>
            <w:noWrap w:val="0"/>
            <w:vAlign w:val="center"/>
          </w:tcPr>
          <w:p w14:paraId="511A2A9B">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干净、无污迹、无废弃物、光亮、洁净、无积垢，箱（桶）内垃圾不能超过3/4，摆放到位</w:t>
            </w:r>
          </w:p>
        </w:tc>
        <w:tc>
          <w:tcPr>
            <w:tcW w:w="539" w:type="dxa"/>
            <w:tcBorders>
              <w:top w:val="single" w:color="000000" w:sz="4" w:space="0"/>
              <w:left w:val="single" w:color="000000" w:sz="4" w:space="0"/>
              <w:bottom w:val="single" w:color="000000" w:sz="4" w:space="0"/>
              <w:right w:val="single" w:color="000000" w:sz="4" w:space="0"/>
            </w:tcBorders>
            <w:noWrap w:val="0"/>
            <w:vAlign w:val="center"/>
          </w:tcPr>
          <w:p w14:paraId="0B5F898A">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25</w:t>
            </w:r>
          </w:p>
        </w:tc>
        <w:tc>
          <w:tcPr>
            <w:tcW w:w="539" w:type="dxa"/>
            <w:tcBorders>
              <w:top w:val="single" w:color="000000" w:sz="4" w:space="0"/>
              <w:left w:val="single" w:color="000000" w:sz="4" w:space="0"/>
              <w:bottom w:val="single" w:color="000000" w:sz="4" w:space="0"/>
              <w:right w:val="single" w:color="000000" w:sz="4" w:space="0"/>
            </w:tcBorders>
            <w:noWrap w:val="0"/>
            <w:vAlign w:val="center"/>
          </w:tcPr>
          <w:p w14:paraId="27BC6F2E">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23</w:t>
            </w:r>
          </w:p>
        </w:tc>
        <w:tc>
          <w:tcPr>
            <w:tcW w:w="539" w:type="dxa"/>
            <w:tcBorders>
              <w:top w:val="single" w:color="000000" w:sz="4" w:space="0"/>
              <w:left w:val="single" w:color="000000" w:sz="4" w:space="0"/>
              <w:bottom w:val="single" w:color="000000" w:sz="4" w:space="0"/>
              <w:right w:val="single" w:color="000000" w:sz="4" w:space="0"/>
            </w:tcBorders>
            <w:noWrap w:val="0"/>
            <w:vAlign w:val="center"/>
          </w:tcPr>
          <w:p w14:paraId="2CCFB899">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18</w:t>
            </w:r>
          </w:p>
        </w:tc>
        <w:tc>
          <w:tcPr>
            <w:tcW w:w="542" w:type="dxa"/>
            <w:tcBorders>
              <w:top w:val="single" w:color="000000" w:sz="4" w:space="0"/>
              <w:left w:val="single" w:color="000000" w:sz="4" w:space="0"/>
              <w:bottom w:val="single" w:color="000000" w:sz="4" w:space="0"/>
              <w:right w:val="single" w:color="000000" w:sz="4" w:space="0"/>
            </w:tcBorders>
            <w:noWrap w:val="0"/>
            <w:vAlign w:val="center"/>
          </w:tcPr>
          <w:p w14:paraId="0D25748C">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14</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115E4F0E">
            <w:pPr>
              <w:jc w:val="center"/>
              <w:rPr>
                <w:rFonts w:hint="eastAsia" w:ascii="宋体" w:hAnsi="宋体" w:eastAsia="宋体" w:cs="宋体"/>
                <w:i w:val="0"/>
                <w:iCs w:val="0"/>
                <w:color w:val="000000"/>
                <w:sz w:val="12"/>
                <w:szCs w:val="12"/>
                <w:u w:val="none"/>
              </w:rPr>
            </w:pP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22FE46ED">
            <w:pPr>
              <w:jc w:val="center"/>
              <w:rPr>
                <w:rFonts w:hint="eastAsia" w:ascii="宋体" w:hAnsi="宋体" w:eastAsia="宋体" w:cs="宋体"/>
                <w:i w:val="0"/>
                <w:iCs w:val="0"/>
                <w:color w:val="000000"/>
                <w:sz w:val="12"/>
                <w:szCs w:val="12"/>
                <w:u w:val="none"/>
              </w:rPr>
            </w:pP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69EF5090">
            <w:pPr>
              <w:jc w:val="center"/>
              <w:rPr>
                <w:rFonts w:hint="eastAsia" w:ascii="宋体" w:hAnsi="宋体" w:eastAsia="宋体" w:cs="宋体"/>
                <w:i w:val="0"/>
                <w:iCs w:val="0"/>
                <w:color w:val="000000"/>
                <w:sz w:val="12"/>
                <w:szCs w:val="12"/>
                <w:u w:val="none"/>
              </w:rPr>
            </w:pP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09BBA098">
            <w:pPr>
              <w:jc w:val="center"/>
              <w:rPr>
                <w:rFonts w:hint="eastAsia" w:ascii="宋体" w:hAnsi="宋体" w:eastAsia="宋体" w:cs="宋体"/>
                <w:i w:val="0"/>
                <w:iCs w:val="0"/>
                <w:color w:val="000000"/>
                <w:sz w:val="12"/>
                <w:szCs w:val="12"/>
                <w:u w:val="none"/>
              </w:rPr>
            </w:pPr>
          </w:p>
        </w:tc>
        <w:tc>
          <w:tcPr>
            <w:tcW w:w="628" w:type="dxa"/>
            <w:tcBorders>
              <w:top w:val="single" w:color="000000" w:sz="4" w:space="0"/>
              <w:left w:val="single" w:color="000000" w:sz="4" w:space="0"/>
              <w:bottom w:val="single" w:color="000000" w:sz="4" w:space="0"/>
              <w:right w:val="single" w:color="000000" w:sz="4" w:space="0"/>
            </w:tcBorders>
            <w:noWrap/>
            <w:vAlign w:val="center"/>
          </w:tcPr>
          <w:p w14:paraId="0D14A681">
            <w:pPr>
              <w:jc w:val="center"/>
              <w:rPr>
                <w:rFonts w:hint="eastAsia" w:ascii="宋体" w:hAnsi="宋体" w:eastAsia="宋体" w:cs="宋体"/>
                <w:i w:val="0"/>
                <w:iCs w:val="0"/>
                <w:color w:val="000000"/>
                <w:sz w:val="12"/>
                <w:szCs w:val="12"/>
                <w:u w:val="none"/>
              </w:rPr>
            </w:pPr>
          </w:p>
        </w:tc>
        <w:tc>
          <w:tcPr>
            <w:tcW w:w="633" w:type="dxa"/>
            <w:tcBorders>
              <w:top w:val="single" w:color="000000" w:sz="4" w:space="0"/>
              <w:left w:val="single" w:color="000000" w:sz="4" w:space="0"/>
              <w:bottom w:val="single" w:color="000000" w:sz="4" w:space="0"/>
              <w:right w:val="single" w:color="000000" w:sz="4" w:space="0"/>
            </w:tcBorders>
            <w:noWrap/>
            <w:vAlign w:val="center"/>
          </w:tcPr>
          <w:p w14:paraId="2BFAACFB">
            <w:pPr>
              <w:jc w:val="center"/>
              <w:rPr>
                <w:rFonts w:hint="eastAsia" w:ascii="宋体" w:hAnsi="宋体" w:eastAsia="宋体" w:cs="宋体"/>
                <w:i w:val="0"/>
                <w:iCs w:val="0"/>
                <w:color w:val="000000"/>
                <w:sz w:val="12"/>
                <w:szCs w:val="12"/>
                <w:u w:val="none"/>
              </w:rPr>
            </w:pPr>
          </w:p>
        </w:tc>
      </w:tr>
      <w:tr w14:paraId="216EAB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4" w:hRule="atLeast"/>
        </w:trPr>
        <w:tc>
          <w:tcPr>
            <w:tcW w:w="694" w:type="dxa"/>
            <w:tcBorders>
              <w:top w:val="single" w:color="000000" w:sz="4" w:space="0"/>
              <w:left w:val="single" w:color="000000" w:sz="4" w:space="0"/>
              <w:bottom w:val="single" w:color="000000" w:sz="4" w:space="0"/>
              <w:right w:val="single" w:color="000000" w:sz="4" w:space="0"/>
            </w:tcBorders>
            <w:noWrap w:val="0"/>
            <w:vAlign w:val="center"/>
          </w:tcPr>
          <w:p w14:paraId="26567471">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工作人员</w:t>
            </w:r>
          </w:p>
        </w:tc>
        <w:tc>
          <w:tcPr>
            <w:tcW w:w="1230" w:type="dxa"/>
            <w:tcBorders>
              <w:top w:val="single" w:color="000000" w:sz="4" w:space="0"/>
              <w:left w:val="single" w:color="000000" w:sz="4" w:space="0"/>
              <w:bottom w:val="single" w:color="000000" w:sz="4" w:space="0"/>
              <w:right w:val="single" w:color="000000" w:sz="4" w:space="0"/>
            </w:tcBorders>
            <w:noWrap w:val="0"/>
            <w:vAlign w:val="center"/>
          </w:tcPr>
          <w:p w14:paraId="29BB61EE">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着工作服、无脱</w:t>
            </w:r>
            <w:r>
              <w:rPr>
                <w:rFonts w:hint="eastAsia" w:ascii="宋体" w:hAnsi="宋体" w:eastAsia="宋体" w:cs="宋体"/>
                <w:i w:val="0"/>
                <w:iCs w:val="0"/>
                <w:color w:val="000000"/>
                <w:kern w:val="0"/>
                <w:sz w:val="12"/>
                <w:szCs w:val="12"/>
                <w:u w:val="none"/>
                <w:lang w:val="en-US" w:eastAsia="zh-CN" w:bidi="ar"/>
              </w:rPr>
              <w:br w:type="textWrapping"/>
            </w:r>
            <w:r>
              <w:rPr>
                <w:rFonts w:hint="eastAsia" w:ascii="宋体" w:hAnsi="宋体" w:eastAsia="宋体" w:cs="宋体"/>
                <w:i w:val="0"/>
                <w:iCs w:val="0"/>
                <w:color w:val="000000"/>
                <w:kern w:val="0"/>
                <w:sz w:val="12"/>
                <w:szCs w:val="12"/>
                <w:u w:val="none"/>
                <w:lang w:val="en-US" w:eastAsia="zh-CN" w:bidi="ar"/>
              </w:rPr>
              <w:t>岗、工作时效性</w:t>
            </w:r>
          </w:p>
        </w:tc>
        <w:tc>
          <w:tcPr>
            <w:tcW w:w="1744" w:type="dxa"/>
            <w:tcBorders>
              <w:top w:val="single" w:color="000000" w:sz="4" w:space="0"/>
              <w:left w:val="single" w:color="000000" w:sz="4" w:space="0"/>
              <w:bottom w:val="single" w:color="000000" w:sz="4" w:space="0"/>
              <w:right w:val="single" w:color="000000" w:sz="4" w:space="0"/>
            </w:tcBorders>
            <w:noWrap w:val="0"/>
            <w:vAlign w:val="center"/>
          </w:tcPr>
          <w:p w14:paraId="6554EC5A">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着工作服、无脱岗、及时高效</w:t>
            </w:r>
          </w:p>
        </w:tc>
        <w:tc>
          <w:tcPr>
            <w:tcW w:w="539" w:type="dxa"/>
            <w:tcBorders>
              <w:top w:val="single" w:color="000000" w:sz="4" w:space="0"/>
              <w:left w:val="single" w:color="000000" w:sz="4" w:space="0"/>
              <w:bottom w:val="single" w:color="000000" w:sz="4" w:space="0"/>
              <w:right w:val="single" w:color="000000" w:sz="4" w:space="0"/>
            </w:tcBorders>
            <w:noWrap w:val="0"/>
            <w:vAlign w:val="center"/>
          </w:tcPr>
          <w:p w14:paraId="392B07C6">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10</w:t>
            </w:r>
          </w:p>
        </w:tc>
        <w:tc>
          <w:tcPr>
            <w:tcW w:w="539" w:type="dxa"/>
            <w:tcBorders>
              <w:top w:val="single" w:color="000000" w:sz="4" w:space="0"/>
              <w:left w:val="single" w:color="000000" w:sz="4" w:space="0"/>
              <w:bottom w:val="single" w:color="000000" w:sz="4" w:space="0"/>
              <w:right w:val="single" w:color="000000" w:sz="4" w:space="0"/>
            </w:tcBorders>
            <w:noWrap w:val="0"/>
            <w:vAlign w:val="center"/>
          </w:tcPr>
          <w:p w14:paraId="56C54729">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9</w:t>
            </w:r>
          </w:p>
        </w:tc>
        <w:tc>
          <w:tcPr>
            <w:tcW w:w="539" w:type="dxa"/>
            <w:tcBorders>
              <w:top w:val="single" w:color="000000" w:sz="4" w:space="0"/>
              <w:left w:val="single" w:color="000000" w:sz="4" w:space="0"/>
              <w:bottom w:val="single" w:color="000000" w:sz="4" w:space="0"/>
              <w:right w:val="single" w:color="000000" w:sz="4" w:space="0"/>
            </w:tcBorders>
            <w:noWrap w:val="0"/>
            <w:vAlign w:val="center"/>
          </w:tcPr>
          <w:p w14:paraId="330356E6">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7</w:t>
            </w:r>
          </w:p>
        </w:tc>
        <w:tc>
          <w:tcPr>
            <w:tcW w:w="542" w:type="dxa"/>
            <w:tcBorders>
              <w:top w:val="single" w:color="000000" w:sz="4" w:space="0"/>
              <w:left w:val="single" w:color="000000" w:sz="4" w:space="0"/>
              <w:bottom w:val="single" w:color="000000" w:sz="4" w:space="0"/>
              <w:right w:val="single" w:color="000000" w:sz="4" w:space="0"/>
            </w:tcBorders>
            <w:noWrap w:val="0"/>
            <w:vAlign w:val="center"/>
          </w:tcPr>
          <w:p w14:paraId="3BC0E6CC">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5</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68F46704">
            <w:pPr>
              <w:jc w:val="center"/>
              <w:rPr>
                <w:rFonts w:hint="eastAsia" w:ascii="宋体" w:hAnsi="宋体" w:eastAsia="宋体" w:cs="宋体"/>
                <w:i w:val="0"/>
                <w:iCs w:val="0"/>
                <w:color w:val="000000"/>
                <w:sz w:val="12"/>
                <w:szCs w:val="12"/>
                <w:u w:val="none"/>
              </w:rPr>
            </w:pP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4AE2820A">
            <w:pPr>
              <w:jc w:val="center"/>
              <w:rPr>
                <w:rFonts w:hint="eastAsia" w:ascii="宋体" w:hAnsi="宋体" w:eastAsia="宋体" w:cs="宋体"/>
                <w:i w:val="0"/>
                <w:iCs w:val="0"/>
                <w:color w:val="000000"/>
                <w:sz w:val="12"/>
                <w:szCs w:val="12"/>
                <w:u w:val="none"/>
              </w:rPr>
            </w:pP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41E43FEE">
            <w:pPr>
              <w:jc w:val="center"/>
              <w:rPr>
                <w:rFonts w:hint="eastAsia" w:ascii="宋体" w:hAnsi="宋体" w:eastAsia="宋体" w:cs="宋体"/>
                <w:i w:val="0"/>
                <w:iCs w:val="0"/>
                <w:color w:val="000000"/>
                <w:sz w:val="12"/>
                <w:szCs w:val="12"/>
                <w:u w:val="none"/>
              </w:rPr>
            </w:pP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4C45CC7A">
            <w:pPr>
              <w:jc w:val="center"/>
              <w:rPr>
                <w:rFonts w:hint="eastAsia" w:ascii="宋体" w:hAnsi="宋体" w:eastAsia="宋体" w:cs="宋体"/>
                <w:i w:val="0"/>
                <w:iCs w:val="0"/>
                <w:color w:val="000000"/>
                <w:sz w:val="12"/>
                <w:szCs w:val="12"/>
                <w:u w:val="none"/>
              </w:rPr>
            </w:pPr>
          </w:p>
        </w:tc>
        <w:tc>
          <w:tcPr>
            <w:tcW w:w="628" w:type="dxa"/>
            <w:tcBorders>
              <w:top w:val="single" w:color="000000" w:sz="4" w:space="0"/>
              <w:left w:val="single" w:color="000000" w:sz="4" w:space="0"/>
              <w:bottom w:val="single" w:color="000000" w:sz="4" w:space="0"/>
              <w:right w:val="single" w:color="000000" w:sz="4" w:space="0"/>
            </w:tcBorders>
            <w:noWrap/>
            <w:vAlign w:val="center"/>
          </w:tcPr>
          <w:p w14:paraId="7E918F96">
            <w:pPr>
              <w:jc w:val="center"/>
              <w:rPr>
                <w:rFonts w:hint="eastAsia" w:ascii="宋体" w:hAnsi="宋体" w:eastAsia="宋体" w:cs="宋体"/>
                <w:i w:val="0"/>
                <w:iCs w:val="0"/>
                <w:color w:val="000000"/>
                <w:sz w:val="12"/>
                <w:szCs w:val="12"/>
                <w:u w:val="none"/>
              </w:rPr>
            </w:pPr>
          </w:p>
        </w:tc>
        <w:tc>
          <w:tcPr>
            <w:tcW w:w="633" w:type="dxa"/>
            <w:tcBorders>
              <w:top w:val="single" w:color="000000" w:sz="4" w:space="0"/>
              <w:left w:val="single" w:color="000000" w:sz="4" w:space="0"/>
              <w:bottom w:val="single" w:color="000000" w:sz="4" w:space="0"/>
              <w:right w:val="single" w:color="000000" w:sz="4" w:space="0"/>
            </w:tcBorders>
            <w:noWrap/>
            <w:vAlign w:val="center"/>
          </w:tcPr>
          <w:p w14:paraId="1562BA70">
            <w:pPr>
              <w:jc w:val="center"/>
              <w:rPr>
                <w:rFonts w:hint="eastAsia" w:ascii="宋体" w:hAnsi="宋体" w:eastAsia="宋体" w:cs="宋体"/>
                <w:i w:val="0"/>
                <w:iCs w:val="0"/>
                <w:color w:val="000000"/>
                <w:sz w:val="12"/>
                <w:szCs w:val="12"/>
                <w:u w:val="none"/>
              </w:rPr>
            </w:pPr>
          </w:p>
        </w:tc>
      </w:tr>
      <w:tr w14:paraId="410917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7" w:hRule="atLeast"/>
        </w:trPr>
        <w:tc>
          <w:tcPr>
            <w:tcW w:w="3668" w:type="dxa"/>
            <w:gridSpan w:val="3"/>
            <w:tcBorders>
              <w:top w:val="single" w:color="000000" w:sz="4" w:space="0"/>
              <w:left w:val="single" w:color="000000" w:sz="4" w:space="0"/>
              <w:bottom w:val="single" w:color="000000" w:sz="4" w:space="0"/>
              <w:right w:val="single" w:color="000000" w:sz="4" w:space="0"/>
            </w:tcBorders>
            <w:noWrap/>
            <w:vAlign w:val="center"/>
          </w:tcPr>
          <w:p w14:paraId="10A95325">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总分</w:t>
            </w:r>
          </w:p>
        </w:tc>
        <w:tc>
          <w:tcPr>
            <w:tcW w:w="5932" w:type="dxa"/>
            <w:gridSpan w:val="10"/>
            <w:tcBorders>
              <w:top w:val="single" w:color="000000" w:sz="4" w:space="0"/>
              <w:left w:val="single" w:color="000000" w:sz="4" w:space="0"/>
              <w:bottom w:val="single" w:color="000000" w:sz="4" w:space="0"/>
              <w:right w:val="single" w:color="000000" w:sz="4" w:space="0"/>
            </w:tcBorders>
            <w:noWrap/>
            <w:vAlign w:val="center"/>
          </w:tcPr>
          <w:p w14:paraId="3156FF91">
            <w:pPr>
              <w:jc w:val="center"/>
              <w:rPr>
                <w:rFonts w:hint="eastAsia" w:ascii="宋体" w:hAnsi="宋体" w:eastAsia="宋体" w:cs="宋体"/>
                <w:i w:val="0"/>
                <w:iCs w:val="0"/>
                <w:color w:val="000000"/>
                <w:sz w:val="12"/>
                <w:szCs w:val="12"/>
                <w:u w:val="none"/>
              </w:rPr>
            </w:pPr>
          </w:p>
        </w:tc>
      </w:tr>
      <w:tr w14:paraId="3E0E5D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72" w:hRule="atLeast"/>
        </w:trPr>
        <w:tc>
          <w:tcPr>
            <w:tcW w:w="1924" w:type="dxa"/>
            <w:gridSpan w:val="2"/>
            <w:tcBorders>
              <w:top w:val="single" w:color="000000" w:sz="4" w:space="0"/>
              <w:left w:val="single" w:color="000000" w:sz="4" w:space="0"/>
              <w:bottom w:val="single" w:color="000000" w:sz="4" w:space="0"/>
              <w:right w:val="single" w:color="000000" w:sz="4" w:space="0"/>
            </w:tcBorders>
            <w:noWrap/>
            <w:vAlign w:val="center"/>
          </w:tcPr>
          <w:p w14:paraId="5AE26F2B">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备注</w:t>
            </w:r>
          </w:p>
        </w:tc>
        <w:tc>
          <w:tcPr>
            <w:tcW w:w="7676" w:type="dxa"/>
            <w:gridSpan w:val="11"/>
            <w:tcBorders>
              <w:top w:val="single" w:color="000000" w:sz="4" w:space="0"/>
              <w:left w:val="single" w:color="000000" w:sz="4" w:space="0"/>
              <w:bottom w:val="single" w:color="000000" w:sz="4" w:space="0"/>
              <w:right w:val="single" w:color="000000" w:sz="4" w:space="0"/>
            </w:tcBorders>
            <w:noWrap w:val="0"/>
            <w:vAlign w:val="center"/>
          </w:tcPr>
          <w:p w14:paraId="50786965">
            <w:pPr>
              <w:keepNext w:val="0"/>
              <w:keepLines w:val="0"/>
              <w:widowControl/>
              <w:suppressLineNumbers w:val="0"/>
              <w:jc w:val="left"/>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1、评分达到90分以上者（含90分）视为合格，不扣罚。</w:t>
            </w:r>
            <w:r>
              <w:rPr>
                <w:rFonts w:hint="eastAsia" w:ascii="宋体" w:hAnsi="宋体" w:eastAsia="宋体" w:cs="宋体"/>
                <w:i w:val="0"/>
                <w:iCs w:val="0"/>
                <w:color w:val="000000"/>
                <w:kern w:val="0"/>
                <w:sz w:val="12"/>
                <w:szCs w:val="12"/>
                <w:u w:val="none"/>
                <w:lang w:val="en-US" w:eastAsia="zh-CN" w:bidi="ar"/>
              </w:rPr>
              <w:br w:type="textWrapping"/>
            </w:r>
            <w:r>
              <w:rPr>
                <w:rFonts w:hint="eastAsia" w:ascii="宋体" w:hAnsi="宋体" w:eastAsia="宋体" w:cs="宋体"/>
                <w:i w:val="0"/>
                <w:iCs w:val="0"/>
                <w:color w:val="000000"/>
                <w:kern w:val="0"/>
                <w:sz w:val="12"/>
                <w:szCs w:val="12"/>
                <w:u w:val="none"/>
                <w:lang w:val="en-US" w:eastAsia="zh-CN" w:bidi="ar"/>
              </w:rPr>
              <w:t>2、评分在90分以下者视为不合格，按照分值高低和累计次数扣罚。按分值具体扣罚办法如下:</w:t>
            </w:r>
            <w:r>
              <w:rPr>
                <w:rFonts w:hint="eastAsia" w:ascii="宋体" w:hAnsi="宋体" w:eastAsia="宋体" w:cs="宋体"/>
                <w:i w:val="0"/>
                <w:iCs w:val="0"/>
                <w:color w:val="000000"/>
                <w:kern w:val="0"/>
                <w:sz w:val="12"/>
                <w:szCs w:val="12"/>
                <w:u w:val="none"/>
                <w:lang w:val="en-US" w:eastAsia="zh-CN" w:bidi="ar"/>
              </w:rPr>
              <w:br w:type="textWrapping"/>
            </w:r>
            <w:r>
              <w:rPr>
                <w:rFonts w:hint="eastAsia" w:ascii="宋体" w:hAnsi="宋体" w:eastAsia="宋体" w:cs="宋体"/>
                <w:i w:val="0"/>
                <w:iCs w:val="0"/>
                <w:color w:val="000000"/>
                <w:kern w:val="0"/>
                <w:sz w:val="12"/>
                <w:szCs w:val="12"/>
                <w:u w:val="none"/>
                <w:lang w:val="en-US" w:eastAsia="zh-CN" w:bidi="ar"/>
              </w:rPr>
              <w:t>①80-89.9分时，按年累计次数计算，第一次扣月平均费用的2%；第二次扣月平均费用的5%；第三次扣月平均费用的8%；第四次扣月平均费用的10%；第五次除扣月平均费用的15%外，采购人有权单方面终止合同，并且不补偿、不赔偿中标人任何费用。</w:t>
            </w:r>
            <w:r>
              <w:rPr>
                <w:rFonts w:hint="eastAsia" w:ascii="宋体" w:hAnsi="宋体" w:eastAsia="宋体" w:cs="宋体"/>
                <w:i w:val="0"/>
                <w:iCs w:val="0"/>
                <w:color w:val="000000"/>
                <w:kern w:val="0"/>
                <w:sz w:val="12"/>
                <w:szCs w:val="12"/>
                <w:u w:val="none"/>
                <w:lang w:val="en-US" w:eastAsia="zh-CN" w:bidi="ar"/>
              </w:rPr>
              <w:br w:type="textWrapping"/>
            </w:r>
            <w:r>
              <w:rPr>
                <w:rFonts w:hint="eastAsia" w:ascii="宋体" w:hAnsi="宋体" w:eastAsia="宋体" w:cs="宋体"/>
                <w:i w:val="0"/>
                <w:iCs w:val="0"/>
                <w:color w:val="000000"/>
                <w:kern w:val="0"/>
                <w:sz w:val="12"/>
                <w:szCs w:val="12"/>
                <w:u w:val="none"/>
                <w:lang w:val="en-US" w:eastAsia="zh-CN" w:bidi="ar"/>
              </w:rPr>
              <w:t>②70-79.9分时，按年累计次数计算，第一次扣月平均费用的5%，第二次扣月平均费用的8%；第三次扣月平均费用的10%；第四次扣除月平均费用的15%外；采购人有权单方面终止合同，并且不补偿、不赔偿中标人任何费用。</w:t>
            </w:r>
            <w:r>
              <w:rPr>
                <w:rFonts w:hint="eastAsia" w:ascii="宋体" w:hAnsi="宋体" w:eastAsia="宋体" w:cs="宋体"/>
                <w:i w:val="0"/>
                <w:iCs w:val="0"/>
                <w:color w:val="000000"/>
                <w:kern w:val="0"/>
                <w:sz w:val="12"/>
                <w:szCs w:val="12"/>
                <w:u w:val="none"/>
                <w:lang w:val="en-US" w:eastAsia="zh-CN" w:bidi="ar"/>
              </w:rPr>
              <w:br w:type="textWrapping"/>
            </w:r>
            <w:r>
              <w:rPr>
                <w:rFonts w:hint="eastAsia" w:ascii="宋体" w:hAnsi="宋体" w:eastAsia="宋体" w:cs="宋体"/>
                <w:i w:val="0"/>
                <w:iCs w:val="0"/>
                <w:color w:val="000000"/>
                <w:kern w:val="0"/>
                <w:sz w:val="12"/>
                <w:szCs w:val="12"/>
                <w:u w:val="none"/>
                <w:lang w:val="en-US" w:eastAsia="zh-CN" w:bidi="ar"/>
              </w:rPr>
              <w:t>③60-69.9分时，按年累计次数计算，第一次扣月平均费用的10%；第二次扣月平均费用的15%；第三次除扣月平均费用的20%外，采购人有权单方面终止合同，并且不补偿、不赔偿中标人任何费用。</w:t>
            </w:r>
            <w:r>
              <w:rPr>
                <w:rFonts w:hint="eastAsia" w:ascii="宋体" w:hAnsi="宋体" w:eastAsia="宋体" w:cs="宋体"/>
                <w:i w:val="0"/>
                <w:iCs w:val="0"/>
                <w:color w:val="000000"/>
                <w:kern w:val="0"/>
                <w:sz w:val="12"/>
                <w:szCs w:val="12"/>
                <w:u w:val="none"/>
                <w:lang w:val="en-US" w:eastAsia="zh-CN" w:bidi="ar"/>
              </w:rPr>
              <w:br w:type="textWrapping"/>
            </w:r>
            <w:r>
              <w:rPr>
                <w:rFonts w:hint="eastAsia" w:ascii="宋体" w:hAnsi="宋体" w:eastAsia="宋体" w:cs="宋体"/>
                <w:i w:val="0"/>
                <w:iCs w:val="0"/>
                <w:color w:val="000000"/>
                <w:kern w:val="0"/>
                <w:sz w:val="12"/>
                <w:szCs w:val="12"/>
                <w:u w:val="none"/>
                <w:lang w:val="en-US" w:eastAsia="zh-CN" w:bidi="ar"/>
              </w:rPr>
              <w:t>④低于60分时，采购人有权单方面终止合同，并且不补偿、不赔偿中标人任何费用。</w:t>
            </w:r>
          </w:p>
        </w:tc>
      </w:tr>
      <w:tr w14:paraId="6C98C6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7" w:hRule="atLeast"/>
        </w:trPr>
        <w:tc>
          <w:tcPr>
            <w:tcW w:w="9600" w:type="dxa"/>
            <w:gridSpan w:val="13"/>
            <w:tcBorders>
              <w:top w:val="nil"/>
              <w:left w:val="nil"/>
              <w:bottom w:val="nil"/>
              <w:right w:val="nil"/>
            </w:tcBorders>
            <w:noWrap/>
            <w:vAlign w:val="center"/>
          </w:tcPr>
          <w:p w14:paraId="1B95D203">
            <w:pPr>
              <w:keepNext w:val="0"/>
              <w:keepLines w:val="0"/>
              <w:widowControl/>
              <w:suppressLineNumbers w:val="0"/>
              <w:jc w:val="left"/>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 xml:space="preserve">            考核人：                                 科室负责人：</w:t>
            </w:r>
          </w:p>
        </w:tc>
      </w:tr>
      <w:tr w14:paraId="785FDA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6" w:hRule="atLeast"/>
        </w:trPr>
        <w:tc>
          <w:tcPr>
            <w:tcW w:w="9600" w:type="dxa"/>
            <w:gridSpan w:val="13"/>
            <w:tcBorders>
              <w:top w:val="nil"/>
              <w:left w:val="nil"/>
              <w:bottom w:val="nil"/>
              <w:right w:val="nil"/>
            </w:tcBorders>
            <w:noWrap/>
            <w:vAlign w:val="center"/>
          </w:tcPr>
          <w:p w14:paraId="7B0AAF10">
            <w:pPr>
              <w:keepNext w:val="0"/>
              <w:keepLines w:val="0"/>
              <w:widowControl/>
              <w:suppressLineNumbers w:val="0"/>
              <w:jc w:val="left"/>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 xml:space="preserve">            分管副处长：                             处长：</w:t>
            </w:r>
          </w:p>
        </w:tc>
      </w:tr>
    </w:tbl>
    <w:p w14:paraId="59F4298B">
      <w:pPr>
        <w:spacing w:line="500" w:lineRule="exact"/>
        <w:jc w:val="center"/>
        <w:outlineLvl w:val="0"/>
        <w:rPr>
          <w:rFonts w:hint="eastAsia" w:ascii="黑体" w:hAnsi="黑体" w:eastAsia="黑体" w:cs="黑体"/>
          <w:color w:val="auto"/>
          <w:sz w:val="32"/>
          <w:szCs w:val="32"/>
        </w:rPr>
      </w:pPr>
    </w:p>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p w14:paraId="1B0674F8">
      <w:pPr>
        <w:spacing w:line="500" w:lineRule="exact"/>
        <w:jc w:val="center"/>
        <w:outlineLvl w:val="0"/>
        <w:rPr>
          <w:rFonts w:hint="eastAsia" w:ascii="黑体" w:hAnsi="黑体" w:eastAsia="黑体" w:cs="黑体"/>
          <w:color w:val="auto"/>
          <w:sz w:val="32"/>
          <w:szCs w:val="32"/>
        </w:rPr>
      </w:pPr>
    </w:p>
    <w:p w14:paraId="2C55D10F">
      <w:pPr>
        <w:spacing w:line="500" w:lineRule="exact"/>
        <w:jc w:val="center"/>
        <w:outlineLvl w:val="0"/>
        <w:rPr>
          <w:rFonts w:ascii="黑体" w:hAnsi="黑体" w:eastAsia="黑体" w:cs="Times New Roman"/>
          <w:color w:val="auto"/>
          <w:sz w:val="32"/>
          <w:szCs w:val="32"/>
        </w:rPr>
      </w:pPr>
      <w:r>
        <w:rPr>
          <w:rFonts w:hint="eastAsia" w:ascii="黑体" w:hAnsi="黑体" w:eastAsia="黑体" w:cs="黑体"/>
          <w:color w:val="auto"/>
          <w:sz w:val="32"/>
          <w:szCs w:val="32"/>
        </w:rPr>
        <w:t>第六章  投标文件构成及格式</w:t>
      </w:r>
    </w:p>
    <w:p w14:paraId="27BF1057">
      <w:pPr>
        <w:rPr>
          <w:rFonts w:cs="Times New Roman"/>
          <w:color w:val="auto"/>
        </w:rPr>
      </w:pPr>
    </w:p>
    <w:tbl>
      <w:tblPr>
        <w:tblStyle w:val="29"/>
        <w:tblW w:w="81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90"/>
      </w:tblGrid>
      <w:tr w14:paraId="1B147F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jc w:val="center"/>
        </w:trPr>
        <w:tc>
          <w:tcPr>
            <w:tcW w:w="8190" w:type="dxa"/>
            <w:noWrap/>
            <w:vAlign w:val="top"/>
          </w:tcPr>
          <w:p w14:paraId="00514AF8">
            <w:pPr>
              <w:spacing w:before="120"/>
              <w:rPr>
                <w:rFonts w:ascii="仿宋" w:hAnsi="仿宋" w:eastAsia="仿宋" w:cs="仿宋"/>
                <w:color w:val="auto"/>
                <w:sz w:val="24"/>
                <w:szCs w:val="24"/>
              </w:rPr>
            </w:pPr>
            <w:r>
              <w:rPr>
                <w:rFonts w:hint="eastAsia" w:ascii="仿宋" w:hAnsi="仿宋" w:eastAsia="仿宋" w:cs="仿宋"/>
                <w:color w:val="auto"/>
                <w:sz w:val="24"/>
                <w:szCs w:val="24"/>
              </w:rPr>
              <w:t>注释：</w:t>
            </w:r>
          </w:p>
          <w:p w14:paraId="2124AC20">
            <w:pPr>
              <w:spacing w:before="120" w:line="420" w:lineRule="exact"/>
              <w:ind w:firstLine="486" w:firstLineChars="200"/>
              <w:jc w:val="left"/>
              <w:rPr>
                <w:rFonts w:ascii="仿宋" w:hAnsi="仿宋" w:eastAsia="仿宋" w:cs="Times New Roman"/>
                <w:color w:val="auto"/>
                <w:sz w:val="24"/>
                <w:szCs w:val="24"/>
              </w:rPr>
            </w:pPr>
            <w:r>
              <w:rPr>
                <w:rFonts w:ascii="仿宋" w:hAnsi="仿宋" w:eastAsia="仿宋" w:cs="仿宋"/>
                <w:color w:val="auto"/>
                <w:sz w:val="24"/>
                <w:szCs w:val="24"/>
              </w:rPr>
              <w:t>1</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rPr>
              <w:t>本章分为三部分，是为方便投标人制作投标文件设计。第一、二部分应按要求或给定格式选择填报。</w:t>
            </w:r>
          </w:p>
          <w:p w14:paraId="4B7CDF4B">
            <w:pPr>
              <w:spacing w:before="120" w:line="420" w:lineRule="exact"/>
              <w:ind w:firstLine="486" w:firstLineChars="200"/>
              <w:jc w:val="left"/>
              <w:rPr>
                <w:rFonts w:ascii="仿宋" w:hAnsi="仿宋" w:eastAsia="仿宋" w:cs="Times New Roman"/>
                <w:color w:val="auto"/>
                <w:sz w:val="24"/>
                <w:szCs w:val="24"/>
              </w:rPr>
            </w:pPr>
            <w:r>
              <w:rPr>
                <w:rFonts w:ascii="仿宋" w:hAnsi="仿宋" w:eastAsia="仿宋" w:cs="仿宋"/>
                <w:color w:val="auto"/>
                <w:sz w:val="24"/>
                <w:szCs w:val="24"/>
              </w:rPr>
              <w:t>2</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rPr>
              <w:t>第三部分投标方案格式仅供参考，投标人应根据项目特点，结合本次招标要求，对有关表格进行补充或修改，但不得对实质性文件的相关条款作出变动。</w:t>
            </w:r>
          </w:p>
        </w:tc>
      </w:tr>
    </w:tbl>
    <w:p w14:paraId="5AB1E993">
      <w:pPr>
        <w:pStyle w:val="60"/>
        <w:spacing w:line="240" w:lineRule="auto"/>
        <w:ind w:firstLine="0" w:firstLineChars="0"/>
        <w:rPr>
          <w:rFonts w:ascii="黑体" w:hAnsi="黑体" w:eastAsia="黑体" w:cs="Times New Roman"/>
          <w:color w:val="auto"/>
        </w:rPr>
      </w:pPr>
    </w:p>
    <w:p w14:paraId="2719380E">
      <w:pPr>
        <w:pStyle w:val="60"/>
        <w:spacing w:line="240" w:lineRule="auto"/>
        <w:ind w:firstLine="0" w:firstLineChars="0"/>
        <w:rPr>
          <w:rFonts w:ascii="黑体" w:hAnsi="黑体" w:eastAsia="黑体" w:cs="Times New Roman"/>
          <w:color w:val="auto"/>
        </w:rPr>
      </w:pPr>
    </w:p>
    <w:p w14:paraId="26BA1C46">
      <w:pPr>
        <w:pStyle w:val="60"/>
        <w:spacing w:line="240" w:lineRule="auto"/>
        <w:ind w:firstLine="0" w:firstLineChars="0"/>
        <w:rPr>
          <w:rFonts w:ascii="黑体" w:hAnsi="黑体" w:eastAsia="黑体" w:cs="Times New Roman"/>
          <w:color w:val="auto"/>
        </w:rPr>
      </w:pPr>
    </w:p>
    <w:p w14:paraId="17936A29">
      <w:pPr>
        <w:pStyle w:val="60"/>
        <w:spacing w:line="240" w:lineRule="auto"/>
        <w:ind w:firstLine="0" w:firstLineChars="0"/>
        <w:rPr>
          <w:rFonts w:ascii="黑体" w:hAnsi="黑体" w:eastAsia="黑体" w:cs="Times New Roman"/>
          <w:color w:val="auto"/>
        </w:rPr>
      </w:pPr>
    </w:p>
    <w:p w14:paraId="3347C4A6">
      <w:pPr>
        <w:pStyle w:val="60"/>
        <w:spacing w:line="240" w:lineRule="auto"/>
        <w:ind w:firstLine="0" w:firstLineChars="0"/>
        <w:rPr>
          <w:rFonts w:ascii="黑体" w:hAnsi="黑体" w:eastAsia="黑体" w:cs="Times New Roman"/>
          <w:color w:val="auto"/>
        </w:rPr>
      </w:pPr>
    </w:p>
    <w:p w14:paraId="68B0F142">
      <w:pPr>
        <w:pStyle w:val="60"/>
        <w:spacing w:line="240" w:lineRule="auto"/>
        <w:ind w:firstLine="0" w:firstLineChars="0"/>
        <w:rPr>
          <w:rFonts w:ascii="黑体" w:hAnsi="黑体" w:eastAsia="黑体" w:cs="Times New Roman"/>
          <w:color w:val="auto"/>
        </w:rPr>
      </w:pPr>
    </w:p>
    <w:p w14:paraId="19233AC0">
      <w:pPr>
        <w:pStyle w:val="60"/>
        <w:spacing w:line="240" w:lineRule="auto"/>
        <w:ind w:firstLine="0" w:firstLineChars="0"/>
        <w:rPr>
          <w:rFonts w:ascii="黑体" w:hAnsi="黑体" w:eastAsia="黑体" w:cs="Times New Roman"/>
          <w:color w:val="auto"/>
        </w:rPr>
      </w:pPr>
    </w:p>
    <w:p w14:paraId="3F641AB0">
      <w:pPr>
        <w:pStyle w:val="60"/>
        <w:spacing w:line="240" w:lineRule="auto"/>
        <w:ind w:firstLine="0" w:firstLineChars="0"/>
        <w:rPr>
          <w:rFonts w:ascii="黑体" w:hAnsi="黑体" w:eastAsia="黑体" w:cs="Times New Roman"/>
          <w:color w:val="auto"/>
        </w:rPr>
      </w:pPr>
    </w:p>
    <w:p w14:paraId="6983C6D7">
      <w:pPr>
        <w:pStyle w:val="60"/>
        <w:spacing w:line="240" w:lineRule="auto"/>
        <w:ind w:firstLine="0" w:firstLineChars="0"/>
        <w:rPr>
          <w:rFonts w:ascii="黑体" w:hAnsi="黑体" w:eastAsia="黑体" w:cs="Times New Roman"/>
          <w:color w:val="auto"/>
        </w:rPr>
      </w:pPr>
    </w:p>
    <w:p w14:paraId="3826A27B">
      <w:pPr>
        <w:pStyle w:val="60"/>
        <w:spacing w:line="240" w:lineRule="auto"/>
        <w:ind w:firstLine="0" w:firstLineChars="0"/>
        <w:rPr>
          <w:rFonts w:ascii="黑体" w:hAnsi="黑体" w:eastAsia="黑体" w:cs="Times New Roman"/>
          <w:color w:val="auto"/>
        </w:rPr>
      </w:pPr>
    </w:p>
    <w:p w14:paraId="4E3269CB">
      <w:pPr>
        <w:pStyle w:val="60"/>
        <w:spacing w:line="240" w:lineRule="auto"/>
        <w:ind w:firstLine="0" w:firstLineChars="0"/>
        <w:rPr>
          <w:rFonts w:ascii="黑体" w:hAnsi="黑体" w:eastAsia="黑体" w:cs="Times New Roman"/>
          <w:color w:val="auto"/>
        </w:rPr>
      </w:pPr>
    </w:p>
    <w:p w14:paraId="188DF9E0">
      <w:pPr>
        <w:pStyle w:val="60"/>
        <w:spacing w:line="240" w:lineRule="auto"/>
        <w:ind w:firstLine="0" w:firstLineChars="0"/>
        <w:rPr>
          <w:rFonts w:ascii="黑体" w:hAnsi="黑体" w:eastAsia="黑体" w:cs="Times New Roman"/>
          <w:color w:val="auto"/>
        </w:rPr>
      </w:pPr>
    </w:p>
    <w:p w14:paraId="6943BDE7">
      <w:pPr>
        <w:pStyle w:val="60"/>
        <w:spacing w:line="240" w:lineRule="auto"/>
        <w:ind w:firstLine="0" w:firstLineChars="0"/>
        <w:rPr>
          <w:rFonts w:ascii="黑体" w:hAnsi="黑体" w:eastAsia="黑体" w:cs="Times New Roman"/>
          <w:color w:val="auto"/>
        </w:rPr>
      </w:pPr>
    </w:p>
    <w:p w14:paraId="7423DF7C">
      <w:pPr>
        <w:pStyle w:val="60"/>
        <w:spacing w:line="240" w:lineRule="auto"/>
        <w:ind w:firstLine="0" w:firstLineChars="0"/>
        <w:rPr>
          <w:rFonts w:ascii="黑体" w:hAnsi="黑体" w:eastAsia="黑体" w:cs="Times New Roman"/>
          <w:color w:val="auto"/>
        </w:rPr>
      </w:pPr>
    </w:p>
    <w:p w14:paraId="6D0CFE3F">
      <w:pPr>
        <w:pStyle w:val="60"/>
        <w:spacing w:line="240" w:lineRule="auto"/>
        <w:ind w:firstLine="0" w:firstLineChars="0"/>
        <w:rPr>
          <w:rFonts w:ascii="黑体" w:hAnsi="黑体" w:eastAsia="黑体" w:cs="Times New Roman"/>
          <w:color w:val="auto"/>
        </w:rPr>
      </w:pPr>
    </w:p>
    <w:p w14:paraId="27B4B4A3">
      <w:pPr>
        <w:pStyle w:val="60"/>
        <w:spacing w:line="240" w:lineRule="auto"/>
        <w:ind w:firstLine="0" w:firstLineChars="0"/>
        <w:rPr>
          <w:rFonts w:ascii="黑体" w:hAnsi="黑体" w:eastAsia="黑体" w:cs="Times New Roman"/>
          <w:color w:val="auto"/>
        </w:rPr>
      </w:pPr>
    </w:p>
    <w:p w14:paraId="0FB9F353">
      <w:pPr>
        <w:pStyle w:val="60"/>
        <w:spacing w:line="240" w:lineRule="auto"/>
        <w:ind w:firstLine="0" w:firstLineChars="0"/>
        <w:rPr>
          <w:rFonts w:ascii="黑体" w:hAnsi="黑体" w:eastAsia="黑体" w:cs="Times New Roman"/>
          <w:color w:val="auto"/>
        </w:rPr>
      </w:pPr>
    </w:p>
    <w:p w14:paraId="5DDE85D9">
      <w:pPr>
        <w:pStyle w:val="60"/>
        <w:spacing w:line="240" w:lineRule="auto"/>
        <w:ind w:firstLine="0" w:firstLineChars="0"/>
        <w:rPr>
          <w:rFonts w:ascii="黑体" w:hAnsi="黑体" w:eastAsia="黑体" w:cs="Times New Roman"/>
          <w:color w:val="auto"/>
        </w:rPr>
      </w:pPr>
    </w:p>
    <w:p w14:paraId="7CE69C20">
      <w:pPr>
        <w:pStyle w:val="60"/>
        <w:spacing w:line="240" w:lineRule="auto"/>
        <w:ind w:firstLine="0" w:firstLineChars="0"/>
        <w:rPr>
          <w:rFonts w:ascii="黑体" w:hAnsi="黑体" w:eastAsia="黑体" w:cs="Times New Roman"/>
          <w:color w:val="auto"/>
        </w:rPr>
      </w:pPr>
    </w:p>
    <w:p w14:paraId="07A8D975">
      <w:pPr>
        <w:pStyle w:val="60"/>
        <w:spacing w:line="240" w:lineRule="auto"/>
        <w:ind w:firstLine="0" w:firstLineChars="0"/>
        <w:rPr>
          <w:rFonts w:ascii="黑体" w:hAnsi="黑体" w:eastAsia="黑体" w:cs="Times New Roman"/>
          <w:color w:val="auto"/>
        </w:rPr>
      </w:pPr>
    </w:p>
    <w:p w14:paraId="401CAAB4">
      <w:pPr>
        <w:pStyle w:val="60"/>
        <w:spacing w:line="240" w:lineRule="auto"/>
        <w:ind w:firstLine="0" w:firstLineChars="0"/>
        <w:rPr>
          <w:rFonts w:ascii="黑体" w:hAnsi="黑体" w:eastAsia="黑体" w:cs="Times New Roman"/>
          <w:color w:val="auto"/>
        </w:rPr>
      </w:pPr>
    </w:p>
    <w:p w14:paraId="0759F70E">
      <w:pPr>
        <w:pStyle w:val="60"/>
        <w:spacing w:line="240" w:lineRule="auto"/>
        <w:ind w:firstLine="0" w:firstLineChars="0"/>
        <w:rPr>
          <w:rFonts w:ascii="黑体" w:hAnsi="黑体" w:eastAsia="黑体" w:cs="Times New Roman"/>
          <w:color w:val="auto"/>
        </w:rPr>
      </w:pPr>
    </w:p>
    <w:p w14:paraId="584F9A47">
      <w:pPr>
        <w:pStyle w:val="60"/>
        <w:spacing w:line="240" w:lineRule="auto"/>
        <w:ind w:firstLine="0" w:firstLineChars="0"/>
        <w:rPr>
          <w:rFonts w:ascii="黑体" w:hAnsi="黑体" w:eastAsia="黑体" w:cs="Times New Roman"/>
          <w:color w:val="auto"/>
        </w:rPr>
      </w:pPr>
    </w:p>
    <w:p w14:paraId="7E397671">
      <w:pPr>
        <w:pStyle w:val="60"/>
        <w:spacing w:line="240" w:lineRule="auto"/>
        <w:ind w:firstLine="0" w:firstLineChars="0"/>
        <w:rPr>
          <w:rFonts w:ascii="黑体" w:hAnsi="黑体" w:eastAsia="黑体" w:cs="Times New Roman"/>
          <w:color w:val="auto"/>
        </w:rPr>
      </w:pPr>
    </w:p>
    <w:p w14:paraId="7BC7A8EF">
      <w:pPr>
        <w:pStyle w:val="60"/>
        <w:spacing w:line="240" w:lineRule="auto"/>
        <w:ind w:firstLine="0" w:firstLineChars="0"/>
        <w:rPr>
          <w:rFonts w:hint="eastAsia" w:ascii="黑体" w:hAnsi="黑体" w:eastAsia="黑体" w:cs="黑体"/>
          <w:color w:val="auto"/>
        </w:rPr>
      </w:pPr>
    </w:p>
    <w:p w14:paraId="53DD52E0">
      <w:pPr>
        <w:pStyle w:val="60"/>
        <w:spacing w:line="240" w:lineRule="auto"/>
        <w:ind w:firstLine="0" w:firstLineChars="0"/>
        <w:rPr>
          <w:rFonts w:hint="eastAsia" w:ascii="黑体" w:hAnsi="黑体" w:eastAsia="黑体" w:cs="黑体"/>
          <w:color w:val="auto"/>
        </w:rPr>
      </w:pPr>
    </w:p>
    <w:p w14:paraId="6FE31978">
      <w:pPr>
        <w:pStyle w:val="60"/>
        <w:spacing w:line="240" w:lineRule="auto"/>
        <w:ind w:firstLine="0" w:firstLineChars="0"/>
        <w:rPr>
          <w:rFonts w:ascii="黑体" w:hAnsi="黑体" w:eastAsia="黑体" w:cs="Times New Roman"/>
          <w:color w:val="auto"/>
        </w:rPr>
      </w:pPr>
      <w:r>
        <w:rPr>
          <w:rFonts w:hint="eastAsia" w:ascii="黑体" w:hAnsi="黑体" w:eastAsia="黑体" w:cs="黑体"/>
          <w:color w:val="auto"/>
        </w:rPr>
        <w:t>封面格式</w:t>
      </w:r>
    </w:p>
    <w:p w14:paraId="46A4C18A">
      <w:pPr>
        <w:pStyle w:val="60"/>
        <w:spacing w:line="240" w:lineRule="auto"/>
        <w:ind w:firstLine="253" w:firstLineChars="70"/>
        <w:jc w:val="center"/>
        <w:rPr>
          <w:rFonts w:cs="Times New Roman"/>
          <w:color w:val="auto"/>
          <w:sz w:val="36"/>
          <w:szCs w:val="36"/>
        </w:rPr>
      </w:pPr>
    </w:p>
    <w:p w14:paraId="7CF81D92">
      <w:pPr>
        <w:spacing w:line="240" w:lineRule="auto"/>
        <w:jc w:val="center"/>
        <w:rPr>
          <w:rFonts w:cs="Times New Roman"/>
          <w:color w:val="auto"/>
          <w:sz w:val="52"/>
          <w:szCs w:val="52"/>
        </w:rPr>
      </w:pPr>
      <w:r>
        <w:rPr>
          <w:rFonts w:hint="eastAsia" w:ascii="华文中宋" w:hAnsi="华文中宋" w:eastAsia="华文中宋" w:cs="华文中宋"/>
          <w:color w:val="auto"/>
          <w:sz w:val="52"/>
          <w:szCs w:val="52"/>
        </w:rPr>
        <w:t>陕西省</w:t>
      </w:r>
      <w:r>
        <w:rPr>
          <w:rFonts w:hint="eastAsia" w:ascii="华文中宋" w:hAnsi="华文中宋" w:eastAsia="华文中宋" w:cs="华文中宋"/>
          <w:color w:val="auto"/>
          <w:sz w:val="52"/>
          <w:szCs w:val="52"/>
          <w:lang w:val="en-US" w:eastAsia="zh-CN"/>
        </w:rPr>
        <w:t>延安市</w:t>
      </w:r>
      <w:r>
        <w:rPr>
          <w:rFonts w:hint="eastAsia" w:ascii="华文中宋" w:hAnsi="华文中宋" w:eastAsia="华文中宋" w:cs="华文中宋"/>
          <w:color w:val="auto"/>
          <w:sz w:val="52"/>
          <w:szCs w:val="52"/>
        </w:rPr>
        <w:t>政府采购服务项目</w:t>
      </w:r>
    </w:p>
    <w:p w14:paraId="06EC823A">
      <w:pPr>
        <w:spacing w:line="500" w:lineRule="exact"/>
        <w:ind w:right="11"/>
        <w:rPr>
          <w:rFonts w:cs="Times New Roman"/>
          <w:color w:val="auto"/>
          <w:u w:val="single"/>
        </w:rPr>
      </w:pPr>
    </w:p>
    <w:p w14:paraId="51AB1F56">
      <w:pPr>
        <w:pStyle w:val="60"/>
        <w:spacing w:line="240" w:lineRule="auto"/>
        <w:ind w:firstLine="0" w:firstLineChars="0"/>
        <w:jc w:val="center"/>
        <w:rPr>
          <w:rFonts w:ascii="华文中宋" w:hAnsi="华文中宋" w:eastAsia="华文中宋" w:cs="Times New Roman"/>
          <w:color w:val="auto"/>
          <w:sz w:val="96"/>
          <w:szCs w:val="96"/>
        </w:rPr>
      </w:pPr>
      <w:r>
        <w:rPr>
          <w:rFonts w:hint="eastAsia" w:ascii="华文中宋" w:hAnsi="华文中宋" w:eastAsia="华文中宋" w:cs="华文中宋"/>
          <w:color w:val="auto"/>
          <w:spacing w:val="323"/>
          <w:kern w:val="0"/>
          <w:sz w:val="96"/>
          <w:szCs w:val="96"/>
        </w:rPr>
        <w:t>投标文</w:t>
      </w:r>
      <w:r>
        <w:rPr>
          <w:rFonts w:hint="eastAsia" w:ascii="华文中宋" w:hAnsi="华文中宋" w:eastAsia="华文中宋" w:cs="华文中宋"/>
          <w:color w:val="auto"/>
          <w:kern w:val="0"/>
          <w:sz w:val="96"/>
          <w:szCs w:val="96"/>
        </w:rPr>
        <w:t>件</w:t>
      </w:r>
    </w:p>
    <w:p w14:paraId="71391C36">
      <w:pPr>
        <w:pStyle w:val="60"/>
        <w:spacing w:line="240" w:lineRule="auto"/>
        <w:ind w:firstLine="0" w:firstLineChars="0"/>
        <w:jc w:val="center"/>
        <w:rPr>
          <w:rFonts w:cs="Times New Roman"/>
          <w:color w:val="auto"/>
          <w:sz w:val="36"/>
          <w:szCs w:val="36"/>
        </w:rPr>
      </w:pPr>
    </w:p>
    <w:p w14:paraId="0E0655FC">
      <w:pPr>
        <w:pStyle w:val="60"/>
        <w:spacing w:line="240" w:lineRule="auto"/>
        <w:ind w:firstLine="0" w:firstLineChars="0"/>
        <w:jc w:val="center"/>
        <w:rPr>
          <w:rFonts w:cs="Times New Roman"/>
          <w:color w:val="auto"/>
          <w:sz w:val="36"/>
          <w:szCs w:val="36"/>
        </w:rPr>
      </w:pPr>
    </w:p>
    <w:p w14:paraId="75550B22">
      <w:pPr>
        <w:pStyle w:val="60"/>
        <w:spacing w:line="240" w:lineRule="auto"/>
        <w:ind w:firstLine="0" w:firstLineChars="0"/>
        <w:jc w:val="center"/>
        <w:rPr>
          <w:rFonts w:cs="Times New Roman"/>
          <w:color w:val="auto"/>
          <w:sz w:val="36"/>
          <w:szCs w:val="36"/>
        </w:rPr>
      </w:pPr>
    </w:p>
    <w:p w14:paraId="38B9153D">
      <w:pPr>
        <w:pStyle w:val="60"/>
        <w:spacing w:line="240" w:lineRule="auto"/>
        <w:ind w:firstLine="0" w:firstLineChars="0"/>
        <w:jc w:val="center"/>
        <w:rPr>
          <w:rFonts w:cs="Times New Roman"/>
          <w:color w:val="auto"/>
          <w:sz w:val="36"/>
          <w:szCs w:val="36"/>
        </w:rPr>
      </w:pPr>
    </w:p>
    <w:p w14:paraId="3B42157E">
      <w:pPr>
        <w:pStyle w:val="60"/>
        <w:spacing w:line="240" w:lineRule="auto"/>
        <w:ind w:firstLine="0" w:firstLineChars="0"/>
        <w:jc w:val="both"/>
        <w:rPr>
          <w:rFonts w:cs="Times New Roman"/>
          <w:color w:val="auto"/>
          <w:sz w:val="36"/>
          <w:szCs w:val="36"/>
        </w:rPr>
      </w:pPr>
    </w:p>
    <w:p w14:paraId="6271F538">
      <w:pPr>
        <w:pStyle w:val="60"/>
        <w:spacing w:line="240" w:lineRule="auto"/>
        <w:ind w:firstLine="1452" w:firstLineChars="400"/>
        <w:jc w:val="left"/>
        <w:rPr>
          <w:rFonts w:ascii="仿宋" w:hAnsi="仿宋" w:eastAsia="仿宋" w:cs="仿宋"/>
          <w:color w:val="auto"/>
          <w:sz w:val="36"/>
          <w:szCs w:val="36"/>
          <w:u w:val="single"/>
        </w:rPr>
      </w:pPr>
      <w:r>
        <w:rPr>
          <w:rFonts w:hint="eastAsia" w:ascii="仿宋" w:hAnsi="仿宋" w:eastAsia="仿宋" w:cs="仿宋"/>
          <w:color w:val="auto"/>
          <w:sz w:val="36"/>
          <w:szCs w:val="36"/>
        </w:rPr>
        <w:t>项目名称：</w:t>
      </w:r>
      <w:r>
        <w:rPr>
          <w:rFonts w:ascii="仿宋" w:hAnsi="仿宋" w:eastAsia="仿宋" w:cs="仿宋"/>
          <w:color w:val="auto"/>
          <w:sz w:val="36"/>
          <w:szCs w:val="36"/>
          <w:u w:val="single"/>
        </w:rPr>
        <w:t xml:space="preserve">              </w:t>
      </w:r>
    </w:p>
    <w:p w14:paraId="4C1CD745">
      <w:pPr>
        <w:pStyle w:val="60"/>
        <w:spacing w:line="240" w:lineRule="auto"/>
        <w:ind w:firstLine="1452" w:firstLineChars="400"/>
        <w:jc w:val="left"/>
        <w:rPr>
          <w:rFonts w:hint="default" w:ascii="仿宋" w:hAnsi="仿宋" w:eastAsia="仿宋" w:cs="仿宋"/>
          <w:color w:val="auto"/>
          <w:sz w:val="36"/>
          <w:szCs w:val="36"/>
          <w:u w:val="single"/>
          <w:lang w:val="en-US" w:eastAsia="zh-CN"/>
        </w:rPr>
      </w:pPr>
      <w:r>
        <w:rPr>
          <w:rFonts w:hint="eastAsia" w:ascii="仿宋" w:hAnsi="仿宋" w:eastAsia="仿宋" w:cs="仿宋"/>
          <w:color w:val="auto"/>
          <w:sz w:val="36"/>
          <w:szCs w:val="36"/>
          <w:u w:val="none"/>
          <w:lang w:val="en-US" w:eastAsia="zh-CN"/>
        </w:rPr>
        <w:t>标段名称：</w:t>
      </w:r>
      <w:r>
        <w:rPr>
          <w:rFonts w:hint="eastAsia" w:ascii="仿宋" w:hAnsi="仿宋" w:eastAsia="仿宋" w:cs="仿宋"/>
          <w:color w:val="auto"/>
          <w:sz w:val="36"/>
          <w:szCs w:val="36"/>
          <w:u w:val="single"/>
          <w:lang w:val="en-US" w:eastAsia="zh-CN"/>
        </w:rPr>
        <w:t xml:space="preserve">              </w:t>
      </w:r>
    </w:p>
    <w:p w14:paraId="64BFEC8B">
      <w:pPr>
        <w:pStyle w:val="60"/>
        <w:spacing w:line="240" w:lineRule="auto"/>
        <w:ind w:firstLine="1452" w:firstLineChars="400"/>
        <w:rPr>
          <w:rFonts w:ascii="仿宋" w:hAnsi="仿宋" w:eastAsia="仿宋" w:cs="仿宋"/>
          <w:color w:val="auto"/>
          <w:sz w:val="36"/>
          <w:szCs w:val="36"/>
          <w:u w:val="single"/>
        </w:rPr>
      </w:pPr>
      <w:r>
        <w:rPr>
          <w:rFonts w:hint="eastAsia" w:ascii="仿宋" w:hAnsi="仿宋" w:eastAsia="仿宋" w:cs="仿宋"/>
          <w:color w:val="auto"/>
          <w:sz w:val="36"/>
          <w:szCs w:val="36"/>
        </w:rPr>
        <w:t>项目编号：</w:t>
      </w:r>
      <w:r>
        <w:rPr>
          <w:rFonts w:ascii="仿宋" w:hAnsi="仿宋" w:eastAsia="仿宋" w:cs="仿宋"/>
          <w:color w:val="auto"/>
          <w:sz w:val="36"/>
          <w:szCs w:val="36"/>
          <w:u w:val="single"/>
        </w:rPr>
        <w:t xml:space="preserve">              </w:t>
      </w:r>
    </w:p>
    <w:p w14:paraId="39494E45">
      <w:pPr>
        <w:pStyle w:val="60"/>
        <w:spacing w:line="240" w:lineRule="auto"/>
        <w:ind w:firstLine="1452" w:firstLineChars="400"/>
        <w:rPr>
          <w:rFonts w:ascii="仿宋" w:hAnsi="仿宋" w:eastAsia="仿宋" w:cs="仿宋"/>
          <w:color w:val="auto"/>
          <w:sz w:val="36"/>
          <w:szCs w:val="36"/>
        </w:rPr>
      </w:pPr>
      <w:r>
        <w:rPr>
          <w:rFonts w:hint="eastAsia" w:ascii="仿宋" w:hAnsi="仿宋" w:eastAsia="仿宋" w:cs="仿宋"/>
          <w:color w:val="auto"/>
          <w:sz w:val="36"/>
          <w:szCs w:val="36"/>
        </w:rPr>
        <w:t>供</w:t>
      </w:r>
      <w:r>
        <w:rPr>
          <w:rFonts w:ascii="仿宋" w:hAnsi="仿宋" w:eastAsia="仿宋" w:cs="仿宋"/>
          <w:color w:val="auto"/>
          <w:sz w:val="36"/>
          <w:szCs w:val="36"/>
        </w:rPr>
        <w:t xml:space="preserve"> </w:t>
      </w:r>
      <w:r>
        <w:rPr>
          <w:rFonts w:hint="eastAsia" w:ascii="仿宋" w:hAnsi="仿宋" w:eastAsia="仿宋" w:cs="仿宋"/>
          <w:color w:val="auto"/>
          <w:sz w:val="36"/>
          <w:szCs w:val="36"/>
        </w:rPr>
        <w:t>应</w:t>
      </w:r>
      <w:r>
        <w:rPr>
          <w:rFonts w:ascii="仿宋" w:hAnsi="仿宋" w:eastAsia="仿宋" w:cs="仿宋"/>
          <w:color w:val="auto"/>
          <w:sz w:val="36"/>
          <w:szCs w:val="36"/>
        </w:rPr>
        <w:t xml:space="preserve"> </w:t>
      </w:r>
      <w:r>
        <w:rPr>
          <w:rFonts w:hint="eastAsia" w:ascii="仿宋" w:hAnsi="仿宋" w:eastAsia="仿宋" w:cs="仿宋"/>
          <w:color w:val="auto"/>
          <w:sz w:val="36"/>
          <w:szCs w:val="36"/>
        </w:rPr>
        <w:t>商：</w:t>
      </w:r>
      <w:r>
        <w:rPr>
          <w:rFonts w:ascii="仿宋" w:hAnsi="仿宋" w:eastAsia="仿宋" w:cs="仿宋"/>
          <w:color w:val="auto"/>
          <w:sz w:val="36"/>
          <w:szCs w:val="36"/>
          <w:u w:val="single"/>
        </w:rPr>
        <w:t xml:space="preserve">              </w:t>
      </w:r>
      <w:r>
        <w:rPr>
          <w:rFonts w:hint="eastAsia" w:ascii="仿宋" w:hAnsi="仿宋" w:eastAsia="仿宋" w:cs="仿宋"/>
          <w:color w:val="auto"/>
          <w:sz w:val="36"/>
          <w:szCs w:val="36"/>
        </w:rPr>
        <w:t>（公章）</w:t>
      </w:r>
    </w:p>
    <w:p w14:paraId="7712BAA2">
      <w:pPr>
        <w:pStyle w:val="60"/>
        <w:spacing w:line="240" w:lineRule="auto"/>
        <w:ind w:firstLine="1452" w:firstLineChars="400"/>
        <w:rPr>
          <w:rFonts w:ascii="仿宋" w:hAnsi="仿宋" w:eastAsia="仿宋" w:cs="仿宋"/>
          <w:color w:val="auto"/>
          <w:sz w:val="36"/>
          <w:szCs w:val="36"/>
          <w:u w:val="single"/>
        </w:rPr>
      </w:pPr>
      <w:r>
        <w:rPr>
          <w:rFonts w:hint="eastAsia" w:ascii="仿宋" w:hAnsi="仿宋" w:eastAsia="仿宋" w:cs="仿宋"/>
          <w:color w:val="auto"/>
          <w:sz w:val="36"/>
          <w:szCs w:val="36"/>
        </w:rPr>
        <w:t>时　</w:t>
      </w:r>
      <w:r>
        <w:rPr>
          <w:rFonts w:ascii="仿宋" w:hAnsi="仿宋" w:eastAsia="仿宋" w:cs="仿宋"/>
          <w:color w:val="auto"/>
          <w:sz w:val="36"/>
          <w:szCs w:val="36"/>
        </w:rPr>
        <w:t xml:space="preserve">  </w:t>
      </w:r>
      <w:r>
        <w:rPr>
          <w:rFonts w:hint="eastAsia" w:ascii="仿宋" w:hAnsi="仿宋" w:eastAsia="仿宋" w:cs="仿宋"/>
          <w:color w:val="auto"/>
          <w:sz w:val="36"/>
          <w:szCs w:val="36"/>
        </w:rPr>
        <w:t>间：</w:t>
      </w:r>
      <w:r>
        <w:rPr>
          <w:rFonts w:ascii="仿宋" w:hAnsi="仿宋" w:eastAsia="仿宋" w:cs="仿宋"/>
          <w:color w:val="auto"/>
          <w:sz w:val="36"/>
          <w:szCs w:val="36"/>
          <w:u w:val="single"/>
        </w:rPr>
        <w:t xml:space="preserve">              </w:t>
      </w:r>
    </w:p>
    <w:p w14:paraId="0B5C477F">
      <w:pPr>
        <w:rPr>
          <w:rFonts w:ascii="黑体" w:hAnsi="黑体" w:eastAsia="黑体" w:cs="黑体"/>
          <w:color w:val="auto"/>
          <w:sz w:val="36"/>
          <w:szCs w:val="36"/>
        </w:rPr>
      </w:pPr>
      <w:r>
        <w:rPr>
          <w:rFonts w:hint="eastAsia" w:ascii="黑体" w:hAnsi="黑体" w:eastAsia="黑体" w:cs="黑体"/>
          <w:color w:val="auto"/>
          <w:sz w:val="36"/>
          <w:szCs w:val="36"/>
        </w:rPr>
        <w:br w:type="page"/>
      </w:r>
    </w:p>
    <w:p w14:paraId="64FDFB06">
      <w:pPr>
        <w:tabs>
          <w:tab w:val="right" w:leader="hyphen" w:pos="8504"/>
        </w:tabs>
        <w:spacing w:line="500" w:lineRule="exact"/>
        <w:ind w:left="2381" w:leftChars="200" w:right="849" w:rightChars="300" w:hanging="1815" w:hangingChars="500"/>
        <w:jc w:val="center"/>
        <w:rPr>
          <w:rFonts w:ascii="黑体" w:hAnsi="黑体" w:eastAsia="黑体" w:cs="黑体"/>
          <w:color w:val="auto"/>
          <w:sz w:val="36"/>
          <w:szCs w:val="36"/>
        </w:rPr>
      </w:pPr>
      <w:r>
        <w:rPr>
          <w:rFonts w:hint="eastAsia" w:ascii="黑体" w:hAnsi="黑体" w:eastAsia="黑体" w:cs="黑体"/>
          <w:color w:val="auto"/>
          <w:sz w:val="36"/>
          <w:szCs w:val="36"/>
        </w:rPr>
        <w:t>目  录</w:t>
      </w:r>
    </w:p>
    <w:p w14:paraId="265F7272">
      <w:pPr>
        <w:tabs>
          <w:tab w:val="right" w:leader="hyphen" w:pos="8504"/>
        </w:tabs>
        <w:spacing w:line="480" w:lineRule="exact"/>
        <w:ind w:left="1981" w:leftChars="200" w:right="849" w:rightChars="300" w:hanging="1415" w:hangingChars="500"/>
        <w:rPr>
          <w:rFonts w:ascii="黑体" w:hAnsi="黑体" w:eastAsia="黑体" w:cs="黑体"/>
          <w:color w:val="auto"/>
        </w:rPr>
      </w:pPr>
      <w:r>
        <w:rPr>
          <w:rFonts w:hint="eastAsia" w:ascii="黑体" w:hAnsi="黑体" w:eastAsia="黑体" w:cs="黑体"/>
          <w:color w:val="auto"/>
        </w:rPr>
        <w:t>第一部分  资格证明文件</w:t>
      </w:r>
      <w:r>
        <w:rPr>
          <w:rFonts w:ascii="黑体" w:hAnsi="黑体" w:eastAsia="黑体" w:cs="Times New Roman"/>
          <w:color w:val="auto"/>
        </w:rPr>
        <w:tab/>
      </w:r>
      <w:r>
        <w:rPr>
          <w:rFonts w:ascii="黑体" w:hAnsi="黑体" w:eastAsia="黑体" w:cs="黑体"/>
          <w:color w:val="auto"/>
        </w:rPr>
        <w:t>X</w:t>
      </w:r>
    </w:p>
    <w:p w14:paraId="1F50E089">
      <w:pPr>
        <w:tabs>
          <w:tab w:val="right" w:leader="hyphen" w:pos="8504"/>
        </w:tabs>
        <w:spacing w:line="480" w:lineRule="exact"/>
        <w:ind w:left="1981" w:leftChars="500" w:right="849" w:rightChars="300" w:hanging="566" w:hangingChars="200"/>
        <w:rPr>
          <w:rFonts w:ascii="华文仿宋" w:cs="Times New Roman"/>
          <w:color w:val="auto"/>
        </w:rPr>
      </w:pPr>
      <w:r>
        <w:rPr>
          <w:rFonts w:hint="eastAsia" w:ascii="华文仿宋" w:hAnsi="华文仿宋" w:cs="华文仿宋"/>
          <w:color w:val="auto"/>
        </w:rPr>
        <w:t>一、营业执照等主体资格证明文件</w:t>
      </w:r>
      <w:r>
        <w:rPr>
          <w:rFonts w:cs="Times New Roman"/>
          <w:color w:val="auto"/>
        </w:rPr>
        <w:tab/>
      </w:r>
      <w:r>
        <w:rPr>
          <w:color w:val="auto"/>
        </w:rPr>
        <w:t>X</w:t>
      </w:r>
    </w:p>
    <w:p w14:paraId="249F1B64">
      <w:pPr>
        <w:tabs>
          <w:tab w:val="right" w:leader="hyphen" w:pos="8504"/>
        </w:tabs>
        <w:spacing w:line="480" w:lineRule="exact"/>
        <w:ind w:right="849" w:rightChars="300" w:firstLine="1415" w:firstLineChars="500"/>
        <w:rPr>
          <w:rFonts w:ascii="华文仿宋" w:cs="Times New Roman"/>
          <w:color w:val="auto"/>
        </w:rPr>
      </w:pPr>
      <w:r>
        <w:rPr>
          <w:rFonts w:hint="eastAsia" w:ascii="华文仿宋" w:hAnsi="华文仿宋" w:cs="华文仿宋"/>
          <w:color w:val="auto"/>
        </w:rPr>
        <w:t>二、信用记录</w:t>
      </w:r>
      <w:r>
        <w:rPr>
          <w:rFonts w:cs="Times New Roman"/>
          <w:color w:val="auto"/>
        </w:rPr>
        <w:tab/>
      </w:r>
      <w:r>
        <w:rPr>
          <w:color w:val="auto"/>
        </w:rPr>
        <w:t>X</w:t>
      </w:r>
    </w:p>
    <w:p w14:paraId="34992389">
      <w:pPr>
        <w:tabs>
          <w:tab w:val="right" w:leader="hyphen" w:pos="8504"/>
        </w:tabs>
        <w:spacing w:line="480" w:lineRule="exact"/>
        <w:ind w:left="1981" w:leftChars="500" w:right="849" w:rightChars="300" w:hanging="566" w:hangingChars="200"/>
        <w:rPr>
          <w:rFonts w:ascii="华文仿宋" w:cs="Times New Roman"/>
          <w:color w:val="auto"/>
        </w:rPr>
      </w:pPr>
      <w:r>
        <w:rPr>
          <w:rFonts w:hint="eastAsia" w:ascii="华文仿宋" w:hAnsi="华文仿宋" w:cs="华文仿宋"/>
          <w:color w:val="auto"/>
          <w:lang w:val="en-US" w:eastAsia="zh-CN"/>
        </w:rPr>
        <w:t>三</w:t>
      </w:r>
      <w:r>
        <w:rPr>
          <w:rFonts w:hint="eastAsia" w:ascii="华文仿宋" w:hAnsi="华文仿宋" w:cs="华文仿宋"/>
          <w:color w:val="auto"/>
        </w:rPr>
        <w:t>、</w:t>
      </w:r>
      <w:r>
        <w:rPr>
          <w:rFonts w:hint="eastAsia" w:ascii="华文仿宋" w:hAnsi="华文仿宋" w:cs="华文仿宋"/>
          <w:b w:val="0"/>
          <w:bCs w:val="0"/>
          <w:color w:val="auto"/>
          <w:kern w:val="0"/>
          <w:sz w:val="28"/>
          <w:szCs w:val="28"/>
          <w:lang w:val="en-US" w:eastAsia="zh-CN" w:bidi="ar-SA"/>
        </w:rPr>
        <w:t>财务状况、缴纳税收和社会保障资金三项符合要求的承诺函</w:t>
      </w:r>
      <w:r>
        <w:rPr>
          <w:rFonts w:cs="Times New Roman"/>
          <w:color w:val="auto"/>
        </w:rPr>
        <w:tab/>
      </w:r>
      <w:r>
        <w:rPr>
          <w:color w:val="auto"/>
        </w:rPr>
        <w:t>X</w:t>
      </w:r>
    </w:p>
    <w:p w14:paraId="1A844AC5">
      <w:pPr>
        <w:tabs>
          <w:tab w:val="right" w:leader="hyphen" w:pos="8504"/>
        </w:tabs>
        <w:spacing w:line="480" w:lineRule="exact"/>
        <w:ind w:left="1981" w:leftChars="500" w:right="849" w:rightChars="300" w:hanging="566" w:hangingChars="200"/>
        <w:rPr>
          <w:rFonts w:hint="eastAsia" w:cs="Times New Roman"/>
          <w:color w:val="auto"/>
        </w:rPr>
      </w:pPr>
      <w:r>
        <w:rPr>
          <w:rFonts w:hint="eastAsia" w:ascii="华文仿宋" w:hAnsi="华文仿宋" w:cs="华文仿宋"/>
          <w:color w:val="auto"/>
          <w:lang w:val="en-US" w:eastAsia="zh-CN"/>
        </w:rPr>
        <w:t>四、</w:t>
      </w:r>
      <w:r>
        <w:rPr>
          <w:rFonts w:hint="eastAsia" w:ascii="华文仿宋" w:hAnsi="华文仿宋" w:cs="华文仿宋"/>
          <w:color w:val="auto"/>
        </w:rPr>
        <w:t>控股管理关系</w:t>
      </w:r>
      <w:r>
        <w:rPr>
          <w:rFonts w:cs="Times New Roman"/>
          <w:color w:val="auto"/>
        </w:rPr>
        <w:tab/>
      </w:r>
      <w:r>
        <w:rPr>
          <w:rFonts w:cs="Times New Roman"/>
          <w:color w:val="auto"/>
        </w:rPr>
        <w:t>X</w:t>
      </w:r>
    </w:p>
    <w:p w14:paraId="2AFDDE6E">
      <w:pPr>
        <w:tabs>
          <w:tab w:val="right" w:leader="hyphen" w:pos="8504"/>
        </w:tabs>
        <w:spacing w:line="480" w:lineRule="exact"/>
        <w:ind w:left="1981" w:leftChars="500" w:right="849" w:rightChars="300" w:hanging="566" w:hangingChars="200"/>
        <w:rPr>
          <w:rFonts w:cs="Times New Roman"/>
          <w:color w:val="auto"/>
        </w:rPr>
      </w:pPr>
      <w:r>
        <w:rPr>
          <w:rFonts w:hint="eastAsia" w:cs="Times New Roman"/>
          <w:color w:val="auto"/>
          <w:lang w:val="en-US" w:eastAsia="zh-CN"/>
        </w:rPr>
        <w:t>五、</w:t>
      </w:r>
      <w:r>
        <w:rPr>
          <w:rFonts w:hint="eastAsia" w:cs="Times New Roman"/>
          <w:color w:val="auto"/>
        </w:rPr>
        <w:t>书面声明</w:t>
      </w:r>
      <w:r>
        <w:rPr>
          <w:rFonts w:cs="Times New Roman"/>
          <w:color w:val="auto"/>
        </w:rPr>
        <w:tab/>
      </w:r>
      <w:r>
        <w:rPr>
          <w:rFonts w:cs="Times New Roman"/>
          <w:color w:val="auto"/>
        </w:rPr>
        <w:t>X</w:t>
      </w:r>
    </w:p>
    <w:p w14:paraId="63EEB7C9">
      <w:pPr>
        <w:tabs>
          <w:tab w:val="right" w:leader="hyphen" w:pos="8504"/>
        </w:tabs>
        <w:spacing w:line="480" w:lineRule="exact"/>
        <w:ind w:left="1981" w:leftChars="500" w:right="849" w:rightChars="300" w:hanging="566" w:hangingChars="200"/>
        <w:rPr>
          <w:rFonts w:cs="Times New Roman"/>
          <w:color w:val="auto"/>
        </w:rPr>
      </w:pPr>
      <w:r>
        <w:rPr>
          <w:rFonts w:hint="eastAsia" w:cs="Times New Roman"/>
          <w:color w:val="auto"/>
          <w:lang w:val="en-US" w:eastAsia="zh-CN"/>
        </w:rPr>
        <w:t>六</w:t>
      </w:r>
      <w:r>
        <w:rPr>
          <w:rFonts w:hint="eastAsia" w:cs="Times New Roman"/>
          <w:color w:val="auto"/>
        </w:rPr>
        <w:t>、</w:t>
      </w:r>
      <w:r>
        <w:rPr>
          <w:rFonts w:hint="eastAsia" w:cs="Times New Roman"/>
          <w:color w:val="auto"/>
          <w:lang w:val="en-US" w:eastAsia="zh-CN"/>
        </w:rPr>
        <w:t>法定代表人授权书和</w:t>
      </w:r>
      <w:r>
        <w:rPr>
          <w:rFonts w:hint="eastAsia" w:cs="Times New Roman"/>
          <w:color w:val="auto"/>
        </w:rPr>
        <w:t>法定代表人证明书</w:t>
      </w:r>
      <w:r>
        <w:rPr>
          <w:rFonts w:cs="Times New Roman"/>
          <w:color w:val="auto"/>
        </w:rPr>
        <w:tab/>
      </w:r>
      <w:r>
        <w:rPr>
          <w:rFonts w:cs="Times New Roman"/>
          <w:color w:val="auto"/>
        </w:rPr>
        <w:t>X</w:t>
      </w:r>
    </w:p>
    <w:p w14:paraId="51044D01">
      <w:pPr>
        <w:tabs>
          <w:tab w:val="right" w:leader="hyphen" w:pos="8504"/>
        </w:tabs>
        <w:spacing w:line="480" w:lineRule="exact"/>
        <w:ind w:left="1981" w:leftChars="500" w:right="849" w:rightChars="300" w:hanging="566" w:hangingChars="200"/>
        <w:rPr>
          <w:rFonts w:cs="Times New Roman"/>
          <w:color w:val="auto"/>
        </w:rPr>
      </w:pPr>
      <w:r>
        <w:rPr>
          <w:rFonts w:hint="eastAsia" w:cs="Times New Roman"/>
          <w:color w:val="auto"/>
          <w:lang w:val="en-US" w:eastAsia="zh-CN"/>
        </w:rPr>
        <w:t>七、</w:t>
      </w:r>
      <w:r>
        <w:rPr>
          <w:rFonts w:hint="eastAsia" w:cs="Times New Roman"/>
          <w:color w:val="auto"/>
        </w:rPr>
        <w:t>本项目不接受联合体投标，不允许分包</w:t>
      </w:r>
      <w:r>
        <w:rPr>
          <w:rFonts w:cs="Times New Roman"/>
          <w:color w:val="auto"/>
        </w:rPr>
        <w:tab/>
      </w:r>
      <w:r>
        <w:rPr>
          <w:rFonts w:cs="Times New Roman"/>
          <w:color w:val="auto"/>
        </w:rPr>
        <w:t>X</w:t>
      </w:r>
    </w:p>
    <w:p w14:paraId="2CC22A2F">
      <w:pPr>
        <w:pStyle w:val="17"/>
        <w:rPr>
          <w:color w:val="auto"/>
        </w:rPr>
      </w:pPr>
    </w:p>
    <w:p w14:paraId="26E78196">
      <w:pPr>
        <w:tabs>
          <w:tab w:val="right" w:leader="hyphen" w:pos="8504"/>
        </w:tabs>
        <w:spacing w:line="480" w:lineRule="exact"/>
        <w:ind w:left="1981" w:leftChars="200" w:right="849" w:rightChars="300" w:hanging="1415" w:hangingChars="500"/>
        <w:rPr>
          <w:rFonts w:ascii="华文仿宋" w:cs="Times New Roman"/>
          <w:color w:val="auto"/>
        </w:rPr>
      </w:pPr>
      <w:r>
        <w:rPr>
          <w:rFonts w:hint="eastAsia" w:ascii="黑体" w:hAnsi="黑体" w:eastAsia="黑体" w:cs="黑体"/>
          <w:color w:val="auto"/>
        </w:rPr>
        <w:t>第二部分  符合性证明文件</w:t>
      </w:r>
      <w:r>
        <w:rPr>
          <w:rFonts w:ascii="黑体" w:hAnsi="黑体" w:eastAsia="黑体" w:cs="Times New Roman"/>
          <w:color w:val="auto"/>
        </w:rPr>
        <w:tab/>
      </w:r>
      <w:r>
        <w:rPr>
          <w:rFonts w:ascii="黑体" w:hAnsi="黑体" w:eastAsia="黑体" w:cs="黑体"/>
          <w:color w:val="auto"/>
        </w:rPr>
        <w:t>X</w:t>
      </w:r>
    </w:p>
    <w:p w14:paraId="76B8B45A">
      <w:pPr>
        <w:tabs>
          <w:tab w:val="right" w:leader="hyphen" w:pos="8504"/>
        </w:tabs>
        <w:spacing w:line="480" w:lineRule="exact"/>
        <w:ind w:right="849" w:rightChars="300" w:firstLine="1415" w:firstLineChars="500"/>
        <w:rPr>
          <w:rFonts w:ascii="华文仿宋" w:cs="Times New Roman"/>
          <w:color w:val="auto"/>
        </w:rPr>
      </w:pPr>
      <w:r>
        <w:rPr>
          <w:rFonts w:hint="eastAsia" w:ascii="华文仿宋" w:hAnsi="华文仿宋" w:cs="华文仿宋"/>
          <w:color w:val="auto"/>
        </w:rPr>
        <w:t>一、投标函格式</w:t>
      </w:r>
      <w:r>
        <w:rPr>
          <w:rFonts w:cs="Times New Roman"/>
          <w:color w:val="auto"/>
        </w:rPr>
        <w:tab/>
      </w:r>
      <w:r>
        <w:rPr>
          <w:color w:val="auto"/>
        </w:rPr>
        <w:t>X</w:t>
      </w:r>
    </w:p>
    <w:p w14:paraId="7A8FD125">
      <w:pPr>
        <w:tabs>
          <w:tab w:val="right" w:leader="hyphen" w:pos="8504"/>
        </w:tabs>
        <w:spacing w:line="480" w:lineRule="exact"/>
        <w:ind w:left="1981" w:leftChars="500" w:right="849" w:rightChars="300" w:hanging="566" w:hangingChars="200"/>
        <w:rPr>
          <w:rFonts w:ascii="华文仿宋" w:cs="Times New Roman"/>
          <w:color w:val="auto"/>
        </w:rPr>
      </w:pPr>
      <w:r>
        <w:rPr>
          <w:rFonts w:hint="eastAsia" w:ascii="华文仿宋" w:hAnsi="华文仿宋" w:cs="华文仿宋"/>
          <w:color w:val="auto"/>
        </w:rPr>
        <w:t>二、开标一览表</w:t>
      </w:r>
      <w:r>
        <w:rPr>
          <w:rFonts w:cs="Times New Roman"/>
          <w:color w:val="auto"/>
        </w:rPr>
        <w:tab/>
      </w:r>
      <w:r>
        <w:rPr>
          <w:color w:val="auto"/>
        </w:rPr>
        <w:t>X</w:t>
      </w:r>
    </w:p>
    <w:p w14:paraId="724453F4">
      <w:pPr>
        <w:tabs>
          <w:tab w:val="right" w:leader="hyphen" w:pos="8504"/>
        </w:tabs>
        <w:spacing w:line="480" w:lineRule="exact"/>
        <w:ind w:left="1981" w:leftChars="700" w:right="849" w:rightChars="300"/>
        <w:rPr>
          <w:rFonts w:ascii="华文仿宋" w:cs="Times New Roman"/>
          <w:color w:val="auto"/>
        </w:rPr>
      </w:pPr>
      <w:r>
        <w:rPr>
          <w:rFonts w:hint="eastAsia" w:ascii="华文仿宋" w:hAnsi="华文仿宋" w:cs="华文仿宋"/>
          <w:color w:val="auto"/>
        </w:rPr>
        <w:t>分项报价表</w:t>
      </w:r>
      <w:r>
        <w:rPr>
          <w:rFonts w:cs="Times New Roman"/>
          <w:color w:val="auto"/>
        </w:rPr>
        <w:tab/>
      </w:r>
      <w:r>
        <w:rPr>
          <w:color w:val="auto"/>
        </w:rPr>
        <w:t>X</w:t>
      </w:r>
    </w:p>
    <w:p w14:paraId="27903C86">
      <w:pPr>
        <w:tabs>
          <w:tab w:val="right" w:leader="hyphen" w:pos="8504"/>
        </w:tabs>
        <w:spacing w:line="480" w:lineRule="exact"/>
        <w:ind w:right="849" w:rightChars="300" w:firstLine="1415" w:firstLineChars="500"/>
        <w:rPr>
          <w:rFonts w:ascii="华文仿宋" w:cs="Times New Roman"/>
          <w:color w:val="auto"/>
        </w:rPr>
      </w:pPr>
      <w:r>
        <w:rPr>
          <w:rFonts w:hint="eastAsia" w:ascii="华文仿宋" w:hAnsi="华文仿宋" w:cs="华文仿宋"/>
          <w:color w:val="auto"/>
        </w:rPr>
        <w:t>三、供应商承诺书</w:t>
      </w:r>
      <w:r>
        <w:rPr>
          <w:rFonts w:cs="Times New Roman"/>
          <w:color w:val="auto"/>
        </w:rPr>
        <w:tab/>
      </w:r>
      <w:r>
        <w:rPr>
          <w:color w:val="auto"/>
        </w:rPr>
        <w:t>X</w:t>
      </w:r>
    </w:p>
    <w:p w14:paraId="6594794E">
      <w:pPr>
        <w:tabs>
          <w:tab w:val="right" w:leader="hyphen" w:pos="8504"/>
        </w:tabs>
        <w:spacing w:line="480" w:lineRule="exact"/>
        <w:ind w:right="849" w:rightChars="300" w:firstLine="1981" w:firstLineChars="700"/>
        <w:rPr>
          <w:color w:val="auto"/>
        </w:rPr>
      </w:pPr>
      <w:bookmarkStart w:id="567" w:name="_Toc10918"/>
      <w:bookmarkEnd w:id="567"/>
      <w:bookmarkStart w:id="568" w:name="_Toc21662"/>
      <w:bookmarkEnd w:id="568"/>
      <w:r>
        <w:rPr>
          <w:rFonts w:hint="eastAsia"/>
          <w:color w:val="auto"/>
        </w:rPr>
        <w:t>（一）质量安全责任承诺书</w:t>
      </w:r>
      <w:r>
        <w:rPr>
          <w:color w:val="auto"/>
        </w:rPr>
        <w:tab/>
      </w:r>
      <w:r>
        <w:rPr>
          <w:color w:val="auto"/>
        </w:rPr>
        <w:t>X</w:t>
      </w:r>
    </w:p>
    <w:p w14:paraId="4CC86344">
      <w:pPr>
        <w:tabs>
          <w:tab w:val="right" w:leader="hyphen" w:pos="8504"/>
        </w:tabs>
        <w:spacing w:line="480" w:lineRule="exact"/>
        <w:ind w:right="849" w:rightChars="300" w:firstLine="1981" w:firstLineChars="700"/>
        <w:rPr>
          <w:rFonts w:ascii="华文仿宋" w:hAnsi="华文仿宋" w:cs="华文仿宋"/>
          <w:color w:val="auto"/>
        </w:rPr>
      </w:pPr>
      <w:r>
        <w:rPr>
          <w:rFonts w:hint="eastAsia"/>
          <w:color w:val="auto"/>
        </w:rPr>
        <w:t>（二）拒绝政府采购领域商业贿赂承诺书</w:t>
      </w:r>
      <w:r>
        <w:rPr>
          <w:color w:val="auto"/>
        </w:rPr>
        <w:tab/>
      </w:r>
      <w:r>
        <w:rPr>
          <w:color w:val="auto"/>
        </w:rPr>
        <w:t>X</w:t>
      </w:r>
    </w:p>
    <w:p w14:paraId="3C849359">
      <w:pPr>
        <w:tabs>
          <w:tab w:val="right" w:leader="hyphen" w:pos="8504"/>
        </w:tabs>
        <w:spacing w:line="480" w:lineRule="exact"/>
        <w:ind w:right="849" w:rightChars="300" w:firstLine="1415" w:firstLineChars="500"/>
        <w:rPr>
          <w:color w:val="auto"/>
        </w:rPr>
      </w:pPr>
      <w:r>
        <w:rPr>
          <w:rFonts w:hint="eastAsia" w:ascii="华文仿宋" w:hAnsi="华文仿宋" w:cs="华文仿宋"/>
          <w:color w:val="auto"/>
        </w:rPr>
        <w:t>四、技术服务偏差表</w:t>
      </w:r>
      <w:r>
        <w:rPr>
          <w:rFonts w:cs="Times New Roman"/>
          <w:color w:val="auto"/>
        </w:rPr>
        <w:tab/>
      </w:r>
      <w:r>
        <w:rPr>
          <w:color w:val="auto"/>
        </w:rPr>
        <w:t>X</w:t>
      </w:r>
    </w:p>
    <w:p w14:paraId="0519D6C1">
      <w:pPr>
        <w:tabs>
          <w:tab w:val="right" w:leader="hyphen" w:pos="8504"/>
        </w:tabs>
        <w:spacing w:line="480" w:lineRule="exact"/>
        <w:ind w:right="849" w:rightChars="300" w:firstLine="1981" w:firstLineChars="700"/>
        <w:rPr>
          <w:rFonts w:ascii="华文仿宋" w:hAnsi="华文仿宋" w:cs="华文仿宋"/>
          <w:color w:val="auto"/>
        </w:rPr>
      </w:pPr>
      <w:r>
        <w:rPr>
          <w:rFonts w:hint="eastAsia" w:ascii="华文仿宋" w:hAnsi="华文仿宋" w:cs="华文仿宋"/>
          <w:color w:val="auto"/>
        </w:rPr>
        <w:t>（一）实质性条款响应表</w:t>
      </w:r>
      <w:r>
        <w:rPr>
          <w:rFonts w:hint="eastAsia" w:ascii="华文仿宋" w:hAnsi="华文仿宋" w:cs="华文仿宋"/>
          <w:color w:val="auto"/>
        </w:rPr>
        <w:tab/>
      </w:r>
      <w:r>
        <w:rPr>
          <w:color w:val="auto"/>
        </w:rPr>
        <w:t>X</w:t>
      </w:r>
    </w:p>
    <w:p w14:paraId="2C1764DE">
      <w:pPr>
        <w:tabs>
          <w:tab w:val="right" w:leader="hyphen" w:pos="8504"/>
        </w:tabs>
        <w:spacing w:line="480" w:lineRule="exact"/>
        <w:ind w:right="849" w:rightChars="300" w:firstLine="1981" w:firstLineChars="700"/>
        <w:rPr>
          <w:color w:val="auto"/>
        </w:rPr>
      </w:pPr>
      <w:r>
        <w:rPr>
          <w:rFonts w:hint="eastAsia" w:ascii="华文仿宋" w:hAnsi="华文仿宋" w:cs="华文仿宋"/>
          <w:color w:val="auto"/>
        </w:rPr>
        <w:t>（二）其他资料</w:t>
      </w:r>
      <w:r>
        <w:rPr>
          <w:rFonts w:hint="eastAsia" w:ascii="华文仿宋" w:hAnsi="华文仿宋" w:cs="华文仿宋"/>
          <w:color w:val="auto"/>
        </w:rPr>
        <w:tab/>
      </w:r>
      <w:r>
        <w:rPr>
          <w:color w:val="auto"/>
        </w:rPr>
        <w:t>X</w:t>
      </w:r>
    </w:p>
    <w:p w14:paraId="3F1ABE94">
      <w:pPr>
        <w:tabs>
          <w:tab w:val="right" w:leader="hyphen" w:pos="8504"/>
        </w:tabs>
        <w:spacing w:line="480" w:lineRule="exact"/>
        <w:ind w:left="1981" w:leftChars="500" w:right="849" w:rightChars="300" w:hanging="566" w:hangingChars="200"/>
        <w:rPr>
          <w:color w:val="auto"/>
        </w:rPr>
      </w:pPr>
      <w:r>
        <w:rPr>
          <w:rFonts w:hint="eastAsia" w:ascii="华文仿宋" w:hAnsi="华文仿宋" w:cs="华文仿宋"/>
          <w:color w:val="auto"/>
        </w:rPr>
        <w:t>五、</w:t>
      </w:r>
      <w:r>
        <w:rPr>
          <w:rFonts w:hint="eastAsia" w:ascii="华文仿宋" w:hAnsi="华文仿宋" w:cs="华文仿宋"/>
          <w:color w:val="auto"/>
          <w:lang w:eastAsia="zh-CN"/>
        </w:rPr>
        <w:t>合同草案条款</w:t>
      </w:r>
      <w:r>
        <w:rPr>
          <w:rFonts w:hint="eastAsia" w:ascii="华文仿宋" w:hAnsi="华文仿宋" w:cs="华文仿宋"/>
          <w:color w:val="auto"/>
        </w:rPr>
        <w:t>响应</w:t>
      </w:r>
      <w:r>
        <w:rPr>
          <w:rFonts w:cs="Times New Roman"/>
          <w:color w:val="auto"/>
        </w:rPr>
        <w:tab/>
      </w:r>
      <w:r>
        <w:rPr>
          <w:color w:val="auto"/>
        </w:rPr>
        <w:t>X</w:t>
      </w:r>
    </w:p>
    <w:p w14:paraId="06A4794E">
      <w:pPr>
        <w:tabs>
          <w:tab w:val="right" w:leader="hyphen" w:pos="8504"/>
        </w:tabs>
        <w:spacing w:line="480" w:lineRule="exact"/>
        <w:ind w:right="849" w:rightChars="300" w:firstLine="566" w:firstLineChars="200"/>
        <w:rPr>
          <w:rFonts w:ascii="黑体" w:hAnsi="黑体" w:eastAsia="黑体" w:cs="黑体"/>
          <w:color w:val="auto"/>
        </w:rPr>
      </w:pPr>
      <w:r>
        <w:rPr>
          <w:rFonts w:hint="eastAsia" w:ascii="黑体" w:hAnsi="黑体" w:eastAsia="黑体" w:cs="黑体"/>
          <w:color w:val="auto"/>
        </w:rPr>
        <w:t>第三部分  投标方案</w:t>
      </w:r>
      <w:r>
        <w:rPr>
          <w:rFonts w:ascii="黑体" w:hAnsi="黑体" w:eastAsia="黑体" w:cs="Times New Roman"/>
          <w:color w:val="auto"/>
        </w:rPr>
        <w:tab/>
      </w:r>
      <w:r>
        <w:rPr>
          <w:rFonts w:ascii="黑体" w:hAnsi="黑体" w:eastAsia="黑体" w:cs="黑体"/>
          <w:color w:val="auto"/>
        </w:rPr>
        <w:t>X</w:t>
      </w:r>
    </w:p>
    <w:p w14:paraId="258551B7">
      <w:pPr>
        <w:tabs>
          <w:tab w:val="right" w:leader="hyphen" w:pos="8504"/>
        </w:tabs>
        <w:spacing w:line="480" w:lineRule="exact"/>
        <w:ind w:right="849" w:rightChars="300" w:firstLine="1415" w:firstLineChars="500"/>
        <w:rPr>
          <w:rFonts w:ascii="华文仿宋" w:cs="Times New Roman"/>
          <w:color w:val="auto"/>
        </w:rPr>
      </w:pPr>
      <w:r>
        <w:rPr>
          <w:rFonts w:hint="eastAsia" w:ascii="华文仿宋" w:hAnsi="华文仿宋" w:cs="华文仿宋"/>
          <w:color w:val="auto"/>
        </w:rPr>
        <w:t>一、投标人性质及</w:t>
      </w:r>
      <w:r>
        <w:rPr>
          <w:rFonts w:hint="eastAsia"/>
          <w:color w:val="auto"/>
        </w:rPr>
        <w:t>概况</w:t>
      </w:r>
      <w:r>
        <w:rPr>
          <w:rFonts w:cs="Times New Roman"/>
          <w:color w:val="auto"/>
        </w:rPr>
        <w:tab/>
      </w:r>
      <w:r>
        <w:rPr>
          <w:color w:val="auto"/>
        </w:rPr>
        <w:t>X</w:t>
      </w:r>
    </w:p>
    <w:p w14:paraId="0F9BFC71">
      <w:pPr>
        <w:numPr>
          <w:ilvl w:val="0"/>
          <w:numId w:val="0"/>
        </w:numPr>
        <w:tabs>
          <w:tab w:val="right" w:leader="hyphen" w:pos="8504"/>
        </w:tabs>
        <w:spacing w:line="480" w:lineRule="exact"/>
        <w:ind w:right="849" w:rightChars="300" w:firstLine="1415" w:firstLineChars="500"/>
        <w:rPr>
          <w:rFonts w:ascii="华文仿宋" w:cs="Times New Roman"/>
          <w:color w:val="auto"/>
        </w:rPr>
      </w:pPr>
      <w:r>
        <w:rPr>
          <w:rFonts w:hint="eastAsia" w:ascii="华文仿宋" w:cs="Times New Roman"/>
          <w:color w:val="auto"/>
          <w:kern w:val="2"/>
          <w:sz w:val="28"/>
          <w:szCs w:val="28"/>
          <w:lang w:val="en-US" w:eastAsia="zh-CN" w:bidi="ar-SA"/>
        </w:rPr>
        <w:t>二</w:t>
      </w:r>
      <w:r>
        <w:rPr>
          <w:rFonts w:hint="eastAsia" w:ascii="华文仿宋" w:hAnsi="Calibri Light" w:eastAsia="华文仿宋" w:cs="Times New Roman"/>
          <w:color w:val="auto"/>
          <w:kern w:val="2"/>
          <w:sz w:val="28"/>
          <w:szCs w:val="28"/>
          <w:lang w:val="en-US" w:eastAsia="zh-CN" w:bidi="ar-SA"/>
        </w:rPr>
        <w:t>、</w:t>
      </w:r>
      <w:r>
        <w:rPr>
          <w:rFonts w:hint="eastAsia" w:ascii="华文仿宋" w:hAnsi="华文仿宋" w:cs="华文仿宋"/>
          <w:color w:val="auto"/>
        </w:rPr>
        <w:t>投标方案</w:t>
      </w:r>
      <w:r>
        <w:rPr>
          <w:rFonts w:cs="Times New Roman"/>
          <w:color w:val="auto"/>
        </w:rPr>
        <w:tab/>
      </w:r>
      <w:r>
        <w:rPr>
          <w:color w:val="auto"/>
        </w:rPr>
        <w:t>X</w:t>
      </w:r>
    </w:p>
    <w:p w14:paraId="77B59403">
      <w:pPr>
        <w:numPr>
          <w:ilvl w:val="0"/>
          <w:numId w:val="0"/>
        </w:numPr>
        <w:tabs>
          <w:tab w:val="right" w:leader="hyphen" w:pos="8504"/>
        </w:tabs>
        <w:spacing w:line="480" w:lineRule="exact"/>
        <w:ind w:right="849" w:rightChars="300" w:firstLine="1415" w:firstLineChars="500"/>
        <w:rPr>
          <w:rFonts w:ascii="华文仿宋" w:cs="Times New Roman"/>
          <w:color w:val="auto"/>
        </w:rPr>
      </w:pPr>
      <w:r>
        <w:rPr>
          <w:rFonts w:hint="eastAsia" w:ascii="华文仿宋" w:cs="Times New Roman"/>
          <w:color w:val="auto"/>
          <w:kern w:val="2"/>
          <w:sz w:val="28"/>
          <w:szCs w:val="28"/>
          <w:lang w:val="en-US" w:eastAsia="zh-CN" w:bidi="ar-SA"/>
        </w:rPr>
        <w:t>三</w:t>
      </w:r>
      <w:r>
        <w:rPr>
          <w:rFonts w:hint="eastAsia" w:ascii="华文仿宋" w:hAnsi="Calibri Light" w:eastAsia="华文仿宋" w:cs="Times New Roman"/>
          <w:color w:val="auto"/>
          <w:kern w:val="2"/>
          <w:sz w:val="28"/>
          <w:szCs w:val="28"/>
          <w:lang w:val="en-US" w:eastAsia="zh-CN" w:bidi="ar-SA"/>
        </w:rPr>
        <w:t>、</w:t>
      </w:r>
      <w:r>
        <w:rPr>
          <w:rFonts w:hint="eastAsia" w:ascii="华文仿宋" w:hAnsi="华文仿宋" w:cs="华文仿宋"/>
          <w:color w:val="auto"/>
        </w:rPr>
        <w:t>参考样表</w:t>
      </w:r>
      <w:r>
        <w:rPr>
          <w:rFonts w:cs="Times New Roman"/>
          <w:color w:val="auto"/>
        </w:rPr>
        <w:tab/>
      </w:r>
      <w:r>
        <w:rPr>
          <w:color w:val="auto"/>
        </w:rPr>
        <w:t>X</w:t>
      </w:r>
    </w:p>
    <w:p w14:paraId="786C6126">
      <w:pPr>
        <w:rPr>
          <w:rFonts w:ascii="黑体" w:hAnsi="黑体" w:eastAsia="黑体" w:cs="黑体"/>
          <w:color w:val="auto"/>
        </w:rPr>
      </w:pPr>
      <w:bookmarkStart w:id="569" w:name="_Toc27546"/>
      <w:bookmarkStart w:id="570" w:name="_Toc5015"/>
      <w:bookmarkStart w:id="571" w:name="_Toc4982"/>
      <w:bookmarkStart w:id="572" w:name="_Toc6887"/>
      <w:bookmarkStart w:id="573" w:name="_Toc12653"/>
    </w:p>
    <w:p w14:paraId="6FFC622A">
      <w:pPr>
        <w:pStyle w:val="12"/>
        <w:rPr>
          <w:rFonts w:ascii="黑体" w:hAnsi="黑体" w:eastAsia="黑体" w:cs="黑体"/>
          <w:color w:val="auto"/>
        </w:rPr>
      </w:pPr>
    </w:p>
    <w:p w14:paraId="4B47BC61">
      <w:pPr>
        <w:rPr>
          <w:rFonts w:hint="eastAsia" w:ascii="黑体" w:hAnsi="黑体" w:eastAsia="黑体" w:cs="黑体"/>
          <w:color w:val="auto"/>
          <w:lang w:val="en-US" w:eastAsia="zh-CN"/>
        </w:rPr>
      </w:pPr>
      <w:r>
        <w:rPr>
          <w:rFonts w:hint="eastAsia" w:ascii="黑体" w:hAnsi="黑体" w:eastAsia="黑体" w:cs="黑体"/>
          <w:color w:val="auto"/>
          <w:lang w:val="en-US" w:eastAsia="zh-CN"/>
        </w:rPr>
        <w:t xml:space="preserve"> </w:t>
      </w:r>
    </w:p>
    <w:bookmarkEnd w:id="569"/>
    <w:bookmarkEnd w:id="570"/>
    <w:bookmarkEnd w:id="571"/>
    <w:bookmarkEnd w:id="572"/>
    <w:bookmarkEnd w:id="573"/>
    <w:p w14:paraId="591944EC">
      <w:pPr>
        <w:pStyle w:val="62"/>
        <w:rPr>
          <w:rFonts w:ascii="黑体" w:hAnsi="黑体" w:eastAsia="黑体" w:cs="Times New Roman"/>
          <w:b w:val="0"/>
          <w:bCs w:val="0"/>
          <w:color w:val="auto"/>
        </w:rPr>
      </w:pPr>
      <w:bookmarkStart w:id="574" w:name="_Toc1087"/>
      <w:bookmarkEnd w:id="574"/>
      <w:bookmarkStart w:id="575" w:name="_Toc25067"/>
      <w:bookmarkEnd w:id="575"/>
      <w:bookmarkStart w:id="576" w:name="_Toc26490"/>
      <w:bookmarkEnd w:id="576"/>
      <w:bookmarkStart w:id="577" w:name="_Toc21370"/>
      <w:bookmarkEnd w:id="577"/>
      <w:bookmarkStart w:id="578" w:name="_Toc18821"/>
      <w:bookmarkEnd w:id="578"/>
      <w:r>
        <w:rPr>
          <w:rFonts w:hint="eastAsia" w:ascii="黑体" w:hAnsi="黑体" w:eastAsia="黑体" w:cs="黑体"/>
          <w:b w:val="0"/>
          <w:bCs w:val="0"/>
          <w:color w:val="auto"/>
        </w:rPr>
        <w:t>第一部分  资格证明文件</w:t>
      </w:r>
    </w:p>
    <w:p w14:paraId="43CC6816">
      <w:pPr>
        <w:spacing w:line="500" w:lineRule="exact"/>
        <w:ind w:firstLine="566" w:firstLineChars="200"/>
        <w:rPr>
          <w:rFonts w:ascii="华文仿宋" w:hAnsi="华文仿宋" w:cs="华文仿宋"/>
          <w:color w:val="auto"/>
        </w:rPr>
      </w:pPr>
      <w:r>
        <w:rPr>
          <w:rFonts w:hint="eastAsia" w:cs="华文仿宋"/>
          <w:color w:val="auto"/>
        </w:rPr>
        <w:t>投标人应按照招标文件第一章第十项所列“投标人资格要求”逐一提供全</w:t>
      </w:r>
      <w:r>
        <w:rPr>
          <w:rFonts w:hint="eastAsia" w:ascii="华文仿宋" w:hAnsi="华文仿宋" w:cs="华文仿宋"/>
          <w:color w:val="auto"/>
        </w:rPr>
        <w:t xml:space="preserve">部资格证明文件。缺少其中任何一项，其投标文件将被视为无效文件。 </w:t>
      </w:r>
    </w:p>
    <w:p w14:paraId="0AEBE5F3">
      <w:pPr>
        <w:spacing w:line="500" w:lineRule="exact"/>
        <w:rPr>
          <w:rFonts w:cs="华文仿宋"/>
          <w:color w:val="auto"/>
        </w:rPr>
      </w:pPr>
      <w:r>
        <w:rPr>
          <w:rFonts w:hint="eastAsia" w:ascii="华文仿宋" w:hAnsi="华文仿宋" w:cs="华文仿宋"/>
          <w:color w:val="auto"/>
        </w:rPr>
        <w:t>其中，</w:t>
      </w:r>
      <w:r>
        <w:rPr>
          <w:rFonts w:hint="eastAsia" w:ascii="华文仿宋" w:hAnsi="华文仿宋" w:cs="华文仿宋"/>
          <w:color w:val="auto"/>
          <w:lang w:eastAsia="zh-CN"/>
        </w:rPr>
        <w:t>《</w:t>
      </w:r>
      <w:r>
        <w:rPr>
          <w:rFonts w:hint="eastAsia" w:ascii="华文仿宋" w:hAnsi="华文仿宋" w:cs="华文仿宋"/>
          <w:color w:val="auto"/>
          <w:lang w:val="en-US" w:eastAsia="zh-CN"/>
        </w:rPr>
        <w:t>承诺函</w:t>
      </w:r>
      <w:r>
        <w:rPr>
          <w:rFonts w:hint="eastAsia" w:ascii="华文仿宋" w:hAnsi="华文仿宋" w:cs="华文仿宋"/>
          <w:color w:val="auto"/>
          <w:lang w:eastAsia="zh-CN"/>
        </w:rPr>
        <w:t>》、</w:t>
      </w:r>
      <w:r>
        <w:rPr>
          <w:rFonts w:hint="eastAsia" w:ascii="华文仿宋" w:hAnsi="华文仿宋" w:cs="华文仿宋"/>
          <w:color w:val="auto"/>
        </w:rPr>
        <w:t>《供应商信用记录书面声明函》、《法定代表人授权委托书》</w:t>
      </w:r>
      <w:r>
        <w:rPr>
          <w:rFonts w:hint="eastAsia" w:ascii="华文仿宋" w:hAnsi="华文仿宋" w:cs="华文仿宋"/>
          <w:color w:val="auto"/>
          <w:lang w:eastAsia="zh-CN"/>
        </w:rPr>
        <w:t>、</w:t>
      </w:r>
      <w:r>
        <w:rPr>
          <w:rFonts w:hint="eastAsia" w:ascii="华文仿宋" w:hAnsi="华文仿宋" w:cs="华文仿宋"/>
          <w:color w:val="auto"/>
        </w:rPr>
        <w:t>《书面声明》</w:t>
      </w:r>
      <w:r>
        <w:rPr>
          <w:rFonts w:hint="eastAsia"/>
          <w:color w:val="auto"/>
        </w:rPr>
        <w:t>、《非联合体不分包投标声明》</w:t>
      </w:r>
      <w:r>
        <w:rPr>
          <w:rFonts w:hint="eastAsia" w:ascii="华文仿宋" w:hAnsi="华文仿宋" w:cs="华文仿宋"/>
          <w:color w:val="auto"/>
        </w:rPr>
        <w:t>须按下文给定格式填写。</w:t>
      </w:r>
      <w:r>
        <w:rPr>
          <w:rFonts w:hint="eastAsia"/>
          <w:color w:val="auto"/>
        </w:rPr>
        <w:t>特别说明，法定代表人亲自参加投标的，可不提供法定代表人授权委托书，但须提供其本人身份证（正反面）</w:t>
      </w:r>
      <w:r>
        <w:rPr>
          <w:rFonts w:hint="eastAsia"/>
          <w:color w:val="auto"/>
          <w:lang w:val="en-US" w:eastAsia="zh-CN"/>
        </w:rPr>
        <w:t>扫描</w:t>
      </w:r>
      <w:r>
        <w:rPr>
          <w:rFonts w:hint="eastAsia"/>
          <w:color w:val="auto"/>
        </w:rPr>
        <w:t>件。</w:t>
      </w:r>
    </w:p>
    <w:p w14:paraId="2371D942">
      <w:pPr>
        <w:spacing w:line="500" w:lineRule="exact"/>
        <w:ind w:firstLine="561"/>
        <w:outlineLvl w:val="2"/>
        <w:rPr>
          <w:rFonts w:ascii="仿宋" w:hAnsi="仿宋" w:eastAsia="仿宋" w:cs="Times New Roman"/>
          <w:b/>
          <w:bCs/>
          <w:color w:val="auto"/>
        </w:rPr>
      </w:pPr>
      <w:bookmarkStart w:id="579" w:name="_Toc30049"/>
      <w:bookmarkEnd w:id="579"/>
      <w:bookmarkStart w:id="580" w:name="_Toc15142"/>
      <w:bookmarkEnd w:id="580"/>
      <w:bookmarkStart w:id="581" w:name="_Toc19778"/>
      <w:bookmarkEnd w:id="581"/>
      <w:bookmarkStart w:id="582" w:name="_Toc4708"/>
      <w:bookmarkEnd w:id="582"/>
      <w:bookmarkStart w:id="583" w:name="_Toc31488"/>
      <w:bookmarkEnd w:id="583"/>
      <w:bookmarkStart w:id="584" w:name="_Toc11595"/>
      <w:bookmarkEnd w:id="584"/>
      <w:bookmarkStart w:id="585" w:name="_Toc27284"/>
      <w:bookmarkEnd w:id="585"/>
      <w:r>
        <w:rPr>
          <w:rFonts w:hint="eastAsia" w:ascii="仿宋" w:hAnsi="仿宋" w:eastAsia="仿宋" w:cs="仿宋"/>
          <w:b/>
          <w:bCs/>
          <w:color w:val="auto"/>
        </w:rPr>
        <w:t>一、营业执照等主体资格证明文件</w:t>
      </w:r>
    </w:p>
    <w:p w14:paraId="18B9DF63">
      <w:pPr>
        <w:spacing w:line="500" w:lineRule="exact"/>
        <w:ind w:firstLine="561"/>
        <w:outlineLvl w:val="2"/>
        <w:rPr>
          <w:rFonts w:hint="eastAsia" w:ascii="仿宋" w:hAnsi="仿宋" w:eastAsia="仿宋" w:cs="仿宋"/>
          <w:b/>
          <w:bCs/>
          <w:color w:val="auto"/>
        </w:rPr>
      </w:pPr>
      <w:bookmarkStart w:id="586" w:name="_Toc9048"/>
      <w:bookmarkStart w:id="587" w:name="_Toc5013"/>
      <w:bookmarkStart w:id="588" w:name="_Toc20860"/>
      <w:bookmarkStart w:id="589" w:name="_Toc10604"/>
      <w:bookmarkStart w:id="590" w:name="_Toc28141"/>
      <w:bookmarkStart w:id="591" w:name="_Toc22740"/>
      <w:bookmarkStart w:id="592" w:name="_Toc17138"/>
    </w:p>
    <w:p w14:paraId="4FB826EC">
      <w:pPr>
        <w:spacing w:line="500" w:lineRule="exact"/>
        <w:ind w:firstLine="561"/>
        <w:outlineLvl w:val="2"/>
        <w:rPr>
          <w:rFonts w:hint="eastAsia" w:ascii="仿宋" w:hAnsi="仿宋" w:eastAsia="仿宋" w:cs="仿宋"/>
          <w:b/>
          <w:bCs/>
          <w:color w:val="auto"/>
        </w:rPr>
      </w:pPr>
    </w:p>
    <w:p w14:paraId="09B57F36">
      <w:pPr>
        <w:spacing w:line="500" w:lineRule="exact"/>
        <w:ind w:firstLine="561"/>
        <w:outlineLvl w:val="2"/>
        <w:rPr>
          <w:rFonts w:hint="eastAsia" w:ascii="仿宋" w:hAnsi="仿宋" w:eastAsia="仿宋" w:cs="仿宋"/>
          <w:b/>
          <w:bCs/>
          <w:color w:val="auto"/>
        </w:rPr>
      </w:pPr>
    </w:p>
    <w:p w14:paraId="7426FABA">
      <w:pPr>
        <w:spacing w:line="500" w:lineRule="exact"/>
        <w:ind w:firstLine="561"/>
        <w:outlineLvl w:val="2"/>
        <w:rPr>
          <w:rFonts w:hint="eastAsia" w:ascii="仿宋" w:hAnsi="仿宋" w:eastAsia="仿宋" w:cs="仿宋"/>
          <w:b/>
          <w:bCs/>
          <w:color w:val="auto"/>
        </w:rPr>
      </w:pPr>
    </w:p>
    <w:p w14:paraId="07D50CC2">
      <w:pPr>
        <w:spacing w:line="500" w:lineRule="exact"/>
        <w:ind w:firstLine="561"/>
        <w:outlineLvl w:val="2"/>
        <w:rPr>
          <w:rFonts w:hint="eastAsia" w:ascii="仿宋" w:hAnsi="仿宋" w:eastAsia="仿宋" w:cs="仿宋"/>
          <w:b/>
          <w:bCs/>
          <w:color w:val="auto"/>
        </w:rPr>
      </w:pPr>
    </w:p>
    <w:p w14:paraId="330CC2D8">
      <w:pPr>
        <w:spacing w:line="500" w:lineRule="exact"/>
        <w:ind w:firstLine="561"/>
        <w:outlineLvl w:val="2"/>
        <w:rPr>
          <w:rFonts w:hint="eastAsia" w:ascii="仿宋" w:hAnsi="仿宋" w:eastAsia="仿宋" w:cs="仿宋"/>
          <w:b/>
          <w:bCs/>
          <w:color w:val="auto"/>
        </w:rPr>
      </w:pPr>
    </w:p>
    <w:p w14:paraId="34D1C6BE">
      <w:pPr>
        <w:spacing w:line="500" w:lineRule="exact"/>
        <w:ind w:firstLine="561"/>
        <w:outlineLvl w:val="2"/>
        <w:rPr>
          <w:rFonts w:hint="eastAsia" w:ascii="仿宋" w:hAnsi="仿宋" w:eastAsia="仿宋" w:cs="仿宋"/>
          <w:b/>
          <w:bCs/>
          <w:color w:val="auto"/>
        </w:rPr>
      </w:pPr>
    </w:p>
    <w:p w14:paraId="1E320F7D">
      <w:pPr>
        <w:spacing w:line="500" w:lineRule="exact"/>
        <w:ind w:firstLine="561"/>
        <w:outlineLvl w:val="2"/>
        <w:rPr>
          <w:rFonts w:hint="eastAsia" w:ascii="仿宋" w:hAnsi="仿宋" w:eastAsia="仿宋" w:cs="仿宋"/>
          <w:b/>
          <w:bCs/>
          <w:color w:val="auto"/>
        </w:rPr>
      </w:pPr>
    </w:p>
    <w:p w14:paraId="0E295C0B">
      <w:pPr>
        <w:spacing w:line="500" w:lineRule="exact"/>
        <w:ind w:firstLine="561"/>
        <w:outlineLvl w:val="2"/>
        <w:rPr>
          <w:rFonts w:hint="eastAsia" w:ascii="仿宋" w:hAnsi="仿宋" w:eastAsia="仿宋" w:cs="仿宋"/>
          <w:b/>
          <w:bCs/>
          <w:color w:val="auto"/>
        </w:rPr>
      </w:pPr>
    </w:p>
    <w:p w14:paraId="1780D0EF">
      <w:pPr>
        <w:spacing w:line="500" w:lineRule="exact"/>
        <w:ind w:firstLine="561"/>
        <w:outlineLvl w:val="2"/>
        <w:rPr>
          <w:rFonts w:hint="eastAsia" w:ascii="仿宋" w:hAnsi="仿宋" w:eastAsia="仿宋" w:cs="仿宋"/>
          <w:b/>
          <w:bCs/>
          <w:color w:val="auto"/>
        </w:rPr>
      </w:pPr>
    </w:p>
    <w:p w14:paraId="7D20456D">
      <w:pPr>
        <w:spacing w:line="500" w:lineRule="exact"/>
        <w:ind w:firstLine="561"/>
        <w:outlineLvl w:val="2"/>
        <w:rPr>
          <w:rFonts w:hint="eastAsia" w:ascii="仿宋" w:hAnsi="仿宋" w:eastAsia="仿宋" w:cs="仿宋"/>
          <w:b/>
          <w:bCs/>
          <w:color w:val="auto"/>
        </w:rPr>
      </w:pPr>
    </w:p>
    <w:p w14:paraId="4C4D8734">
      <w:pPr>
        <w:spacing w:line="500" w:lineRule="exact"/>
        <w:ind w:firstLine="561"/>
        <w:outlineLvl w:val="2"/>
        <w:rPr>
          <w:rFonts w:hint="eastAsia" w:ascii="仿宋" w:hAnsi="仿宋" w:eastAsia="仿宋" w:cs="仿宋"/>
          <w:b/>
          <w:bCs/>
          <w:color w:val="auto"/>
        </w:rPr>
      </w:pPr>
    </w:p>
    <w:p w14:paraId="29634281">
      <w:pPr>
        <w:spacing w:line="500" w:lineRule="exact"/>
        <w:ind w:firstLine="561"/>
        <w:outlineLvl w:val="2"/>
        <w:rPr>
          <w:rFonts w:hint="eastAsia" w:ascii="仿宋" w:hAnsi="仿宋" w:eastAsia="仿宋" w:cs="仿宋"/>
          <w:b/>
          <w:bCs/>
          <w:color w:val="auto"/>
        </w:rPr>
      </w:pPr>
    </w:p>
    <w:p w14:paraId="7F53516C">
      <w:pPr>
        <w:spacing w:line="500" w:lineRule="exact"/>
        <w:ind w:firstLine="561"/>
        <w:outlineLvl w:val="2"/>
        <w:rPr>
          <w:rFonts w:hint="eastAsia" w:ascii="仿宋" w:hAnsi="仿宋" w:eastAsia="仿宋" w:cs="仿宋"/>
          <w:b/>
          <w:bCs/>
          <w:color w:val="auto"/>
        </w:rPr>
      </w:pPr>
    </w:p>
    <w:p w14:paraId="06EEF378">
      <w:pPr>
        <w:spacing w:line="500" w:lineRule="exact"/>
        <w:ind w:firstLine="561"/>
        <w:outlineLvl w:val="2"/>
        <w:rPr>
          <w:rFonts w:hint="eastAsia" w:ascii="仿宋" w:hAnsi="仿宋" w:eastAsia="仿宋" w:cs="仿宋"/>
          <w:b/>
          <w:bCs/>
          <w:color w:val="auto"/>
        </w:rPr>
      </w:pPr>
    </w:p>
    <w:p w14:paraId="3760C2BC">
      <w:pPr>
        <w:spacing w:line="500" w:lineRule="exact"/>
        <w:ind w:firstLine="561"/>
        <w:outlineLvl w:val="2"/>
        <w:rPr>
          <w:rFonts w:hint="eastAsia" w:ascii="仿宋" w:hAnsi="仿宋" w:eastAsia="仿宋" w:cs="仿宋"/>
          <w:b/>
          <w:bCs/>
          <w:color w:val="auto"/>
        </w:rPr>
      </w:pPr>
    </w:p>
    <w:p w14:paraId="0F3AF59E">
      <w:pPr>
        <w:spacing w:line="500" w:lineRule="exact"/>
        <w:ind w:firstLine="561"/>
        <w:outlineLvl w:val="2"/>
        <w:rPr>
          <w:rFonts w:hint="eastAsia" w:ascii="仿宋" w:hAnsi="仿宋" w:eastAsia="仿宋" w:cs="仿宋"/>
          <w:b/>
          <w:bCs/>
          <w:color w:val="auto"/>
        </w:rPr>
      </w:pPr>
    </w:p>
    <w:p w14:paraId="47A4C7A8">
      <w:pPr>
        <w:spacing w:line="500" w:lineRule="exact"/>
        <w:ind w:firstLine="561"/>
        <w:outlineLvl w:val="2"/>
        <w:rPr>
          <w:rFonts w:hint="eastAsia" w:ascii="仿宋" w:hAnsi="仿宋" w:eastAsia="仿宋" w:cs="仿宋"/>
          <w:b/>
          <w:bCs/>
          <w:color w:val="auto"/>
        </w:rPr>
      </w:pPr>
    </w:p>
    <w:p w14:paraId="2C38C8AE">
      <w:pPr>
        <w:spacing w:line="500" w:lineRule="exact"/>
        <w:ind w:firstLine="561"/>
        <w:outlineLvl w:val="2"/>
        <w:rPr>
          <w:rFonts w:hint="eastAsia" w:ascii="仿宋" w:hAnsi="仿宋" w:eastAsia="仿宋" w:cs="仿宋"/>
          <w:b/>
          <w:bCs/>
          <w:color w:val="auto"/>
        </w:rPr>
      </w:pPr>
    </w:p>
    <w:bookmarkEnd w:id="586"/>
    <w:bookmarkEnd w:id="587"/>
    <w:bookmarkEnd w:id="588"/>
    <w:bookmarkEnd w:id="589"/>
    <w:bookmarkEnd w:id="590"/>
    <w:bookmarkEnd w:id="591"/>
    <w:bookmarkEnd w:id="592"/>
    <w:p w14:paraId="5787FEC6">
      <w:pPr>
        <w:spacing w:line="500" w:lineRule="exact"/>
        <w:outlineLvl w:val="2"/>
        <w:rPr>
          <w:rFonts w:hint="eastAsia" w:ascii="仿宋" w:hAnsi="仿宋" w:eastAsia="仿宋" w:cs="仿宋"/>
          <w:b/>
          <w:bCs/>
          <w:color w:val="auto"/>
        </w:rPr>
      </w:pPr>
      <w:r>
        <w:rPr>
          <w:rFonts w:hint="eastAsia" w:ascii="仿宋" w:hAnsi="仿宋" w:eastAsia="仿宋" w:cs="仿宋"/>
          <w:b/>
          <w:bCs/>
          <w:color w:val="auto"/>
        </w:rPr>
        <w:t>二、信用记录</w:t>
      </w:r>
      <w:r>
        <w:rPr>
          <w:rFonts w:hint="eastAsia" w:ascii="仿宋" w:hAnsi="仿宋" w:eastAsia="仿宋" w:cs="仿宋"/>
          <w:b/>
          <w:bCs/>
          <w:color w:val="auto"/>
        </w:rPr>
        <w:tab/>
      </w:r>
    </w:p>
    <w:p w14:paraId="6C9ECB14">
      <w:pPr>
        <w:pStyle w:val="63"/>
        <w:jc w:val="center"/>
        <w:outlineLvl w:val="9"/>
        <w:rPr>
          <w:rFonts w:cs="Times New Roman"/>
          <w:color w:val="auto"/>
          <w:sz w:val="30"/>
          <w:szCs w:val="30"/>
        </w:rPr>
      </w:pPr>
      <w:bookmarkStart w:id="593" w:name="_Toc29741"/>
      <w:bookmarkEnd w:id="593"/>
      <w:bookmarkStart w:id="594" w:name="_Toc10456"/>
      <w:bookmarkEnd w:id="594"/>
      <w:bookmarkStart w:id="595" w:name="_Toc17085"/>
      <w:bookmarkEnd w:id="595"/>
      <w:bookmarkStart w:id="596" w:name="_Toc32284"/>
      <w:bookmarkEnd w:id="596"/>
      <w:bookmarkStart w:id="597" w:name="_Toc29707"/>
      <w:bookmarkEnd w:id="597"/>
      <w:bookmarkStart w:id="598" w:name="_Toc23408"/>
      <w:bookmarkEnd w:id="598"/>
      <w:bookmarkStart w:id="599" w:name="_Toc3854"/>
      <w:bookmarkEnd w:id="599"/>
      <w:bookmarkStart w:id="600" w:name="_Toc11923"/>
      <w:bookmarkEnd w:id="600"/>
      <w:bookmarkStart w:id="601" w:name="_Toc4092"/>
      <w:bookmarkEnd w:id="601"/>
      <w:r>
        <w:rPr>
          <w:rFonts w:hint="eastAsia" w:cs="华文仿宋"/>
          <w:color w:val="auto"/>
          <w:sz w:val="30"/>
          <w:szCs w:val="30"/>
        </w:rPr>
        <w:t>供应商信用记录书面声明函</w:t>
      </w:r>
    </w:p>
    <w:p w14:paraId="07228562">
      <w:pPr>
        <w:spacing w:line="500" w:lineRule="exact"/>
        <w:rPr>
          <w:rFonts w:cs="Times New Roman"/>
          <w:color w:val="auto"/>
        </w:rPr>
      </w:pPr>
      <w:r>
        <w:rPr>
          <w:rFonts w:hint="eastAsia" w:ascii="仿宋" w:hAnsi="仿宋" w:eastAsia="仿宋" w:cs="仿宋"/>
          <w:color w:val="auto"/>
          <w:lang w:eastAsia="zh-CN"/>
        </w:rPr>
        <w:t>延安市公共资源交易中心（延安市市直单位政府采购中心）</w:t>
      </w:r>
      <w:r>
        <w:rPr>
          <w:rFonts w:hint="eastAsia" w:cs="华文仿宋"/>
          <w:color w:val="auto"/>
        </w:rPr>
        <w:t>：</w:t>
      </w:r>
    </w:p>
    <w:p w14:paraId="1787D630">
      <w:pPr>
        <w:spacing w:line="500" w:lineRule="exact"/>
        <w:ind w:right="11" w:firstLine="566" w:firstLineChars="200"/>
        <w:rPr>
          <w:rFonts w:hint="eastAsia" w:cs="华文仿宋"/>
          <w:color w:val="auto"/>
        </w:rPr>
      </w:pPr>
      <w:r>
        <w:rPr>
          <w:rFonts w:hint="eastAsia" w:ascii="华文仿宋" w:hAnsi="华文仿宋" w:cs="华文仿宋"/>
          <w:color w:val="auto"/>
        </w:rPr>
        <w:t>我方作为《</w:t>
      </w:r>
      <w:r>
        <w:rPr>
          <w:rFonts w:hint="eastAsia" w:ascii="华文仿宋" w:hAnsi="华文仿宋" w:cs="华文仿宋"/>
          <w:color w:val="auto"/>
          <w:u w:val="single"/>
        </w:rPr>
        <w:t>项目名称</w:t>
      </w:r>
      <w:r>
        <w:rPr>
          <w:rFonts w:hint="eastAsia" w:ascii="华文仿宋" w:hAnsi="华文仿宋" w:cs="华文仿宋"/>
          <w:color w:val="auto"/>
        </w:rPr>
        <w:t>》（项目编号：</w:t>
      </w:r>
      <w:r>
        <w:rPr>
          <w:rFonts w:hint="eastAsia" w:ascii="华文仿宋" w:hAnsi="华文仿宋" w:cs="华文仿宋"/>
          <w:color w:val="auto"/>
          <w:u w:val="single"/>
        </w:rPr>
        <w:t xml:space="preserve">    </w:t>
      </w:r>
      <w:r>
        <w:rPr>
          <w:rFonts w:hint="eastAsia" w:ascii="华文仿宋" w:hAnsi="华文仿宋" w:cs="华文仿宋"/>
          <w:color w:val="auto"/>
        </w:rPr>
        <w:t>）第</w:t>
      </w:r>
      <w:r>
        <w:rPr>
          <w:rFonts w:hint="eastAsia" w:ascii="华文仿宋" w:hAnsi="华文仿宋" w:cs="华文仿宋"/>
          <w:color w:val="auto"/>
          <w:u w:val="single"/>
        </w:rPr>
        <w:t xml:space="preserve">   </w:t>
      </w:r>
      <w:r>
        <w:rPr>
          <w:rFonts w:hint="eastAsia" w:ascii="华文仿宋" w:hAnsi="华文仿宋" w:cs="华文仿宋"/>
          <w:color w:val="auto"/>
        </w:rPr>
        <w:t>标段</w:t>
      </w:r>
      <w:r>
        <w:rPr>
          <w:rFonts w:hint="eastAsia" w:cs="华文仿宋"/>
          <w:color w:val="auto"/>
        </w:rPr>
        <w:t>的投标人，在此郑重声明：</w:t>
      </w:r>
    </w:p>
    <w:p w14:paraId="31B0E7F4">
      <w:pPr>
        <w:spacing w:line="500" w:lineRule="exact"/>
        <w:ind w:right="11" w:firstLine="566" w:firstLineChars="200"/>
        <w:rPr>
          <w:rFonts w:cs="Times New Roman"/>
          <w:color w:val="auto"/>
        </w:rPr>
      </w:pPr>
      <w:r>
        <w:rPr>
          <w:rFonts w:hint="eastAsia" w:ascii="仿宋" w:hAnsi="仿宋" w:eastAsia="仿宋" w:cs="仿宋"/>
          <w:color w:val="auto"/>
          <w:lang w:val="en-US" w:eastAsia="zh-CN"/>
        </w:rPr>
        <w:t>1.</w:t>
      </w:r>
      <w:r>
        <w:rPr>
          <w:rFonts w:hint="eastAsia" w:cs="华文仿宋"/>
          <w:color w:val="auto"/>
        </w:rPr>
        <w:t>在参加本次政府采购活动前</w:t>
      </w:r>
      <w:r>
        <w:rPr>
          <w:rFonts w:ascii="仿宋" w:hAnsi="仿宋" w:eastAsia="仿宋" w:cs="仿宋"/>
          <w:color w:val="auto"/>
        </w:rPr>
        <w:t>3</w:t>
      </w:r>
      <w:r>
        <w:rPr>
          <w:rFonts w:hint="eastAsia" w:cs="华文仿宋"/>
          <w:color w:val="auto"/>
        </w:rPr>
        <w:t>年内的经营活动中</w:t>
      </w:r>
      <w:r>
        <w:rPr>
          <w:color w:val="auto"/>
        </w:rPr>
        <w:t>____</w:t>
      </w:r>
      <w:r>
        <w:rPr>
          <w:rFonts w:hint="eastAsia" w:cs="华文仿宋"/>
          <w:color w:val="auto"/>
        </w:rPr>
        <w:t>（填“没有”或“有”）重大违法记录。</w:t>
      </w:r>
      <w:r>
        <w:rPr>
          <w:rFonts w:hint="eastAsia" w:cs="华文仿宋"/>
          <w:b/>
          <w:bCs/>
          <w:color w:val="auto"/>
        </w:rPr>
        <w:t>投标人在参加政府采购活动前</w:t>
      </w:r>
      <w:r>
        <w:rPr>
          <w:rFonts w:ascii="仿宋" w:hAnsi="仿宋" w:eastAsia="仿宋" w:cs="仿宋"/>
          <w:b/>
          <w:bCs/>
          <w:color w:val="auto"/>
        </w:rPr>
        <w:t>3</w:t>
      </w:r>
      <w:r>
        <w:rPr>
          <w:rFonts w:hint="eastAsia" w:cs="华文仿宋"/>
          <w:b/>
          <w:bCs/>
          <w:color w:val="auto"/>
        </w:rPr>
        <w:t>年内因违法经营被禁止在一定期限内参加政府采购活动，期限届满的，可以参加政府采购活动，但应提供期限届满的证明材料。</w:t>
      </w:r>
    </w:p>
    <w:p w14:paraId="519C02BC">
      <w:pPr>
        <w:spacing w:line="500" w:lineRule="exact"/>
        <w:ind w:right="11" w:firstLine="566" w:firstLineChars="200"/>
        <w:rPr>
          <w:rFonts w:hint="eastAsia" w:ascii="仿宋" w:hAnsi="仿宋" w:eastAsia="仿宋" w:cs="仿宋"/>
          <w:color w:val="auto"/>
          <w:lang w:val="en-US" w:eastAsia="zh-CN"/>
        </w:rPr>
      </w:pPr>
      <w:r>
        <w:rPr>
          <w:rFonts w:hint="eastAsia" w:ascii="仿宋" w:hAnsi="仿宋" w:eastAsia="仿宋" w:cs="仿宋"/>
          <w:color w:val="auto"/>
          <w:lang w:val="en-US" w:eastAsia="zh-CN"/>
        </w:rPr>
        <w:t>2.我方______（填“未被列入”或“被列入”）失信被执行人名单。</w:t>
      </w:r>
    </w:p>
    <w:p w14:paraId="3142F9B6">
      <w:pPr>
        <w:spacing w:line="500" w:lineRule="exact"/>
        <w:ind w:right="11" w:firstLine="566" w:firstLineChars="200"/>
        <w:rPr>
          <w:rFonts w:hint="eastAsia" w:ascii="仿宋" w:hAnsi="仿宋" w:eastAsia="仿宋" w:cs="仿宋"/>
          <w:color w:val="auto"/>
          <w:lang w:val="en-US" w:eastAsia="zh-CN"/>
        </w:rPr>
      </w:pPr>
      <w:r>
        <w:rPr>
          <w:rFonts w:hint="eastAsia" w:ascii="仿宋" w:hAnsi="仿宋" w:eastAsia="仿宋" w:cs="仿宋"/>
          <w:color w:val="auto"/>
          <w:lang w:val="en-US" w:eastAsia="zh-CN"/>
        </w:rPr>
        <w:t>3.我方______（填“未被列入”或“被列入”）重大税收违法失信主体名单。</w:t>
      </w:r>
    </w:p>
    <w:p w14:paraId="153C8630">
      <w:pPr>
        <w:spacing w:line="500" w:lineRule="exact"/>
        <w:ind w:right="11" w:firstLine="566" w:firstLineChars="200"/>
        <w:rPr>
          <w:rFonts w:hint="eastAsia" w:cs="华文仿宋"/>
          <w:color w:val="auto"/>
        </w:rPr>
      </w:pPr>
      <w:r>
        <w:rPr>
          <w:rFonts w:hint="eastAsia" w:ascii="仿宋" w:hAnsi="仿宋" w:eastAsia="仿宋" w:cs="仿宋"/>
          <w:color w:val="auto"/>
          <w:lang w:val="en-US" w:eastAsia="zh-CN"/>
        </w:rPr>
        <w:t>4.</w:t>
      </w:r>
      <w:r>
        <w:rPr>
          <w:rFonts w:hint="eastAsia" w:cs="华文仿宋"/>
          <w:color w:val="auto"/>
          <w:lang w:val="en-US" w:eastAsia="zh-CN"/>
        </w:rPr>
        <w:t>我方______（填“未被列入”或“被列入”）政府采购严重违法失信行为记</w:t>
      </w:r>
      <w:r>
        <w:rPr>
          <w:rFonts w:hint="eastAsia" w:cs="华文仿宋"/>
          <w:color w:val="auto"/>
        </w:rPr>
        <w:t>录名单。</w:t>
      </w:r>
    </w:p>
    <w:p w14:paraId="28897E97">
      <w:pPr>
        <w:spacing w:line="500" w:lineRule="exact"/>
        <w:ind w:firstLine="566" w:firstLineChars="200"/>
        <w:rPr>
          <w:rFonts w:cs="Times New Roman"/>
          <w:color w:val="auto"/>
        </w:rPr>
      </w:pPr>
      <w:r>
        <w:rPr>
          <w:rFonts w:hint="eastAsia" w:cs="华文仿宋"/>
          <w:color w:val="auto"/>
        </w:rPr>
        <w:t>如有不实，我方将无条件地退出本项目的采购活动，并遵照《政府采购法》有关“提供虚假材料的规定”接受处罚。</w:t>
      </w:r>
    </w:p>
    <w:p w14:paraId="5976321B">
      <w:pPr>
        <w:spacing w:line="500" w:lineRule="exact"/>
        <w:ind w:firstLine="566" w:firstLineChars="200"/>
        <w:rPr>
          <w:rFonts w:cs="Times New Roman"/>
          <w:color w:val="auto"/>
        </w:rPr>
      </w:pPr>
      <w:r>
        <w:rPr>
          <w:rFonts w:hint="eastAsia" w:cs="华文仿宋"/>
          <w:color w:val="auto"/>
        </w:rPr>
        <w:t>特此声明。</w:t>
      </w:r>
    </w:p>
    <w:p w14:paraId="0940A411">
      <w:pPr>
        <w:spacing w:line="500" w:lineRule="exact"/>
        <w:ind w:firstLine="4811" w:firstLineChars="1700"/>
        <w:rPr>
          <w:rFonts w:cs="Times New Roman"/>
          <w:color w:val="auto"/>
        </w:rPr>
      </w:pPr>
      <w:r>
        <w:rPr>
          <w:rFonts w:hint="eastAsia" w:cs="华文仿宋"/>
          <w:color w:val="auto"/>
        </w:rPr>
        <w:t>投标人：</w:t>
      </w:r>
      <w:r>
        <w:rPr>
          <w:rFonts w:hint="eastAsia" w:cs="华文仿宋"/>
          <w:color w:val="auto"/>
          <w:u w:val="single"/>
        </w:rPr>
        <w:t>名称</w:t>
      </w:r>
      <w:r>
        <w:rPr>
          <w:rFonts w:hint="eastAsia" w:cs="华文仿宋"/>
          <w:color w:val="auto"/>
        </w:rPr>
        <w:t>（加盖公章）</w:t>
      </w:r>
    </w:p>
    <w:p w14:paraId="54D96579">
      <w:pPr>
        <w:spacing w:line="500" w:lineRule="exact"/>
        <w:ind w:firstLine="5094" w:firstLineChars="1800"/>
        <w:rPr>
          <w:rFonts w:cs="Times New Roman"/>
          <w:color w:val="auto"/>
        </w:rPr>
      </w:pPr>
      <w:r>
        <w:rPr>
          <w:rFonts w:hint="eastAsia" w:cs="华文仿宋"/>
          <w:color w:val="auto"/>
        </w:rPr>
        <w:t>日期：　　年　月　日</w:t>
      </w:r>
    </w:p>
    <w:p w14:paraId="77611BE8">
      <w:pPr>
        <w:spacing w:line="500" w:lineRule="exact"/>
        <w:ind w:firstLine="426" w:firstLineChars="200"/>
        <w:rPr>
          <w:rFonts w:ascii="宋体" w:hAnsi="宋体" w:eastAsia="宋体" w:cs="Times New Roman"/>
          <w:color w:val="auto"/>
          <w:sz w:val="21"/>
          <w:szCs w:val="21"/>
        </w:rPr>
      </w:pPr>
    </w:p>
    <w:p w14:paraId="37E2383E">
      <w:pPr>
        <w:pStyle w:val="27"/>
        <w:spacing w:after="190"/>
        <w:ind w:firstLine="213"/>
        <w:rPr>
          <w:color w:val="auto"/>
        </w:rPr>
      </w:pPr>
      <w:r>
        <w:rPr>
          <w:rFonts w:hint="eastAsia" w:ascii="宋体" w:hAnsi="宋体" w:eastAsia="宋体" w:cs="宋体"/>
          <w:color w:val="auto"/>
          <w:sz w:val="21"/>
          <w:szCs w:val="21"/>
        </w:rPr>
        <w:t>备注：项目不分标段的，第</w:t>
      </w:r>
      <w:r>
        <w:rPr>
          <w:rFonts w:ascii="宋体" w:hAnsi="宋体" w:eastAsia="宋体" w:cs="宋体"/>
          <w:color w:val="auto"/>
          <w:sz w:val="21"/>
          <w:szCs w:val="21"/>
        </w:rPr>
        <w:t>___</w:t>
      </w:r>
      <w:r>
        <w:rPr>
          <w:rFonts w:hint="eastAsia" w:ascii="宋体" w:hAnsi="宋体" w:eastAsia="宋体" w:cs="宋体"/>
          <w:color w:val="auto"/>
          <w:sz w:val="21"/>
          <w:szCs w:val="21"/>
        </w:rPr>
        <w:t>标段空白处填写“</w:t>
      </w:r>
      <w:r>
        <w:rPr>
          <w:rFonts w:ascii="宋体" w:hAnsi="宋体" w:eastAsia="宋体" w:cs="宋体"/>
          <w:color w:val="auto"/>
          <w:sz w:val="21"/>
          <w:szCs w:val="21"/>
        </w:rPr>
        <w:t>/</w:t>
      </w:r>
      <w:r>
        <w:rPr>
          <w:rFonts w:hint="eastAsia" w:ascii="宋体" w:hAnsi="宋体" w:eastAsia="宋体" w:cs="宋体"/>
          <w:color w:val="auto"/>
          <w:sz w:val="21"/>
          <w:szCs w:val="21"/>
        </w:rPr>
        <w:t>”。</w:t>
      </w:r>
    </w:p>
    <w:p w14:paraId="4CF978C4">
      <w:pPr>
        <w:spacing w:line="500" w:lineRule="exact"/>
        <w:ind w:firstLine="566" w:firstLineChars="200"/>
        <w:outlineLvl w:val="2"/>
        <w:rPr>
          <w:rFonts w:hint="eastAsia" w:ascii="仿宋" w:hAnsi="仿宋" w:eastAsia="仿宋" w:cs="仿宋"/>
          <w:b/>
          <w:bCs/>
          <w:color w:val="auto"/>
          <w:lang w:val="en-US" w:eastAsia="zh-CN"/>
        </w:rPr>
      </w:pPr>
      <w:bookmarkStart w:id="602" w:name="_Toc14054"/>
      <w:bookmarkStart w:id="603" w:name="_Toc22937"/>
      <w:bookmarkStart w:id="604" w:name="_Toc24508"/>
      <w:bookmarkStart w:id="605" w:name="_Toc1488"/>
      <w:bookmarkStart w:id="606" w:name="_Toc6319"/>
    </w:p>
    <w:p w14:paraId="62B19243">
      <w:pPr>
        <w:spacing w:line="500" w:lineRule="exact"/>
        <w:ind w:firstLine="566" w:firstLineChars="200"/>
        <w:outlineLvl w:val="2"/>
        <w:rPr>
          <w:rFonts w:hint="eastAsia" w:ascii="仿宋" w:hAnsi="仿宋" w:eastAsia="仿宋" w:cs="仿宋"/>
          <w:b/>
          <w:bCs/>
          <w:color w:val="auto"/>
          <w:lang w:val="en-US" w:eastAsia="zh-CN"/>
        </w:rPr>
      </w:pPr>
    </w:p>
    <w:p w14:paraId="7BB93D5B">
      <w:pPr>
        <w:spacing w:line="500" w:lineRule="exact"/>
        <w:ind w:firstLine="566" w:firstLineChars="200"/>
        <w:outlineLvl w:val="2"/>
        <w:rPr>
          <w:rFonts w:hint="eastAsia" w:ascii="仿宋" w:hAnsi="仿宋" w:eastAsia="仿宋" w:cs="仿宋"/>
          <w:b/>
          <w:bCs/>
          <w:color w:val="auto"/>
          <w:lang w:val="en-US" w:eastAsia="zh-CN"/>
        </w:rPr>
      </w:pPr>
    </w:p>
    <w:p w14:paraId="4D5BE386">
      <w:pPr>
        <w:spacing w:line="500" w:lineRule="exact"/>
        <w:ind w:firstLine="566" w:firstLineChars="200"/>
        <w:outlineLvl w:val="2"/>
        <w:rPr>
          <w:rFonts w:hint="eastAsia" w:ascii="仿宋" w:hAnsi="仿宋" w:eastAsia="仿宋" w:cs="仿宋"/>
          <w:b/>
          <w:bCs/>
          <w:color w:val="auto"/>
          <w:lang w:val="en-US" w:eastAsia="zh-CN"/>
        </w:rPr>
      </w:pPr>
    </w:p>
    <w:p w14:paraId="2E8317F9">
      <w:pPr>
        <w:spacing w:line="500" w:lineRule="exact"/>
        <w:ind w:firstLine="566" w:firstLineChars="200"/>
        <w:outlineLvl w:val="2"/>
        <w:rPr>
          <w:rFonts w:hint="eastAsia" w:ascii="仿宋" w:hAnsi="仿宋" w:eastAsia="仿宋" w:cs="仿宋"/>
          <w:b/>
          <w:bCs/>
          <w:color w:val="auto"/>
          <w:lang w:val="en-US" w:eastAsia="zh-CN"/>
        </w:rPr>
      </w:pPr>
    </w:p>
    <w:p w14:paraId="6506F4BF">
      <w:pPr>
        <w:spacing w:line="500" w:lineRule="exact"/>
        <w:ind w:firstLine="566" w:firstLineChars="200"/>
        <w:outlineLvl w:val="2"/>
        <w:rPr>
          <w:rFonts w:hint="eastAsia" w:ascii="仿宋" w:hAnsi="仿宋" w:eastAsia="仿宋" w:cs="仿宋"/>
          <w:b/>
          <w:bCs/>
          <w:color w:val="auto"/>
          <w:lang w:val="en-US" w:eastAsia="zh-CN"/>
        </w:rPr>
      </w:pPr>
    </w:p>
    <w:p w14:paraId="062EC399">
      <w:pPr>
        <w:spacing w:line="500" w:lineRule="exact"/>
        <w:ind w:firstLine="566" w:firstLineChars="200"/>
        <w:outlineLvl w:val="2"/>
        <w:rPr>
          <w:rFonts w:hint="eastAsia" w:ascii="仿宋" w:hAnsi="仿宋" w:eastAsia="仿宋" w:cs="仿宋"/>
          <w:b/>
          <w:bCs/>
          <w:color w:val="auto"/>
          <w:lang w:val="en-US" w:eastAsia="zh-CN"/>
        </w:rPr>
      </w:pPr>
      <w:r>
        <w:rPr>
          <w:rFonts w:hint="eastAsia" w:ascii="仿宋" w:hAnsi="仿宋" w:eastAsia="仿宋" w:cs="仿宋"/>
          <w:b/>
          <w:bCs/>
          <w:color w:val="auto"/>
          <w:lang w:val="en-US" w:eastAsia="zh-CN"/>
        </w:rPr>
        <w:t>三</w:t>
      </w:r>
      <w:r>
        <w:rPr>
          <w:rFonts w:hint="eastAsia" w:ascii="仿宋" w:hAnsi="仿宋" w:eastAsia="仿宋" w:cs="仿宋"/>
          <w:b/>
          <w:bCs/>
          <w:color w:val="auto"/>
        </w:rPr>
        <w:t>、</w:t>
      </w:r>
      <w:r>
        <w:rPr>
          <w:rFonts w:hint="eastAsia" w:ascii="仿宋" w:hAnsi="仿宋" w:eastAsia="仿宋" w:cs="仿宋"/>
          <w:b/>
          <w:bCs/>
          <w:color w:val="auto"/>
          <w:lang w:val="en-US" w:eastAsia="zh-CN"/>
        </w:rPr>
        <w:t>财务状况、缴纳税收和社会保障资金三项符合要求的承诺函</w:t>
      </w:r>
    </w:p>
    <w:p w14:paraId="0510DB19">
      <w:pPr>
        <w:spacing w:line="360" w:lineRule="atLeast"/>
        <w:jc w:val="center"/>
        <w:rPr>
          <w:rFonts w:hint="eastAsia" w:ascii="宋体" w:hAnsi="宋体" w:eastAsia="宋体" w:cs="Times New Roman"/>
          <w:b/>
          <w:sz w:val="32"/>
          <w:szCs w:val="32"/>
          <w:lang w:val="en-US" w:eastAsia="zh-CN"/>
        </w:rPr>
      </w:pPr>
    </w:p>
    <w:p w14:paraId="0360CD7E">
      <w:pPr>
        <w:spacing w:line="360" w:lineRule="atLeast"/>
        <w:jc w:val="center"/>
        <w:rPr>
          <w:rFonts w:hint="eastAsia" w:ascii="华文仿宋" w:hAnsi="华文仿宋" w:eastAsia="华文仿宋" w:cs="华文仿宋"/>
          <w:sz w:val="28"/>
          <w:szCs w:val="28"/>
          <w:lang w:val="en-US" w:eastAsia="zh-CN"/>
        </w:rPr>
      </w:pPr>
      <w:r>
        <w:rPr>
          <w:rFonts w:hint="eastAsia" w:ascii="宋体" w:hAnsi="宋体" w:eastAsia="宋体" w:cs="Times New Roman"/>
          <w:b/>
          <w:sz w:val="32"/>
          <w:szCs w:val="32"/>
          <w:lang w:val="en-US" w:eastAsia="zh-CN"/>
        </w:rPr>
        <w:t>承诺函</w:t>
      </w:r>
    </w:p>
    <w:p w14:paraId="7BD7EB1B">
      <w:pPr>
        <w:spacing w:line="360" w:lineRule="auto"/>
        <w:ind w:firstLine="424" w:firstLineChars="150"/>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我公司承诺，我公司财务状况、依法缴纳税收和社会保障资金良好。</w:t>
      </w:r>
    </w:p>
    <w:p w14:paraId="2653C6B4">
      <w:pPr>
        <w:spacing w:line="360" w:lineRule="auto"/>
        <w:ind w:firstLine="424" w:firstLineChars="150"/>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如有隐瞒实情，愿承担一切责任及后果。</w:t>
      </w:r>
    </w:p>
    <w:p w14:paraId="253AC07C">
      <w:pPr>
        <w:spacing w:line="360" w:lineRule="auto"/>
        <w:ind w:firstLine="424" w:firstLineChars="150"/>
        <w:rPr>
          <w:rFonts w:hint="eastAsia" w:ascii="华文仿宋" w:hAnsi="华文仿宋" w:eastAsia="华文仿宋" w:cs="华文仿宋"/>
          <w:sz w:val="28"/>
          <w:szCs w:val="28"/>
          <w:lang w:val="en-US" w:eastAsia="zh-CN"/>
        </w:rPr>
      </w:pPr>
    </w:p>
    <w:p w14:paraId="760A6043">
      <w:pPr>
        <w:spacing w:line="360" w:lineRule="auto"/>
        <w:ind w:firstLine="424" w:firstLineChars="150"/>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承诺单位：（盖章）</w:t>
      </w:r>
    </w:p>
    <w:p w14:paraId="3BA1D96D">
      <w:pPr>
        <w:spacing w:line="360" w:lineRule="auto"/>
        <w:ind w:firstLine="424" w:firstLineChars="150"/>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法定代表人或全权代表：</w:t>
      </w:r>
      <w:r>
        <w:rPr>
          <w:rFonts w:hint="eastAsia" w:ascii="华文仿宋" w:hAnsi="华文仿宋" w:eastAsia="华文仿宋" w:cs="华文仿宋"/>
          <w:b/>
          <w:bCs/>
          <w:sz w:val="28"/>
          <w:szCs w:val="28"/>
          <w:lang w:val="en-US" w:eastAsia="zh-CN"/>
        </w:rPr>
        <w:t>（签字</w:t>
      </w:r>
      <w:r>
        <w:rPr>
          <w:rFonts w:hint="eastAsia" w:ascii="华文仿宋" w:hAnsi="华文仿宋" w:cs="华文仿宋"/>
          <w:b/>
          <w:bCs/>
          <w:sz w:val="28"/>
          <w:szCs w:val="28"/>
          <w:lang w:val="en-US" w:eastAsia="zh-CN"/>
        </w:rPr>
        <w:t>或</w:t>
      </w:r>
      <w:r>
        <w:rPr>
          <w:rFonts w:hint="eastAsia" w:ascii="华文仿宋" w:hAnsi="华文仿宋" w:eastAsia="华文仿宋" w:cs="华文仿宋"/>
          <w:b/>
          <w:bCs/>
          <w:sz w:val="28"/>
          <w:szCs w:val="28"/>
          <w:lang w:val="en-US" w:eastAsia="zh-CN"/>
        </w:rPr>
        <w:t>盖章）</w:t>
      </w:r>
    </w:p>
    <w:p w14:paraId="4873B689">
      <w:pPr>
        <w:spacing w:line="360" w:lineRule="auto"/>
        <w:ind w:firstLine="424" w:firstLineChars="150"/>
        <w:rPr>
          <w:rFonts w:hint="eastAsia" w:ascii="华文仿宋" w:hAnsi="华文仿宋" w:eastAsia="华文仿宋" w:cs="华文仿宋"/>
          <w:sz w:val="28"/>
          <w:szCs w:val="28"/>
          <w:lang w:val="en-US" w:eastAsia="zh-CN"/>
        </w:rPr>
      </w:pPr>
    </w:p>
    <w:p w14:paraId="7598F6E4">
      <w:pPr>
        <w:spacing w:line="360" w:lineRule="auto"/>
        <w:ind w:firstLine="424" w:firstLineChars="150"/>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 xml:space="preserve">地址：                   </w:t>
      </w:r>
    </w:p>
    <w:p w14:paraId="4C7E5488">
      <w:pPr>
        <w:spacing w:line="360" w:lineRule="auto"/>
        <w:ind w:firstLine="424" w:firstLineChars="150"/>
        <w:rPr>
          <w:rFonts w:hint="eastAsia" w:ascii="华文仿宋" w:hAnsi="华文仿宋" w:eastAsia="华文仿宋" w:cs="华文仿宋"/>
          <w:sz w:val="28"/>
          <w:szCs w:val="28"/>
          <w:lang w:val="en-US" w:eastAsia="zh-CN"/>
        </w:rPr>
      </w:pPr>
    </w:p>
    <w:p w14:paraId="50229F17">
      <w:pPr>
        <w:spacing w:line="360" w:lineRule="auto"/>
        <w:ind w:firstLine="424" w:firstLineChars="150"/>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邮编：</w:t>
      </w:r>
    </w:p>
    <w:p w14:paraId="191CA086">
      <w:pPr>
        <w:spacing w:line="360" w:lineRule="auto"/>
        <w:ind w:firstLine="424" w:firstLineChars="150"/>
        <w:rPr>
          <w:rFonts w:hint="eastAsia" w:ascii="华文仿宋" w:hAnsi="华文仿宋" w:eastAsia="华文仿宋" w:cs="华文仿宋"/>
          <w:sz w:val="28"/>
          <w:szCs w:val="28"/>
          <w:lang w:val="en-US" w:eastAsia="zh-CN"/>
        </w:rPr>
      </w:pPr>
    </w:p>
    <w:p w14:paraId="4C1ABCCE">
      <w:pPr>
        <w:spacing w:line="360" w:lineRule="auto"/>
        <w:ind w:firstLine="424" w:firstLineChars="150"/>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电话：</w:t>
      </w:r>
    </w:p>
    <w:p w14:paraId="0904F533">
      <w:pPr>
        <w:spacing w:line="360" w:lineRule="auto"/>
        <w:ind w:firstLine="424" w:firstLineChars="150"/>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 xml:space="preserve">                                             年  月  日</w:t>
      </w:r>
    </w:p>
    <w:p w14:paraId="2B1C342B">
      <w:pPr>
        <w:pStyle w:val="4"/>
        <w:rPr>
          <w:rFonts w:hint="eastAsia"/>
          <w:lang w:val="en-US" w:eastAsia="zh-CN"/>
        </w:rPr>
      </w:pPr>
    </w:p>
    <w:p w14:paraId="7B87F3BF">
      <w:pPr>
        <w:pStyle w:val="4"/>
        <w:jc w:val="both"/>
        <w:rPr>
          <w:rFonts w:hint="eastAsia"/>
          <w:lang w:val="en-US" w:eastAsia="zh-CN"/>
        </w:rPr>
      </w:pPr>
    </w:p>
    <w:p w14:paraId="50CF2D21">
      <w:pPr>
        <w:pStyle w:val="27"/>
        <w:numPr>
          <w:ilvl w:val="0"/>
          <w:numId w:val="0"/>
        </w:numPr>
        <w:spacing w:after="190"/>
        <w:ind w:firstLine="606" w:firstLineChars="200"/>
        <w:outlineLvl w:val="2"/>
        <w:rPr>
          <w:rFonts w:hint="eastAsia" w:ascii="仿宋" w:hAnsi="仿宋" w:eastAsia="仿宋" w:cs="仿宋"/>
          <w:b/>
          <w:bCs/>
          <w:color w:val="auto"/>
          <w:kern w:val="2"/>
          <w:sz w:val="30"/>
          <w:szCs w:val="30"/>
          <w:lang w:val="en-US" w:eastAsia="zh-CN" w:bidi="ar-SA"/>
        </w:rPr>
      </w:pPr>
    </w:p>
    <w:p w14:paraId="02294992">
      <w:pPr>
        <w:pStyle w:val="27"/>
        <w:numPr>
          <w:ilvl w:val="0"/>
          <w:numId w:val="0"/>
        </w:numPr>
        <w:spacing w:after="190"/>
        <w:ind w:firstLine="606" w:firstLineChars="200"/>
        <w:outlineLvl w:val="2"/>
        <w:rPr>
          <w:rFonts w:hint="eastAsia" w:ascii="仿宋" w:hAnsi="仿宋" w:eastAsia="仿宋" w:cs="仿宋"/>
          <w:b/>
          <w:bCs/>
          <w:color w:val="auto"/>
          <w:kern w:val="2"/>
          <w:sz w:val="30"/>
          <w:szCs w:val="30"/>
          <w:lang w:val="en-US" w:eastAsia="zh-CN" w:bidi="ar-SA"/>
        </w:rPr>
      </w:pPr>
    </w:p>
    <w:bookmarkEnd w:id="602"/>
    <w:bookmarkEnd w:id="603"/>
    <w:bookmarkEnd w:id="604"/>
    <w:bookmarkEnd w:id="605"/>
    <w:bookmarkEnd w:id="606"/>
    <w:p w14:paraId="0115492F">
      <w:pPr>
        <w:pStyle w:val="27"/>
        <w:numPr>
          <w:ilvl w:val="0"/>
          <w:numId w:val="0"/>
        </w:numPr>
        <w:spacing w:after="190"/>
        <w:ind w:firstLine="606" w:firstLineChars="200"/>
        <w:outlineLvl w:val="2"/>
        <w:rPr>
          <w:rFonts w:ascii="仿宋" w:hAnsi="仿宋" w:eastAsia="仿宋" w:cs="仿宋"/>
          <w:b/>
          <w:bCs/>
          <w:color w:val="auto"/>
          <w:sz w:val="30"/>
          <w:szCs w:val="30"/>
        </w:rPr>
      </w:pPr>
      <w:bookmarkStart w:id="607" w:name="_Toc32331"/>
      <w:bookmarkEnd w:id="607"/>
      <w:bookmarkStart w:id="608" w:name="_Toc9165"/>
      <w:bookmarkEnd w:id="608"/>
      <w:bookmarkStart w:id="609" w:name="_Toc7084"/>
      <w:bookmarkEnd w:id="609"/>
      <w:bookmarkStart w:id="610" w:name="_Toc4561"/>
      <w:bookmarkEnd w:id="610"/>
      <w:bookmarkStart w:id="611" w:name="_Toc25524"/>
      <w:bookmarkEnd w:id="611"/>
      <w:bookmarkStart w:id="612" w:name="_Toc15868"/>
      <w:bookmarkEnd w:id="612"/>
      <w:bookmarkStart w:id="613" w:name="_Toc1517"/>
      <w:bookmarkEnd w:id="613"/>
      <w:bookmarkStart w:id="614" w:name="_Toc20662"/>
      <w:bookmarkEnd w:id="614"/>
      <w:r>
        <w:rPr>
          <w:rFonts w:hint="eastAsia" w:ascii="仿宋" w:hAnsi="仿宋" w:eastAsia="仿宋" w:cs="仿宋"/>
          <w:b/>
          <w:bCs/>
          <w:color w:val="auto"/>
          <w:kern w:val="2"/>
          <w:sz w:val="30"/>
          <w:szCs w:val="30"/>
          <w:lang w:val="en-US" w:eastAsia="zh-CN" w:bidi="ar-SA"/>
        </w:rPr>
        <w:t>四、</w:t>
      </w:r>
      <w:r>
        <w:rPr>
          <w:rFonts w:hint="eastAsia" w:ascii="仿宋" w:hAnsi="仿宋" w:eastAsia="仿宋" w:cs="仿宋"/>
          <w:b/>
          <w:bCs/>
          <w:color w:val="auto"/>
          <w:sz w:val="30"/>
          <w:szCs w:val="30"/>
        </w:rPr>
        <w:t>控股管理关系</w:t>
      </w:r>
    </w:p>
    <w:p w14:paraId="3520DAD1">
      <w:pPr>
        <w:pStyle w:val="27"/>
        <w:keepNext w:val="0"/>
        <w:keepLines w:val="0"/>
        <w:pageBreakBefore w:val="0"/>
        <w:widowControl/>
        <w:kinsoku/>
        <w:wordWrap/>
        <w:overflowPunct/>
        <w:topLinePunct w:val="0"/>
        <w:autoSpaceDE/>
        <w:autoSpaceDN/>
        <w:bidi w:val="0"/>
        <w:adjustRightInd/>
        <w:snapToGrid/>
        <w:spacing w:afterLines="0"/>
        <w:ind w:firstLine="606" w:firstLineChars="200"/>
        <w:rPr>
          <w:rFonts w:ascii="仿宋" w:hAnsi="仿宋" w:eastAsia="仿宋" w:cs="仿宋"/>
          <w:b/>
          <w:bCs/>
          <w:color w:val="auto"/>
          <w:sz w:val="30"/>
          <w:szCs w:val="30"/>
        </w:rPr>
      </w:pPr>
      <w:bookmarkStart w:id="615" w:name="_Toc12007"/>
      <w:bookmarkEnd w:id="615"/>
      <w:bookmarkStart w:id="616" w:name="_Toc23076"/>
      <w:bookmarkEnd w:id="616"/>
      <w:bookmarkStart w:id="617" w:name="_Toc13090"/>
      <w:bookmarkEnd w:id="617"/>
      <w:bookmarkStart w:id="618" w:name="_Toc12264"/>
      <w:bookmarkEnd w:id="618"/>
      <w:bookmarkStart w:id="619" w:name="_Toc25983"/>
      <w:bookmarkEnd w:id="619"/>
      <w:bookmarkStart w:id="620" w:name="_Toc15773"/>
      <w:bookmarkEnd w:id="620"/>
      <w:r>
        <w:rPr>
          <w:rFonts w:hint="eastAsia" w:ascii="仿宋" w:hAnsi="仿宋" w:eastAsia="仿宋" w:cs="仿宋"/>
          <w:b/>
          <w:bCs/>
          <w:color w:val="auto"/>
          <w:sz w:val="30"/>
          <w:szCs w:val="30"/>
        </w:rPr>
        <w:t>投标人提供直接控股和管理关系清单，格式不限。</w:t>
      </w:r>
    </w:p>
    <w:p w14:paraId="0E5714D5">
      <w:pPr>
        <w:pStyle w:val="27"/>
        <w:keepNext w:val="0"/>
        <w:keepLines w:val="0"/>
        <w:pageBreakBefore w:val="0"/>
        <w:widowControl/>
        <w:kinsoku/>
        <w:wordWrap/>
        <w:overflowPunct/>
        <w:topLinePunct w:val="0"/>
        <w:autoSpaceDE/>
        <w:autoSpaceDN/>
        <w:bidi w:val="0"/>
        <w:adjustRightInd/>
        <w:snapToGrid/>
        <w:spacing w:afterLines="0"/>
        <w:ind w:firstLine="606" w:firstLineChars="200"/>
        <w:jc w:val="center"/>
        <w:rPr>
          <w:rFonts w:ascii="仿宋" w:hAnsi="仿宋" w:eastAsia="仿宋" w:cs="仿宋"/>
          <w:b/>
          <w:bCs/>
          <w:color w:val="auto"/>
          <w:sz w:val="30"/>
          <w:szCs w:val="30"/>
        </w:rPr>
      </w:pPr>
      <w:bookmarkStart w:id="621" w:name="_Toc15131"/>
      <w:bookmarkEnd w:id="621"/>
      <w:bookmarkStart w:id="622" w:name="_Toc10651"/>
      <w:bookmarkEnd w:id="622"/>
      <w:bookmarkStart w:id="623" w:name="_Toc22023"/>
      <w:bookmarkEnd w:id="623"/>
      <w:bookmarkStart w:id="624" w:name="_Toc952"/>
      <w:bookmarkEnd w:id="624"/>
      <w:bookmarkStart w:id="625" w:name="_Toc26760"/>
      <w:bookmarkEnd w:id="625"/>
      <w:bookmarkStart w:id="626" w:name="_Toc21260"/>
      <w:bookmarkEnd w:id="626"/>
      <w:r>
        <w:rPr>
          <w:rFonts w:hint="eastAsia" w:ascii="仿宋" w:hAnsi="仿宋" w:eastAsia="仿宋" w:cs="仿宋"/>
          <w:b/>
          <w:bCs/>
          <w:color w:val="auto"/>
          <w:sz w:val="30"/>
          <w:szCs w:val="30"/>
        </w:rPr>
        <w:t>控股管理关系（样表）</w:t>
      </w:r>
    </w:p>
    <w:p w14:paraId="29161CB9">
      <w:pPr>
        <w:spacing w:line="500" w:lineRule="exact"/>
        <w:rPr>
          <w:rFonts w:ascii="仿宋" w:hAnsi="仿宋" w:eastAsia="仿宋" w:cs="仿宋"/>
          <w:color w:val="auto"/>
        </w:rPr>
      </w:pPr>
      <w:r>
        <w:rPr>
          <w:rFonts w:hint="eastAsia" w:ascii="仿宋" w:hAnsi="仿宋" w:eastAsia="仿宋" w:cs="仿宋"/>
          <w:color w:val="auto"/>
          <w:lang w:eastAsia="zh-CN"/>
        </w:rPr>
        <w:t>延安市公共资源交易中心（延安市市直单位政府采购中心）</w:t>
      </w:r>
      <w:r>
        <w:rPr>
          <w:rFonts w:hint="eastAsia" w:ascii="仿宋" w:hAnsi="仿宋" w:eastAsia="仿宋" w:cs="仿宋"/>
          <w:color w:val="auto"/>
        </w:rPr>
        <w:t>：</w:t>
      </w:r>
    </w:p>
    <w:p w14:paraId="627C32B6">
      <w:pPr>
        <w:spacing w:line="500" w:lineRule="exact"/>
        <w:ind w:firstLine="566" w:firstLineChars="200"/>
        <w:rPr>
          <w:rFonts w:ascii="仿宋" w:hAnsi="仿宋" w:eastAsia="仿宋" w:cs="仿宋"/>
          <w:b/>
          <w:bCs/>
          <w:color w:val="auto"/>
          <w:sz w:val="30"/>
          <w:szCs w:val="30"/>
        </w:rPr>
      </w:pPr>
      <w:r>
        <w:rPr>
          <w:rFonts w:hint="eastAsia" w:ascii="仿宋" w:hAnsi="仿宋" w:eastAsia="仿宋" w:cs="仿宋"/>
          <w:color w:val="auto"/>
        </w:rPr>
        <w:t>我方与以下投标人存在直接控股、管理关系：</w:t>
      </w:r>
    </w:p>
    <w:tbl>
      <w:tblPr>
        <w:tblStyle w:val="29"/>
        <w:tblW w:w="9180"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86"/>
        <w:gridCol w:w="2919"/>
        <w:gridCol w:w="2910"/>
        <w:gridCol w:w="1665"/>
      </w:tblGrid>
      <w:tr w14:paraId="132268E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180" w:type="dxa"/>
            <w:gridSpan w:val="4"/>
            <w:tcBorders>
              <w:left w:val="single" w:color="auto" w:sz="12" w:space="0"/>
              <w:right w:val="single" w:color="auto" w:sz="12" w:space="0"/>
            </w:tcBorders>
            <w:shd w:val="clear" w:color="auto" w:fill="F7CAAC"/>
            <w:noWrap/>
            <w:vAlign w:val="center"/>
          </w:tcPr>
          <w:p w14:paraId="0657DC45">
            <w:pPr>
              <w:autoSpaceDE w:val="0"/>
              <w:autoSpaceDN w:val="0"/>
              <w:adjustRightInd w:val="0"/>
              <w:spacing w:line="320" w:lineRule="exact"/>
              <w:jc w:val="center"/>
              <w:rPr>
                <w:rFonts w:hint="eastAsia" w:ascii="仿宋" w:hAnsi="仿宋" w:eastAsia="仿宋" w:cs="仿宋"/>
                <w:color w:val="auto"/>
                <w:kern w:val="0"/>
                <w:sz w:val="24"/>
                <w:szCs w:val="24"/>
                <w:lang w:eastAsia="zh-CN"/>
              </w:rPr>
            </w:pPr>
            <w:r>
              <w:rPr>
                <w:rFonts w:hint="eastAsia" w:ascii="仿宋" w:hAnsi="仿宋" w:eastAsia="仿宋" w:cs="仿宋"/>
                <w:color w:val="auto"/>
                <w:kern w:val="0"/>
                <w:sz w:val="24"/>
                <w:szCs w:val="24"/>
              </w:rPr>
              <w:t>存在直接控股、管理关系的相关</w:t>
            </w:r>
            <w:r>
              <w:rPr>
                <w:rFonts w:hint="eastAsia" w:ascii="仿宋" w:hAnsi="仿宋" w:eastAsia="仿宋" w:cs="仿宋"/>
                <w:color w:val="auto"/>
                <w:kern w:val="0"/>
                <w:sz w:val="24"/>
                <w:szCs w:val="24"/>
                <w:lang w:eastAsia="zh-CN"/>
              </w:rPr>
              <w:t>供应商</w:t>
            </w:r>
          </w:p>
        </w:tc>
      </w:tr>
      <w:tr w14:paraId="2A6839B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221B971F">
            <w:pPr>
              <w:autoSpaceDE w:val="0"/>
              <w:autoSpaceDN w:val="0"/>
              <w:adjustRightInd w:val="0"/>
              <w:spacing w:line="320" w:lineRule="exact"/>
              <w:jc w:val="center"/>
              <w:rPr>
                <w:rFonts w:hint="eastAsia" w:ascii="仿宋" w:hAnsi="仿宋" w:eastAsia="仿宋" w:cs="仿宋"/>
                <w:b/>
                <w:color w:val="auto"/>
                <w:kern w:val="0"/>
                <w:sz w:val="24"/>
                <w:szCs w:val="24"/>
                <w:lang w:eastAsia="zh-CN"/>
              </w:rPr>
            </w:pPr>
            <w:r>
              <w:rPr>
                <w:rFonts w:hint="eastAsia" w:ascii="仿宋" w:hAnsi="仿宋" w:eastAsia="仿宋" w:cs="仿宋"/>
                <w:b/>
                <w:bCs w:val="0"/>
                <w:color w:val="auto"/>
                <w:kern w:val="0"/>
                <w:sz w:val="24"/>
                <w:szCs w:val="24"/>
                <w:lang w:eastAsia="zh-CN"/>
              </w:rPr>
              <w:t>序号</w:t>
            </w:r>
          </w:p>
        </w:tc>
        <w:tc>
          <w:tcPr>
            <w:tcW w:w="2919" w:type="dxa"/>
            <w:tcBorders>
              <w:right w:val="single" w:color="auto" w:sz="4" w:space="0"/>
            </w:tcBorders>
            <w:noWrap/>
            <w:vAlign w:val="center"/>
          </w:tcPr>
          <w:p w14:paraId="367D9235">
            <w:pPr>
              <w:autoSpaceDE w:val="0"/>
              <w:autoSpaceDN w:val="0"/>
              <w:adjustRightInd w:val="0"/>
              <w:spacing w:line="320" w:lineRule="exact"/>
              <w:jc w:val="center"/>
              <w:rPr>
                <w:rFonts w:hint="default" w:ascii="仿宋" w:hAnsi="仿宋" w:eastAsia="仿宋" w:cs="仿宋"/>
                <w:b/>
                <w:bCs w:val="0"/>
                <w:color w:val="auto"/>
                <w:kern w:val="0"/>
                <w:sz w:val="24"/>
                <w:szCs w:val="24"/>
              </w:rPr>
            </w:pPr>
            <w:r>
              <w:rPr>
                <w:rFonts w:hint="eastAsia" w:ascii="仿宋" w:hAnsi="仿宋" w:eastAsia="仿宋" w:cs="仿宋"/>
                <w:b/>
                <w:bCs w:val="0"/>
                <w:color w:val="auto"/>
                <w:kern w:val="0"/>
                <w:sz w:val="24"/>
                <w:szCs w:val="24"/>
                <w:lang w:eastAsia="zh-CN"/>
              </w:rPr>
              <w:t>直接控股股东</w:t>
            </w:r>
            <w:r>
              <w:rPr>
                <w:rFonts w:hint="eastAsia" w:ascii="仿宋" w:hAnsi="仿宋" w:eastAsia="仿宋" w:cs="仿宋"/>
                <w:b/>
                <w:bCs w:val="0"/>
                <w:color w:val="auto"/>
                <w:kern w:val="0"/>
                <w:sz w:val="24"/>
                <w:szCs w:val="24"/>
              </w:rPr>
              <w:t>名称</w:t>
            </w:r>
            <w:r>
              <w:rPr>
                <w:rFonts w:hint="eastAsia" w:ascii="仿宋" w:hAnsi="仿宋" w:eastAsia="仿宋" w:cs="仿宋"/>
                <w:b/>
                <w:bCs w:val="0"/>
                <w:color w:val="auto"/>
                <w:kern w:val="0"/>
                <w:sz w:val="24"/>
                <w:szCs w:val="24"/>
                <w:lang w:eastAsia="zh-CN"/>
              </w:rPr>
              <w:t>及出资比例</w:t>
            </w:r>
          </w:p>
        </w:tc>
        <w:tc>
          <w:tcPr>
            <w:tcW w:w="2910" w:type="dxa"/>
            <w:tcBorders>
              <w:left w:val="single" w:color="auto" w:sz="4" w:space="0"/>
              <w:right w:val="single" w:color="auto" w:sz="4" w:space="0"/>
            </w:tcBorders>
            <w:noWrap/>
            <w:vAlign w:val="center"/>
          </w:tcPr>
          <w:p w14:paraId="0A14BDD5">
            <w:pPr>
              <w:autoSpaceDE w:val="0"/>
              <w:autoSpaceDN w:val="0"/>
              <w:adjustRightInd w:val="0"/>
              <w:spacing w:line="320" w:lineRule="exact"/>
              <w:jc w:val="center"/>
              <w:rPr>
                <w:rFonts w:hint="eastAsia" w:ascii="仿宋" w:hAnsi="仿宋" w:eastAsia="仿宋" w:cs="仿宋"/>
                <w:b/>
                <w:bCs w:val="0"/>
                <w:color w:val="auto"/>
                <w:kern w:val="0"/>
                <w:sz w:val="24"/>
                <w:szCs w:val="24"/>
                <w:lang w:eastAsia="zh-CN"/>
              </w:rPr>
            </w:pPr>
            <w:r>
              <w:rPr>
                <w:rFonts w:hint="eastAsia" w:ascii="仿宋" w:hAnsi="仿宋" w:eastAsia="仿宋" w:cs="仿宋"/>
                <w:b/>
                <w:bCs w:val="0"/>
                <w:color w:val="auto"/>
                <w:kern w:val="0"/>
                <w:sz w:val="24"/>
                <w:szCs w:val="24"/>
                <w:lang w:val="en-US" w:eastAsia="zh-CN"/>
              </w:rPr>
              <w:t>直接管理关系单位名称</w:t>
            </w:r>
          </w:p>
        </w:tc>
        <w:tc>
          <w:tcPr>
            <w:tcW w:w="1665" w:type="dxa"/>
            <w:tcBorders>
              <w:left w:val="single" w:color="auto" w:sz="4" w:space="0"/>
              <w:right w:val="single" w:color="auto" w:sz="12" w:space="0"/>
            </w:tcBorders>
            <w:noWrap/>
            <w:vAlign w:val="center"/>
          </w:tcPr>
          <w:p w14:paraId="13C3E6D6">
            <w:pPr>
              <w:autoSpaceDE w:val="0"/>
              <w:autoSpaceDN w:val="0"/>
              <w:adjustRightInd w:val="0"/>
              <w:spacing w:line="320" w:lineRule="exact"/>
              <w:jc w:val="center"/>
              <w:rPr>
                <w:rFonts w:hint="eastAsia" w:ascii="仿宋" w:hAnsi="仿宋" w:eastAsia="仿宋" w:cs="仿宋"/>
                <w:b/>
                <w:bCs w:val="0"/>
                <w:color w:val="auto"/>
                <w:kern w:val="0"/>
                <w:sz w:val="24"/>
                <w:szCs w:val="24"/>
                <w:lang w:eastAsia="zh-CN"/>
              </w:rPr>
            </w:pPr>
            <w:r>
              <w:rPr>
                <w:rFonts w:hint="eastAsia" w:ascii="仿宋" w:hAnsi="仿宋" w:eastAsia="仿宋" w:cs="仿宋"/>
                <w:b/>
                <w:bCs w:val="0"/>
                <w:color w:val="auto"/>
                <w:kern w:val="0"/>
                <w:sz w:val="24"/>
                <w:szCs w:val="24"/>
                <w:lang w:eastAsia="zh-CN"/>
              </w:rPr>
              <w:t>备注</w:t>
            </w:r>
          </w:p>
        </w:tc>
      </w:tr>
      <w:tr w14:paraId="7BC0AFF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7C1256E5">
            <w:pPr>
              <w:autoSpaceDE w:val="0"/>
              <w:autoSpaceDN w:val="0"/>
              <w:adjustRightInd w:val="0"/>
              <w:spacing w:line="320" w:lineRule="exact"/>
              <w:jc w:val="center"/>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1</w:t>
            </w:r>
          </w:p>
        </w:tc>
        <w:tc>
          <w:tcPr>
            <w:tcW w:w="2919" w:type="dxa"/>
            <w:tcBorders>
              <w:right w:val="single" w:color="auto" w:sz="4" w:space="0"/>
            </w:tcBorders>
            <w:noWrap/>
            <w:vAlign w:val="center"/>
          </w:tcPr>
          <w:p w14:paraId="4631598D">
            <w:pPr>
              <w:autoSpaceDE w:val="0"/>
              <w:autoSpaceDN w:val="0"/>
              <w:adjustRightInd w:val="0"/>
              <w:spacing w:line="320" w:lineRule="exact"/>
              <w:rPr>
                <w:rFonts w:ascii="仿宋" w:hAnsi="仿宋" w:eastAsia="仿宋" w:cs="仿宋"/>
                <w:bCs/>
                <w:color w:val="auto"/>
                <w:kern w:val="0"/>
                <w:sz w:val="24"/>
                <w:szCs w:val="24"/>
              </w:rPr>
            </w:pPr>
          </w:p>
        </w:tc>
        <w:tc>
          <w:tcPr>
            <w:tcW w:w="2910" w:type="dxa"/>
            <w:tcBorders>
              <w:left w:val="single" w:color="auto" w:sz="4" w:space="0"/>
              <w:right w:val="single" w:color="auto" w:sz="4" w:space="0"/>
            </w:tcBorders>
            <w:noWrap/>
            <w:vAlign w:val="center"/>
          </w:tcPr>
          <w:p w14:paraId="43557220">
            <w:pPr>
              <w:autoSpaceDE w:val="0"/>
              <w:autoSpaceDN w:val="0"/>
              <w:adjustRightInd w:val="0"/>
              <w:spacing w:line="320" w:lineRule="exact"/>
              <w:rPr>
                <w:rFonts w:ascii="仿宋" w:hAnsi="仿宋" w:eastAsia="仿宋" w:cs="仿宋"/>
                <w:bCs/>
                <w:color w:val="auto"/>
                <w:kern w:val="0"/>
                <w:sz w:val="24"/>
                <w:szCs w:val="24"/>
              </w:rPr>
            </w:pPr>
          </w:p>
        </w:tc>
        <w:tc>
          <w:tcPr>
            <w:tcW w:w="1665" w:type="dxa"/>
            <w:tcBorders>
              <w:left w:val="single" w:color="auto" w:sz="4" w:space="0"/>
              <w:right w:val="single" w:color="auto" w:sz="12" w:space="0"/>
            </w:tcBorders>
            <w:noWrap/>
            <w:vAlign w:val="center"/>
          </w:tcPr>
          <w:p w14:paraId="15EBDD24">
            <w:pPr>
              <w:autoSpaceDE w:val="0"/>
              <w:autoSpaceDN w:val="0"/>
              <w:adjustRightInd w:val="0"/>
              <w:spacing w:line="320" w:lineRule="exact"/>
              <w:rPr>
                <w:rFonts w:ascii="仿宋" w:hAnsi="仿宋" w:eastAsia="仿宋" w:cs="仿宋"/>
                <w:bCs/>
                <w:color w:val="auto"/>
                <w:kern w:val="0"/>
                <w:sz w:val="24"/>
                <w:szCs w:val="24"/>
              </w:rPr>
            </w:pPr>
          </w:p>
        </w:tc>
      </w:tr>
      <w:tr w14:paraId="64B576D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4276904D">
            <w:pPr>
              <w:autoSpaceDE w:val="0"/>
              <w:autoSpaceDN w:val="0"/>
              <w:adjustRightInd w:val="0"/>
              <w:spacing w:line="320" w:lineRule="exact"/>
              <w:jc w:val="center"/>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2</w:t>
            </w:r>
          </w:p>
        </w:tc>
        <w:tc>
          <w:tcPr>
            <w:tcW w:w="2919" w:type="dxa"/>
            <w:tcBorders>
              <w:right w:val="single" w:color="auto" w:sz="4" w:space="0"/>
            </w:tcBorders>
            <w:noWrap/>
            <w:vAlign w:val="center"/>
          </w:tcPr>
          <w:p w14:paraId="31029155">
            <w:pPr>
              <w:autoSpaceDE w:val="0"/>
              <w:autoSpaceDN w:val="0"/>
              <w:adjustRightInd w:val="0"/>
              <w:spacing w:line="320" w:lineRule="exact"/>
              <w:rPr>
                <w:rFonts w:ascii="仿宋" w:hAnsi="仿宋" w:eastAsia="仿宋" w:cs="仿宋"/>
                <w:bCs/>
                <w:color w:val="auto"/>
                <w:kern w:val="0"/>
                <w:sz w:val="24"/>
                <w:szCs w:val="24"/>
              </w:rPr>
            </w:pPr>
          </w:p>
        </w:tc>
        <w:tc>
          <w:tcPr>
            <w:tcW w:w="2910" w:type="dxa"/>
            <w:tcBorders>
              <w:left w:val="single" w:color="auto" w:sz="4" w:space="0"/>
              <w:right w:val="single" w:color="auto" w:sz="4" w:space="0"/>
            </w:tcBorders>
            <w:noWrap/>
            <w:vAlign w:val="center"/>
          </w:tcPr>
          <w:p w14:paraId="5DF9B3F9">
            <w:pPr>
              <w:autoSpaceDE w:val="0"/>
              <w:autoSpaceDN w:val="0"/>
              <w:adjustRightInd w:val="0"/>
              <w:spacing w:line="320" w:lineRule="exact"/>
              <w:rPr>
                <w:rFonts w:ascii="仿宋" w:hAnsi="仿宋" w:eastAsia="仿宋" w:cs="仿宋"/>
                <w:bCs/>
                <w:color w:val="auto"/>
                <w:kern w:val="0"/>
                <w:sz w:val="24"/>
                <w:szCs w:val="24"/>
              </w:rPr>
            </w:pPr>
          </w:p>
        </w:tc>
        <w:tc>
          <w:tcPr>
            <w:tcW w:w="1665" w:type="dxa"/>
            <w:tcBorders>
              <w:left w:val="single" w:color="auto" w:sz="4" w:space="0"/>
              <w:right w:val="single" w:color="auto" w:sz="12" w:space="0"/>
            </w:tcBorders>
            <w:noWrap/>
            <w:vAlign w:val="center"/>
          </w:tcPr>
          <w:p w14:paraId="09493264">
            <w:pPr>
              <w:autoSpaceDE w:val="0"/>
              <w:autoSpaceDN w:val="0"/>
              <w:adjustRightInd w:val="0"/>
              <w:spacing w:line="320" w:lineRule="exact"/>
              <w:rPr>
                <w:rFonts w:ascii="仿宋" w:hAnsi="仿宋" w:eastAsia="仿宋" w:cs="仿宋"/>
                <w:bCs/>
                <w:color w:val="auto"/>
                <w:kern w:val="0"/>
                <w:sz w:val="24"/>
                <w:szCs w:val="24"/>
              </w:rPr>
            </w:pPr>
          </w:p>
        </w:tc>
      </w:tr>
      <w:tr w14:paraId="7882D84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78855E47">
            <w:pPr>
              <w:autoSpaceDE w:val="0"/>
              <w:autoSpaceDN w:val="0"/>
              <w:adjustRightInd w:val="0"/>
              <w:spacing w:line="320" w:lineRule="exact"/>
              <w:jc w:val="center"/>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3</w:t>
            </w:r>
          </w:p>
        </w:tc>
        <w:tc>
          <w:tcPr>
            <w:tcW w:w="2919" w:type="dxa"/>
            <w:tcBorders>
              <w:right w:val="single" w:color="auto" w:sz="4" w:space="0"/>
            </w:tcBorders>
            <w:noWrap/>
            <w:vAlign w:val="center"/>
          </w:tcPr>
          <w:p w14:paraId="56354505">
            <w:pPr>
              <w:autoSpaceDE w:val="0"/>
              <w:autoSpaceDN w:val="0"/>
              <w:adjustRightInd w:val="0"/>
              <w:spacing w:line="320" w:lineRule="exact"/>
              <w:rPr>
                <w:rFonts w:ascii="仿宋" w:hAnsi="仿宋" w:eastAsia="仿宋" w:cs="仿宋"/>
                <w:bCs/>
                <w:color w:val="auto"/>
                <w:kern w:val="0"/>
                <w:sz w:val="24"/>
                <w:szCs w:val="24"/>
              </w:rPr>
            </w:pPr>
          </w:p>
        </w:tc>
        <w:tc>
          <w:tcPr>
            <w:tcW w:w="2910" w:type="dxa"/>
            <w:tcBorders>
              <w:left w:val="single" w:color="auto" w:sz="4" w:space="0"/>
              <w:right w:val="single" w:color="auto" w:sz="4" w:space="0"/>
            </w:tcBorders>
            <w:noWrap/>
            <w:vAlign w:val="center"/>
          </w:tcPr>
          <w:p w14:paraId="7CFAE886">
            <w:pPr>
              <w:autoSpaceDE w:val="0"/>
              <w:autoSpaceDN w:val="0"/>
              <w:adjustRightInd w:val="0"/>
              <w:spacing w:line="320" w:lineRule="exact"/>
              <w:rPr>
                <w:rFonts w:ascii="仿宋" w:hAnsi="仿宋" w:eastAsia="仿宋" w:cs="仿宋"/>
                <w:bCs/>
                <w:color w:val="auto"/>
                <w:kern w:val="0"/>
                <w:sz w:val="24"/>
                <w:szCs w:val="24"/>
              </w:rPr>
            </w:pPr>
          </w:p>
        </w:tc>
        <w:tc>
          <w:tcPr>
            <w:tcW w:w="1665" w:type="dxa"/>
            <w:tcBorders>
              <w:left w:val="single" w:color="auto" w:sz="4" w:space="0"/>
              <w:right w:val="single" w:color="auto" w:sz="12" w:space="0"/>
            </w:tcBorders>
            <w:noWrap/>
            <w:vAlign w:val="center"/>
          </w:tcPr>
          <w:p w14:paraId="565B6114">
            <w:pPr>
              <w:autoSpaceDE w:val="0"/>
              <w:autoSpaceDN w:val="0"/>
              <w:adjustRightInd w:val="0"/>
              <w:spacing w:line="320" w:lineRule="exact"/>
              <w:rPr>
                <w:rFonts w:ascii="仿宋" w:hAnsi="仿宋" w:eastAsia="仿宋" w:cs="仿宋"/>
                <w:bCs/>
                <w:color w:val="auto"/>
                <w:kern w:val="0"/>
                <w:sz w:val="24"/>
                <w:szCs w:val="24"/>
              </w:rPr>
            </w:pPr>
          </w:p>
        </w:tc>
      </w:tr>
      <w:tr w14:paraId="625091F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4B301F4F">
            <w:pPr>
              <w:autoSpaceDE w:val="0"/>
              <w:autoSpaceDN w:val="0"/>
              <w:adjustRightInd w:val="0"/>
              <w:spacing w:line="320" w:lineRule="exact"/>
              <w:jc w:val="center"/>
              <w:rPr>
                <w:rFonts w:hint="eastAsia" w:ascii="仿宋" w:hAnsi="仿宋" w:eastAsia="仿宋" w:cs="仿宋"/>
                <w:color w:val="auto"/>
                <w:kern w:val="0"/>
                <w:sz w:val="24"/>
                <w:szCs w:val="24"/>
                <w:lang w:val="en-US" w:eastAsia="zh-CN"/>
              </w:rPr>
            </w:pPr>
            <w:r>
              <w:rPr>
                <w:rFonts w:hint="eastAsia" w:ascii="宋体" w:hAnsi="宋体" w:cs="宋体"/>
                <w:color w:val="auto"/>
                <w:kern w:val="0"/>
                <w:sz w:val="24"/>
              </w:rPr>
              <w:t>……</w:t>
            </w:r>
          </w:p>
        </w:tc>
        <w:tc>
          <w:tcPr>
            <w:tcW w:w="2919" w:type="dxa"/>
            <w:tcBorders>
              <w:right w:val="single" w:color="auto" w:sz="4" w:space="0"/>
            </w:tcBorders>
            <w:noWrap/>
            <w:vAlign w:val="center"/>
          </w:tcPr>
          <w:p w14:paraId="21327001">
            <w:pPr>
              <w:autoSpaceDE w:val="0"/>
              <w:autoSpaceDN w:val="0"/>
              <w:adjustRightInd w:val="0"/>
              <w:spacing w:line="320" w:lineRule="exact"/>
              <w:rPr>
                <w:rFonts w:ascii="仿宋" w:hAnsi="仿宋" w:eastAsia="仿宋" w:cs="仿宋"/>
                <w:bCs/>
                <w:color w:val="auto"/>
                <w:kern w:val="0"/>
                <w:sz w:val="24"/>
                <w:szCs w:val="24"/>
              </w:rPr>
            </w:pPr>
          </w:p>
        </w:tc>
        <w:tc>
          <w:tcPr>
            <w:tcW w:w="2910" w:type="dxa"/>
            <w:tcBorders>
              <w:left w:val="single" w:color="auto" w:sz="4" w:space="0"/>
              <w:right w:val="single" w:color="auto" w:sz="4" w:space="0"/>
            </w:tcBorders>
            <w:noWrap/>
            <w:vAlign w:val="center"/>
          </w:tcPr>
          <w:p w14:paraId="176DED67">
            <w:pPr>
              <w:autoSpaceDE w:val="0"/>
              <w:autoSpaceDN w:val="0"/>
              <w:adjustRightInd w:val="0"/>
              <w:spacing w:line="320" w:lineRule="exact"/>
              <w:rPr>
                <w:rFonts w:ascii="仿宋" w:hAnsi="仿宋" w:eastAsia="仿宋" w:cs="仿宋"/>
                <w:bCs/>
                <w:color w:val="auto"/>
                <w:kern w:val="0"/>
                <w:sz w:val="24"/>
                <w:szCs w:val="24"/>
              </w:rPr>
            </w:pPr>
          </w:p>
        </w:tc>
        <w:tc>
          <w:tcPr>
            <w:tcW w:w="1665" w:type="dxa"/>
            <w:tcBorders>
              <w:left w:val="single" w:color="auto" w:sz="4" w:space="0"/>
              <w:right w:val="single" w:color="auto" w:sz="12" w:space="0"/>
            </w:tcBorders>
            <w:noWrap/>
            <w:vAlign w:val="center"/>
          </w:tcPr>
          <w:p w14:paraId="610289F2">
            <w:pPr>
              <w:autoSpaceDE w:val="0"/>
              <w:autoSpaceDN w:val="0"/>
              <w:adjustRightInd w:val="0"/>
              <w:spacing w:line="320" w:lineRule="exact"/>
              <w:rPr>
                <w:rFonts w:ascii="仿宋" w:hAnsi="仿宋" w:eastAsia="仿宋" w:cs="仿宋"/>
                <w:bCs/>
                <w:color w:val="auto"/>
                <w:kern w:val="0"/>
                <w:sz w:val="24"/>
                <w:szCs w:val="24"/>
              </w:rPr>
            </w:pPr>
          </w:p>
        </w:tc>
      </w:tr>
    </w:tbl>
    <w:p w14:paraId="50A73677">
      <w:pPr>
        <w:spacing w:line="500" w:lineRule="exact"/>
        <w:ind w:firstLine="4528" w:firstLineChars="1600"/>
        <w:rPr>
          <w:rFonts w:ascii="仿宋" w:hAnsi="仿宋" w:eastAsia="仿宋" w:cs="仿宋"/>
          <w:color w:val="auto"/>
        </w:rPr>
      </w:pPr>
    </w:p>
    <w:p w14:paraId="5D15D95D">
      <w:pPr>
        <w:spacing w:line="500" w:lineRule="exact"/>
        <w:ind w:firstLine="4528" w:firstLineChars="1600"/>
        <w:rPr>
          <w:rFonts w:ascii="仿宋" w:hAnsi="仿宋" w:eastAsia="仿宋" w:cs="仿宋"/>
          <w:color w:val="auto"/>
        </w:rPr>
      </w:pPr>
      <w:r>
        <w:rPr>
          <w:rFonts w:hint="eastAsia" w:ascii="仿宋" w:hAnsi="仿宋" w:eastAsia="仿宋" w:cs="仿宋"/>
          <w:color w:val="auto"/>
        </w:rPr>
        <w:t xml:space="preserve">投标人： </w:t>
      </w:r>
      <w:r>
        <w:rPr>
          <w:rFonts w:hint="eastAsia" w:ascii="仿宋" w:hAnsi="仿宋" w:eastAsia="仿宋" w:cs="仿宋"/>
          <w:color w:val="auto"/>
          <w:u w:val="single"/>
        </w:rPr>
        <w:t>名称</w:t>
      </w:r>
      <w:r>
        <w:rPr>
          <w:rFonts w:hint="eastAsia" w:ascii="仿宋" w:hAnsi="仿宋" w:eastAsia="仿宋" w:cs="仿宋"/>
          <w:color w:val="auto"/>
        </w:rPr>
        <w:t>（加盖公章）</w:t>
      </w:r>
    </w:p>
    <w:p w14:paraId="75EB0181">
      <w:pPr>
        <w:spacing w:line="500" w:lineRule="exact"/>
        <w:ind w:firstLine="4528" w:firstLineChars="1600"/>
        <w:rPr>
          <w:rFonts w:ascii="仿宋" w:hAnsi="仿宋" w:eastAsia="仿宋" w:cs="仿宋"/>
          <w:color w:val="auto"/>
        </w:rPr>
      </w:pPr>
      <w:r>
        <w:rPr>
          <w:rFonts w:hint="eastAsia" w:ascii="仿宋" w:hAnsi="仿宋" w:eastAsia="仿宋" w:cs="仿宋"/>
          <w:color w:val="auto"/>
        </w:rPr>
        <w:t>日期：  年  月  日</w:t>
      </w:r>
    </w:p>
    <w:p w14:paraId="128B09B5">
      <w:pPr>
        <w:pStyle w:val="7"/>
        <w:rPr>
          <w:rFonts w:ascii="仿宋" w:hAnsi="仿宋" w:eastAsia="仿宋" w:cs="仿宋"/>
          <w:color w:val="auto"/>
        </w:rPr>
      </w:pPr>
    </w:p>
    <w:p w14:paraId="5D04DAEE">
      <w:pPr>
        <w:pStyle w:val="27"/>
        <w:wordWrap w:val="0"/>
        <w:spacing w:after="0" w:line="500" w:lineRule="exact"/>
        <w:ind w:firstLine="426" w:firstLineChars="200"/>
        <w:rPr>
          <w:rFonts w:hint="eastAsia" w:ascii="宋体" w:hAnsi="宋体" w:eastAsia="宋体" w:cs="宋体"/>
          <w:color w:val="auto"/>
          <w:sz w:val="21"/>
          <w:szCs w:val="21"/>
        </w:rPr>
      </w:pPr>
      <w:r>
        <w:rPr>
          <w:rFonts w:hint="eastAsia" w:ascii="宋体" w:hAnsi="宋体" w:eastAsia="宋体" w:cs="宋体"/>
          <w:color w:val="auto"/>
          <w:sz w:val="21"/>
          <w:szCs w:val="21"/>
        </w:rPr>
        <w:t>备注：</w:t>
      </w:r>
    </w:p>
    <w:p w14:paraId="2D0F8ACC">
      <w:pPr>
        <w:pStyle w:val="27"/>
        <w:numPr>
          <w:ilvl w:val="-1"/>
          <w:numId w:val="0"/>
        </w:numPr>
        <w:wordWrap w:val="0"/>
        <w:spacing w:after="0" w:line="400" w:lineRule="exact"/>
        <w:ind w:firstLine="426"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直接控股股东：是指其出资额占有限责任公司资本总额百分之五十以上或者其持有的股份占股份有限公司股份总额百分之五十以上的股东；出资额或者持有股份的比例虽然不足百分之五十，但依其出资额或者持有的股份所享有的表决权已足以对股东会、股东大会的决议产生重大影响的股东。</w:t>
      </w:r>
    </w:p>
    <w:p w14:paraId="17F0514E">
      <w:pPr>
        <w:pStyle w:val="27"/>
        <w:numPr>
          <w:ilvl w:val="-1"/>
          <w:numId w:val="0"/>
        </w:numPr>
        <w:wordWrap w:val="0"/>
        <w:spacing w:after="0" w:line="400" w:lineRule="exact"/>
        <w:ind w:firstLine="426"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2.管理关系：是指不具有出资持股关系的其他单位之间存在的管理与被管理关系，如一些上下级关系的事业单位和团体组织。</w:t>
      </w:r>
    </w:p>
    <w:p w14:paraId="3C0BA531">
      <w:pPr>
        <w:pStyle w:val="27"/>
        <w:wordWrap w:val="0"/>
        <w:spacing w:after="0" w:line="400" w:lineRule="exact"/>
        <w:ind w:firstLine="426"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rPr>
        <w:t>本表所指的控股</w:t>
      </w:r>
      <w:r>
        <w:rPr>
          <w:rFonts w:hint="eastAsia" w:ascii="宋体" w:hAnsi="宋体" w:eastAsia="宋体" w:cs="宋体"/>
          <w:color w:val="auto"/>
          <w:sz w:val="21"/>
          <w:szCs w:val="21"/>
          <w:lang w:eastAsia="zh-CN"/>
        </w:rPr>
        <w:t>、管理</w:t>
      </w:r>
      <w:r>
        <w:rPr>
          <w:rFonts w:hint="eastAsia" w:ascii="宋体" w:hAnsi="宋体" w:eastAsia="宋体" w:cs="宋体"/>
          <w:color w:val="auto"/>
          <w:sz w:val="21"/>
          <w:szCs w:val="21"/>
        </w:rPr>
        <w:t>关系仅限于直接控股</w:t>
      </w:r>
      <w:r>
        <w:rPr>
          <w:rFonts w:hint="eastAsia" w:ascii="宋体" w:hAnsi="宋体" w:eastAsia="宋体" w:cs="宋体"/>
          <w:color w:val="auto"/>
          <w:sz w:val="21"/>
          <w:szCs w:val="21"/>
          <w:lang w:eastAsia="zh-CN"/>
        </w:rPr>
        <w:t>、直接管理</w:t>
      </w:r>
      <w:r>
        <w:rPr>
          <w:rFonts w:hint="eastAsia" w:ascii="宋体" w:hAnsi="宋体" w:eastAsia="宋体" w:cs="宋体"/>
          <w:color w:val="auto"/>
          <w:sz w:val="21"/>
          <w:szCs w:val="21"/>
        </w:rPr>
        <w:t>关系，不包括间接的控股</w:t>
      </w:r>
      <w:r>
        <w:rPr>
          <w:rFonts w:hint="eastAsia" w:ascii="宋体" w:hAnsi="宋体" w:eastAsia="宋体" w:cs="宋体"/>
          <w:color w:val="auto"/>
          <w:sz w:val="21"/>
          <w:szCs w:val="21"/>
          <w:lang w:eastAsia="zh-CN"/>
        </w:rPr>
        <w:t>或管理</w:t>
      </w:r>
      <w:r>
        <w:rPr>
          <w:rFonts w:hint="eastAsia" w:ascii="宋体" w:hAnsi="宋体" w:eastAsia="宋体" w:cs="宋体"/>
          <w:color w:val="auto"/>
          <w:sz w:val="21"/>
          <w:szCs w:val="21"/>
        </w:rPr>
        <w:t>关系。公司实际控制人与公司之间的关系不属于本表所指的直接控股关系。</w:t>
      </w:r>
    </w:p>
    <w:p w14:paraId="6E9DB230">
      <w:pPr>
        <w:pStyle w:val="27"/>
        <w:wordWrap w:val="0"/>
        <w:spacing w:after="0" w:line="400" w:lineRule="exact"/>
        <w:ind w:firstLine="426" w:firstLineChars="200"/>
        <w:rPr>
          <w:rFonts w:ascii="仿宋" w:hAnsi="仿宋" w:eastAsia="仿宋" w:cs="仿宋"/>
          <w:color w:val="auto"/>
        </w:rPr>
      </w:pPr>
      <w:r>
        <w:rPr>
          <w:rFonts w:hint="eastAsia" w:ascii="宋体" w:hAnsi="宋体" w:eastAsia="宋体" w:cs="宋体"/>
          <w:color w:val="auto"/>
          <w:sz w:val="21"/>
          <w:szCs w:val="21"/>
          <w:lang w:val="en-US" w:eastAsia="zh-CN"/>
        </w:rPr>
        <w:t>4.供应商</w:t>
      </w:r>
      <w:r>
        <w:rPr>
          <w:rFonts w:hint="eastAsia" w:ascii="宋体" w:hAnsi="宋体" w:eastAsia="宋体" w:cs="宋体"/>
          <w:color w:val="auto"/>
          <w:sz w:val="21"/>
          <w:szCs w:val="21"/>
          <w:lang w:eastAsia="zh-CN"/>
        </w:rPr>
        <w:t>如不存在直接控股股东的</w:t>
      </w:r>
      <w:r>
        <w:rPr>
          <w:rFonts w:hint="eastAsia" w:ascii="宋体" w:hAnsi="宋体" w:eastAsia="宋体" w:cs="宋体"/>
          <w:color w:val="auto"/>
          <w:sz w:val="21"/>
          <w:szCs w:val="21"/>
        </w:rPr>
        <w:t>，</w:t>
      </w:r>
      <w:r>
        <w:rPr>
          <w:rFonts w:hint="eastAsia" w:ascii="宋体" w:hAnsi="宋体" w:eastAsia="宋体" w:cs="宋体"/>
          <w:color w:val="auto"/>
          <w:sz w:val="21"/>
          <w:szCs w:val="21"/>
          <w:lang w:eastAsia="zh-CN"/>
        </w:rPr>
        <w:t>则在“直接控股股东名称及出资比例”处</w:t>
      </w:r>
      <w:r>
        <w:rPr>
          <w:rFonts w:hint="eastAsia" w:ascii="宋体" w:hAnsi="宋体" w:eastAsia="宋体" w:cs="宋体"/>
          <w:color w:val="auto"/>
          <w:sz w:val="21"/>
          <w:szCs w:val="21"/>
        </w:rPr>
        <w:t>填写</w:t>
      </w:r>
      <w:r>
        <w:rPr>
          <w:rFonts w:hint="eastAsia" w:ascii="宋体" w:hAnsi="宋体" w:eastAsia="宋体" w:cs="宋体"/>
          <w:color w:val="auto"/>
          <w:sz w:val="21"/>
          <w:szCs w:val="21"/>
          <w:lang w:eastAsia="zh-CN"/>
        </w:rPr>
        <w:t>“无”或</w:t>
      </w:r>
      <w:r>
        <w:rPr>
          <w:rFonts w:hint="eastAsia" w:ascii="宋体" w:hAnsi="宋体" w:eastAsia="宋体" w:cs="宋体"/>
          <w:color w:val="auto"/>
          <w:sz w:val="21"/>
          <w:szCs w:val="21"/>
        </w:rPr>
        <w:t>“/”。供应商不存在直接管理关系的，则在“直接管理关系单位名称”中填“无”</w:t>
      </w:r>
      <w:r>
        <w:rPr>
          <w:rFonts w:hint="eastAsia" w:ascii="宋体" w:hAnsi="宋体" w:eastAsia="宋体" w:cs="宋体"/>
          <w:color w:val="auto"/>
          <w:sz w:val="21"/>
          <w:szCs w:val="21"/>
          <w:lang w:eastAsia="zh-CN"/>
        </w:rPr>
        <w:t>或</w:t>
      </w:r>
      <w:r>
        <w:rPr>
          <w:rFonts w:hint="eastAsia" w:ascii="宋体" w:hAnsi="宋体" w:eastAsia="宋体" w:cs="宋体"/>
          <w:color w:val="auto"/>
          <w:sz w:val="21"/>
          <w:szCs w:val="21"/>
        </w:rPr>
        <w:t>“/”。</w:t>
      </w:r>
    </w:p>
    <w:p w14:paraId="72FBABC9">
      <w:pPr>
        <w:spacing w:line="500" w:lineRule="exact"/>
        <w:ind w:firstLine="606" w:firstLineChars="200"/>
        <w:outlineLvl w:val="2"/>
        <w:rPr>
          <w:rFonts w:ascii="仿宋" w:hAnsi="仿宋" w:eastAsia="仿宋" w:cs="仿宋"/>
          <w:b/>
          <w:bCs/>
          <w:color w:val="auto"/>
          <w:sz w:val="30"/>
          <w:szCs w:val="30"/>
        </w:rPr>
      </w:pPr>
      <w:bookmarkStart w:id="627" w:name="_Toc24547"/>
      <w:bookmarkEnd w:id="627"/>
      <w:bookmarkStart w:id="628" w:name="_Toc18882"/>
      <w:bookmarkEnd w:id="628"/>
      <w:bookmarkStart w:id="629" w:name="_Toc13961"/>
      <w:bookmarkEnd w:id="629"/>
      <w:bookmarkStart w:id="630" w:name="_Toc21910"/>
      <w:bookmarkEnd w:id="630"/>
      <w:bookmarkStart w:id="631" w:name="_Toc10330"/>
      <w:bookmarkEnd w:id="631"/>
      <w:r>
        <w:rPr>
          <w:rFonts w:hint="eastAsia" w:ascii="仿宋" w:hAnsi="仿宋" w:eastAsia="仿宋" w:cs="仿宋"/>
          <w:b/>
          <w:bCs/>
          <w:color w:val="auto"/>
          <w:sz w:val="30"/>
          <w:szCs w:val="30"/>
          <w:lang w:val="en-US" w:eastAsia="zh-CN"/>
        </w:rPr>
        <w:t>五</w:t>
      </w:r>
      <w:r>
        <w:rPr>
          <w:rFonts w:hint="eastAsia" w:ascii="仿宋" w:hAnsi="仿宋" w:eastAsia="仿宋" w:cs="仿宋"/>
          <w:b/>
          <w:bCs/>
          <w:color w:val="auto"/>
          <w:sz w:val="30"/>
          <w:szCs w:val="30"/>
        </w:rPr>
        <w:t>、书面声明</w:t>
      </w:r>
    </w:p>
    <w:p w14:paraId="461CE538">
      <w:pPr>
        <w:spacing w:line="500" w:lineRule="exact"/>
        <w:jc w:val="center"/>
        <w:rPr>
          <w:rFonts w:ascii="仿宋" w:hAnsi="仿宋" w:eastAsia="仿宋" w:cs="仿宋"/>
          <w:b/>
          <w:bCs/>
          <w:color w:val="auto"/>
          <w:sz w:val="30"/>
          <w:szCs w:val="30"/>
        </w:rPr>
      </w:pPr>
      <w:r>
        <w:rPr>
          <w:rFonts w:hint="eastAsia" w:ascii="仿宋" w:hAnsi="仿宋" w:eastAsia="仿宋" w:cs="仿宋"/>
          <w:b/>
          <w:bCs/>
          <w:color w:val="auto"/>
          <w:sz w:val="30"/>
          <w:szCs w:val="30"/>
        </w:rPr>
        <w:t>书面声明（格式）</w:t>
      </w:r>
    </w:p>
    <w:p w14:paraId="1201DC95">
      <w:pPr>
        <w:spacing w:line="500" w:lineRule="exact"/>
        <w:rPr>
          <w:rFonts w:ascii="仿宋" w:hAnsi="仿宋" w:eastAsia="仿宋" w:cs="仿宋"/>
          <w:color w:val="auto"/>
        </w:rPr>
      </w:pPr>
      <w:r>
        <w:rPr>
          <w:rFonts w:hint="eastAsia" w:ascii="仿宋" w:hAnsi="仿宋" w:eastAsia="仿宋" w:cs="仿宋"/>
          <w:color w:val="auto"/>
          <w:lang w:eastAsia="zh-CN"/>
        </w:rPr>
        <w:t>延安市公共资源交易中心（延安市市直单位政府采购中心）</w:t>
      </w:r>
      <w:r>
        <w:rPr>
          <w:rFonts w:hint="eastAsia" w:ascii="仿宋" w:hAnsi="仿宋" w:eastAsia="仿宋" w:cs="仿宋"/>
          <w:color w:val="auto"/>
        </w:rPr>
        <w:t>：</w:t>
      </w:r>
    </w:p>
    <w:p w14:paraId="57EF32F0">
      <w:pPr>
        <w:spacing w:line="500" w:lineRule="exact"/>
        <w:ind w:firstLine="566" w:firstLineChars="200"/>
        <w:rPr>
          <w:rFonts w:ascii="仿宋" w:hAnsi="仿宋" w:eastAsia="仿宋" w:cs="仿宋"/>
          <w:color w:val="auto"/>
        </w:rPr>
      </w:pPr>
      <w:r>
        <w:rPr>
          <w:rFonts w:hint="eastAsia" w:ascii="仿宋" w:hAnsi="仿宋" w:eastAsia="仿宋" w:cs="仿宋"/>
          <w:color w:val="auto"/>
        </w:rPr>
        <w:t>我方作为</w:t>
      </w:r>
      <w:r>
        <w:rPr>
          <w:rFonts w:hint="eastAsia" w:ascii="仿宋" w:hAnsi="仿宋" w:eastAsia="仿宋" w:cs="仿宋"/>
          <w:color w:val="auto"/>
          <w:u w:val="single"/>
        </w:rPr>
        <w:t>项目名称</w:t>
      </w:r>
      <w:r>
        <w:rPr>
          <w:rFonts w:hint="eastAsia" w:ascii="仿宋" w:hAnsi="仿宋" w:eastAsia="仿宋" w:cs="仿宋"/>
          <w:color w:val="auto"/>
        </w:rPr>
        <w:t>（项目编号：</w:t>
      </w:r>
      <w:r>
        <w:rPr>
          <w:rFonts w:hint="eastAsia" w:ascii="华文仿宋" w:hAnsi="华文仿宋" w:cs="华文仿宋"/>
          <w:color w:val="auto"/>
          <w:u w:val="single"/>
        </w:rPr>
        <w:t xml:space="preserve">   </w:t>
      </w:r>
      <w:r>
        <w:rPr>
          <w:rFonts w:hint="eastAsia" w:ascii="华文仿宋" w:hAnsi="华文仿宋" w:cs="华文仿宋"/>
          <w:color w:val="auto"/>
          <w:u w:val="single"/>
          <w:lang w:val="en-US" w:eastAsia="zh-CN"/>
        </w:rPr>
        <w:t xml:space="preserve">    </w:t>
      </w:r>
      <w:r>
        <w:rPr>
          <w:rFonts w:hint="eastAsia" w:ascii="华文仿宋" w:hAnsi="华文仿宋" w:cs="华文仿宋"/>
          <w:color w:val="auto"/>
          <w:u w:val="single"/>
        </w:rPr>
        <w:t xml:space="preserve"> </w:t>
      </w:r>
      <w:r>
        <w:rPr>
          <w:rFonts w:hint="eastAsia" w:ascii="仿宋" w:hAnsi="仿宋" w:eastAsia="仿宋" w:cs="仿宋"/>
          <w:color w:val="auto"/>
        </w:rPr>
        <w:t>）第</w:t>
      </w:r>
      <w:r>
        <w:rPr>
          <w:rFonts w:hint="eastAsia" w:ascii="仿宋" w:hAnsi="仿宋" w:eastAsia="仿宋" w:cs="仿宋"/>
          <w:color w:val="auto"/>
          <w:u w:val="single"/>
        </w:rPr>
        <w:t xml:space="preserve">   </w:t>
      </w:r>
      <w:r>
        <w:rPr>
          <w:rFonts w:hint="eastAsia" w:ascii="仿宋" w:hAnsi="仿宋" w:eastAsia="仿宋" w:cs="仿宋"/>
          <w:color w:val="auto"/>
        </w:rPr>
        <w:t>标段的投标人，在此郑重声明：</w:t>
      </w:r>
    </w:p>
    <w:p w14:paraId="7D7C566E">
      <w:pPr>
        <w:numPr>
          <w:ilvl w:val="0"/>
          <w:numId w:val="0"/>
        </w:numPr>
        <w:spacing w:line="500" w:lineRule="exact"/>
        <w:ind w:firstLine="566" w:firstLineChars="200"/>
        <w:rPr>
          <w:rFonts w:ascii="仿宋" w:hAnsi="仿宋" w:eastAsia="仿宋" w:cs="仿宋"/>
          <w:color w:val="auto"/>
        </w:rPr>
      </w:pPr>
      <w:r>
        <w:rPr>
          <w:rFonts w:hint="eastAsia" w:ascii="仿宋" w:hAnsi="仿宋" w:eastAsia="仿宋" w:cs="仿宋"/>
          <w:color w:val="auto"/>
          <w:lang w:val="en-US" w:eastAsia="zh-CN"/>
        </w:rPr>
        <w:t>1.</w:t>
      </w:r>
      <w:r>
        <w:rPr>
          <w:rFonts w:hint="eastAsia" w:ascii="仿宋" w:hAnsi="仿宋" w:eastAsia="仿宋" w:cs="仿宋"/>
          <w:color w:val="auto"/>
        </w:rPr>
        <w:t>我方具备履行合同所必须的设备和专业技术能力。</w:t>
      </w:r>
    </w:p>
    <w:p w14:paraId="3BB1E0A4">
      <w:pPr>
        <w:spacing w:line="500" w:lineRule="exact"/>
        <w:ind w:firstLine="566" w:firstLineChars="200"/>
        <w:rPr>
          <w:rFonts w:ascii="仿宋" w:hAnsi="仿宋" w:eastAsia="仿宋" w:cs="仿宋"/>
          <w:color w:val="auto"/>
        </w:rPr>
      </w:pPr>
      <w:r>
        <w:rPr>
          <w:rFonts w:hint="eastAsia" w:ascii="仿宋" w:hAnsi="仿宋" w:eastAsia="仿宋" w:cs="仿宋"/>
          <w:color w:val="auto"/>
        </w:rPr>
        <w:t>2</w:t>
      </w:r>
      <w:r>
        <w:rPr>
          <w:rFonts w:hint="eastAsia" w:ascii="仿宋" w:hAnsi="仿宋" w:eastAsia="仿宋" w:cs="仿宋"/>
          <w:color w:val="auto"/>
          <w:lang w:val="en-US" w:eastAsia="zh-CN"/>
        </w:rPr>
        <w:t>.</w:t>
      </w:r>
      <w:r>
        <w:rPr>
          <w:rFonts w:hint="eastAsia" w:ascii="仿宋" w:hAnsi="仿宋" w:eastAsia="仿宋" w:cs="仿宋"/>
          <w:color w:val="auto"/>
        </w:rPr>
        <w:t>我方未为本项目提供整体设计、规范编制或者项目管理、监理、检测等服务。</w:t>
      </w:r>
    </w:p>
    <w:p w14:paraId="1A2DA719">
      <w:pPr>
        <w:spacing w:line="500" w:lineRule="exact"/>
        <w:ind w:firstLine="566" w:firstLineChars="200"/>
        <w:rPr>
          <w:rFonts w:ascii="仿宋" w:hAnsi="仿宋" w:eastAsia="仿宋" w:cs="仿宋"/>
          <w:color w:val="auto"/>
        </w:rPr>
      </w:pPr>
      <w:r>
        <w:rPr>
          <w:rFonts w:hint="eastAsia" w:ascii="仿宋" w:hAnsi="仿宋" w:eastAsia="仿宋" w:cs="仿宋"/>
          <w:color w:val="auto"/>
        </w:rPr>
        <w:t>如有不实，我方将无条件地退出本项目的采购活动，并遵照《政府采购法》有关“提供虚假材料的规定”接受处罚。</w:t>
      </w:r>
    </w:p>
    <w:p w14:paraId="05D88550">
      <w:pPr>
        <w:spacing w:line="500" w:lineRule="exact"/>
        <w:rPr>
          <w:rFonts w:ascii="仿宋" w:hAnsi="仿宋" w:eastAsia="仿宋" w:cs="仿宋"/>
          <w:color w:val="auto"/>
        </w:rPr>
      </w:pPr>
      <w:r>
        <w:rPr>
          <w:rFonts w:hint="eastAsia" w:ascii="仿宋" w:hAnsi="仿宋" w:eastAsia="仿宋" w:cs="仿宋"/>
          <w:color w:val="auto"/>
        </w:rPr>
        <w:t>特此声明。</w:t>
      </w:r>
    </w:p>
    <w:p w14:paraId="0A9904DB">
      <w:pPr>
        <w:spacing w:line="500" w:lineRule="exact"/>
        <w:ind w:firstLine="4528" w:firstLineChars="1600"/>
        <w:rPr>
          <w:rFonts w:ascii="仿宋" w:hAnsi="仿宋" w:eastAsia="仿宋" w:cs="仿宋"/>
          <w:color w:val="auto"/>
        </w:rPr>
      </w:pPr>
      <w:r>
        <w:rPr>
          <w:rFonts w:hint="eastAsia" w:ascii="仿宋" w:hAnsi="仿宋" w:eastAsia="仿宋" w:cs="仿宋"/>
          <w:color w:val="auto"/>
        </w:rPr>
        <w:t xml:space="preserve">投标人： </w:t>
      </w:r>
      <w:r>
        <w:rPr>
          <w:rFonts w:hint="eastAsia" w:ascii="仿宋" w:hAnsi="仿宋" w:eastAsia="仿宋" w:cs="仿宋"/>
          <w:color w:val="auto"/>
          <w:u w:val="single"/>
        </w:rPr>
        <w:t>名称</w:t>
      </w:r>
      <w:r>
        <w:rPr>
          <w:rFonts w:hint="eastAsia" w:ascii="仿宋" w:hAnsi="仿宋" w:eastAsia="仿宋" w:cs="仿宋"/>
          <w:color w:val="auto"/>
        </w:rPr>
        <w:t>（加盖公章）</w:t>
      </w:r>
    </w:p>
    <w:p w14:paraId="54D02DAC">
      <w:pPr>
        <w:spacing w:line="500" w:lineRule="exact"/>
        <w:ind w:firstLine="4528" w:firstLineChars="1600"/>
        <w:rPr>
          <w:rFonts w:ascii="仿宋" w:hAnsi="仿宋" w:eastAsia="仿宋" w:cs="仿宋"/>
          <w:color w:val="auto"/>
        </w:rPr>
      </w:pPr>
      <w:r>
        <w:rPr>
          <w:rFonts w:hint="eastAsia" w:ascii="仿宋" w:hAnsi="仿宋" w:eastAsia="仿宋" w:cs="仿宋"/>
          <w:color w:val="auto"/>
        </w:rPr>
        <w:t>日期：  年  月  日</w:t>
      </w:r>
    </w:p>
    <w:p w14:paraId="0665C9AE">
      <w:pPr>
        <w:pStyle w:val="7"/>
        <w:rPr>
          <w:rFonts w:ascii="仿宋" w:hAnsi="仿宋" w:eastAsia="仿宋" w:cs="仿宋"/>
          <w:color w:val="auto"/>
        </w:rPr>
      </w:pPr>
    </w:p>
    <w:p w14:paraId="0514A7DE">
      <w:pPr>
        <w:pStyle w:val="7"/>
        <w:rPr>
          <w:rFonts w:ascii="仿宋" w:hAnsi="仿宋" w:eastAsia="仿宋" w:cs="仿宋"/>
          <w:color w:val="auto"/>
        </w:rPr>
      </w:pPr>
    </w:p>
    <w:p w14:paraId="6D1F7D54">
      <w:pPr>
        <w:spacing w:line="500" w:lineRule="exact"/>
        <w:rPr>
          <w:rFonts w:ascii="仿宋" w:hAnsi="仿宋" w:eastAsia="宋体" w:cs="仿宋"/>
          <w:b/>
          <w:bCs/>
          <w:color w:val="auto"/>
          <w:sz w:val="30"/>
          <w:szCs w:val="30"/>
        </w:rPr>
      </w:pPr>
      <w:r>
        <w:rPr>
          <w:rFonts w:hint="eastAsia" w:ascii="宋体" w:hAnsi="宋体" w:eastAsia="宋体" w:cs="宋体"/>
          <w:color w:val="auto"/>
          <w:sz w:val="21"/>
          <w:szCs w:val="21"/>
        </w:rPr>
        <w:t xml:space="preserve">备注：项目不分标段的，第标段空白处填写“/”。 </w:t>
      </w:r>
    </w:p>
    <w:p w14:paraId="5FB3585B">
      <w:pPr>
        <w:pStyle w:val="63"/>
        <w:rPr>
          <w:rFonts w:hint="default" w:eastAsia="华文仿宋" w:cs="Times New Roman"/>
          <w:color w:val="auto"/>
          <w:lang w:val="en-US" w:eastAsia="zh-CN"/>
        </w:rPr>
      </w:pPr>
      <w:bookmarkStart w:id="632" w:name="_Toc14500"/>
      <w:bookmarkEnd w:id="632"/>
      <w:bookmarkStart w:id="633" w:name="_Toc23152"/>
      <w:bookmarkEnd w:id="633"/>
      <w:bookmarkStart w:id="634" w:name="_Toc22384"/>
      <w:bookmarkEnd w:id="634"/>
      <w:bookmarkStart w:id="635" w:name="_Toc4405"/>
      <w:bookmarkEnd w:id="635"/>
      <w:bookmarkStart w:id="636" w:name="_Toc19370"/>
      <w:bookmarkEnd w:id="636"/>
      <w:bookmarkStart w:id="637" w:name="_Toc8642"/>
      <w:bookmarkEnd w:id="637"/>
      <w:bookmarkStart w:id="638" w:name="_Toc30190"/>
      <w:bookmarkEnd w:id="638"/>
      <w:bookmarkStart w:id="639" w:name="_Toc30400"/>
      <w:bookmarkEnd w:id="639"/>
      <w:bookmarkStart w:id="640" w:name="_Toc27365"/>
      <w:bookmarkEnd w:id="640"/>
      <w:bookmarkStart w:id="641" w:name="_Toc23161"/>
      <w:bookmarkEnd w:id="641"/>
      <w:bookmarkStart w:id="642" w:name="_Toc8498"/>
      <w:bookmarkEnd w:id="642"/>
      <w:bookmarkStart w:id="643" w:name="_Toc21964"/>
      <w:bookmarkEnd w:id="643"/>
      <w:bookmarkStart w:id="644" w:name="_Toc16233"/>
      <w:bookmarkEnd w:id="644"/>
      <w:r>
        <w:rPr>
          <w:rFonts w:hint="eastAsia" w:ascii="仿宋" w:hAnsi="仿宋" w:eastAsia="仿宋" w:cs="仿宋"/>
          <w:color w:val="auto"/>
        </w:rPr>
        <w:br w:type="page"/>
      </w:r>
      <w:r>
        <w:rPr>
          <w:rFonts w:hint="eastAsia" w:ascii="仿宋" w:hAnsi="仿宋" w:eastAsia="仿宋" w:cs="仿宋"/>
          <w:color w:val="auto"/>
          <w:lang w:val="en-US" w:eastAsia="zh-CN"/>
        </w:rPr>
        <w:t xml:space="preserve">  六、</w:t>
      </w:r>
      <w:r>
        <w:rPr>
          <w:rFonts w:hint="eastAsia" w:cs="华文仿宋"/>
          <w:color w:val="auto"/>
          <w:sz w:val="30"/>
          <w:szCs w:val="30"/>
        </w:rPr>
        <w:t>法定代表人授权委托书</w:t>
      </w:r>
      <w:r>
        <w:rPr>
          <w:rFonts w:hint="eastAsia" w:cs="华文仿宋"/>
          <w:color w:val="auto"/>
          <w:sz w:val="30"/>
          <w:szCs w:val="30"/>
          <w:lang w:val="en-US" w:eastAsia="zh-CN"/>
        </w:rPr>
        <w:t>和法定代表人证明书</w:t>
      </w:r>
    </w:p>
    <w:p w14:paraId="5A5F6F91">
      <w:pPr>
        <w:pStyle w:val="63"/>
        <w:keepNext/>
        <w:keepLines/>
        <w:pageBreakBefore w:val="0"/>
        <w:widowControl/>
        <w:kinsoku/>
        <w:wordWrap/>
        <w:overflowPunct/>
        <w:topLinePunct w:val="0"/>
        <w:autoSpaceDE/>
        <w:autoSpaceDN/>
        <w:bidi w:val="0"/>
        <w:adjustRightInd/>
        <w:snapToGrid/>
        <w:spacing w:line="500" w:lineRule="atLeast"/>
        <w:jc w:val="center"/>
        <w:outlineLvl w:val="9"/>
        <w:rPr>
          <w:rFonts w:cs="Times New Roman"/>
          <w:color w:val="auto"/>
          <w:sz w:val="30"/>
          <w:szCs w:val="30"/>
        </w:rPr>
      </w:pPr>
      <w:bookmarkStart w:id="645" w:name="_Toc22164"/>
      <w:bookmarkEnd w:id="645"/>
      <w:bookmarkStart w:id="646" w:name="_Toc5073"/>
      <w:bookmarkEnd w:id="646"/>
      <w:bookmarkStart w:id="647" w:name="_Toc23520"/>
      <w:bookmarkEnd w:id="647"/>
      <w:bookmarkStart w:id="648" w:name="_Toc22011"/>
      <w:bookmarkEnd w:id="648"/>
      <w:r>
        <w:rPr>
          <w:rFonts w:hint="eastAsia" w:cs="华文仿宋"/>
          <w:color w:val="auto"/>
          <w:sz w:val="30"/>
          <w:szCs w:val="30"/>
        </w:rPr>
        <w:t>法定代表人授权委托书</w:t>
      </w:r>
      <w:r>
        <w:rPr>
          <w:rFonts w:hint="eastAsia" w:ascii="仿宋" w:hAnsi="仿宋" w:eastAsia="仿宋" w:cs="仿宋"/>
          <w:color w:val="auto"/>
          <w:sz w:val="30"/>
          <w:szCs w:val="30"/>
        </w:rPr>
        <w:t>（格式）</w:t>
      </w:r>
    </w:p>
    <w:p w14:paraId="47C5DA34">
      <w:pPr>
        <w:snapToGrid w:val="0"/>
        <w:spacing w:line="500" w:lineRule="exact"/>
        <w:rPr>
          <w:rFonts w:ascii="华文仿宋" w:hAnsi="华文仿宋" w:cs="华文仿宋"/>
          <w:color w:val="auto"/>
        </w:rPr>
      </w:pPr>
      <w:r>
        <w:rPr>
          <w:rFonts w:hint="eastAsia" w:ascii="华文仿宋" w:hAnsi="华文仿宋" w:cs="华文仿宋"/>
          <w:color w:val="auto"/>
          <w:lang w:eastAsia="zh-CN"/>
        </w:rPr>
        <w:t>延安市公共资源交易中心（延安市市直单位政府采购中心）</w:t>
      </w:r>
      <w:r>
        <w:rPr>
          <w:rFonts w:hint="eastAsia" w:ascii="华文仿宋" w:hAnsi="华文仿宋" w:cs="华文仿宋"/>
          <w:color w:val="auto"/>
        </w:rPr>
        <w:t>：</w:t>
      </w:r>
    </w:p>
    <w:p w14:paraId="472BBC5C">
      <w:pPr>
        <w:spacing w:line="460" w:lineRule="exact"/>
        <w:ind w:firstLine="566" w:firstLineChars="200"/>
        <w:rPr>
          <w:rFonts w:cs="Times New Roman"/>
          <w:color w:val="auto"/>
        </w:rPr>
      </w:pPr>
      <w:r>
        <w:rPr>
          <w:rFonts w:hint="eastAsia" w:cs="华文仿宋"/>
          <w:color w:val="auto"/>
        </w:rPr>
        <w:t>现委派（</w:t>
      </w:r>
      <w:r>
        <w:rPr>
          <w:rFonts w:hint="eastAsia" w:ascii="华文仿宋" w:hAnsi="华文仿宋" w:cs="华文仿宋"/>
          <w:color w:val="auto"/>
          <w:u w:val="single"/>
        </w:rPr>
        <w:t>被授权代表姓名</w:t>
      </w:r>
      <w:r>
        <w:rPr>
          <w:rFonts w:hint="eastAsia" w:cs="华文仿宋"/>
          <w:color w:val="auto"/>
        </w:rPr>
        <w:t>）（身份证号：</w:t>
      </w:r>
      <w:r>
        <w:rPr>
          <w:rFonts w:hint="eastAsia" w:cs="华文仿宋"/>
          <w:color w:val="auto"/>
          <w:u w:val="single"/>
        </w:rPr>
        <w:t xml:space="preserve">    </w:t>
      </w:r>
      <w:r>
        <w:rPr>
          <w:rFonts w:hint="eastAsia" w:cs="华文仿宋"/>
          <w:color w:val="auto"/>
        </w:rPr>
        <w:t>）为本公司的被授权代表，参加贵中心组织的《</w:t>
      </w:r>
      <w:r>
        <w:rPr>
          <w:rFonts w:hint="eastAsia" w:ascii="华文仿宋" w:hAnsi="华文仿宋" w:cs="华文仿宋"/>
          <w:color w:val="auto"/>
          <w:u w:val="single"/>
        </w:rPr>
        <w:t>项目名称</w:t>
      </w:r>
      <w:r>
        <w:rPr>
          <w:rFonts w:hint="eastAsia" w:cs="华文仿宋"/>
          <w:color w:val="auto"/>
        </w:rPr>
        <w:t>》</w:t>
      </w:r>
      <w:r>
        <w:rPr>
          <w:rFonts w:hint="eastAsia" w:ascii="华文仿宋" w:hAnsi="华文仿宋" w:cs="华文仿宋"/>
          <w:color w:val="auto"/>
        </w:rPr>
        <w:t>（项目编号：</w:t>
      </w:r>
      <w:r>
        <w:rPr>
          <w:rFonts w:hint="eastAsia" w:ascii="华文仿宋" w:hAnsi="华文仿宋" w:cs="华文仿宋"/>
          <w:color w:val="auto"/>
          <w:u w:val="single"/>
        </w:rPr>
        <w:t xml:space="preserve">    </w:t>
      </w:r>
      <w:r>
        <w:rPr>
          <w:rFonts w:hint="eastAsia" w:ascii="华文仿宋" w:hAnsi="华文仿宋" w:cs="华文仿宋"/>
          <w:color w:val="auto"/>
        </w:rPr>
        <w:t>）第</w:t>
      </w:r>
      <w:r>
        <w:rPr>
          <w:rFonts w:hint="eastAsia" w:ascii="华文仿宋" w:hAnsi="华文仿宋" w:cs="华文仿宋"/>
          <w:color w:val="auto"/>
          <w:u w:val="single"/>
        </w:rPr>
        <w:t xml:space="preserve">   </w:t>
      </w:r>
      <w:r>
        <w:rPr>
          <w:rFonts w:hint="eastAsia" w:ascii="华文仿宋" w:hAnsi="华文仿宋" w:cs="华文仿宋"/>
          <w:color w:val="auto"/>
        </w:rPr>
        <w:t>标段</w:t>
      </w:r>
      <w:r>
        <w:rPr>
          <w:rFonts w:hint="eastAsia" w:cs="华文仿宋"/>
          <w:color w:val="auto"/>
        </w:rPr>
        <w:t>政府采购活动，就该项目的投标及合同的执行和完成，以本公司的名义处理一切与之有关的事宜。本授权自开标之日起生效，有效期与投标文件有效期一致。</w:t>
      </w:r>
    </w:p>
    <w:p w14:paraId="1A8E7A67">
      <w:pPr>
        <w:keepNext w:val="0"/>
        <w:keepLines w:val="0"/>
        <w:pageBreakBefore w:val="0"/>
        <w:widowControl/>
        <w:tabs>
          <w:tab w:val="left" w:pos="5245"/>
        </w:tabs>
        <w:kinsoku/>
        <w:wordWrap/>
        <w:overflowPunct/>
        <w:topLinePunct w:val="0"/>
        <w:autoSpaceDE/>
        <w:autoSpaceDN/>
        <w:bidi w:val="0"/>
        <w:adjustRightInd/>
        <w:snapToGrid w:val="0"/>
        <w:spacing w:line="480" w:lineRule="exact"/>
        <w:ind w:firstLine="566" w:firstLineChars="200"/>
        <w:rPr>
          <w:rFonts w:ascii="华文仿宋" w:cs="Times New Roman"/>
          <w:color w:val="auto"/>
        </w:rPr>
      </w:pPr>
      <w:r>
        <w:rPr>
          <w:rFonts w:hint="eastAsia" w:ascii="华文仿宋" w:hAnsi="华文仿宋" w:cs="华文仿宋"/>
          <w:color w:val="auto"/>
        </w:rPr>
        <w:t>被授权代表职务：</w:t>
      </w:r>
      <w:r>
        <w:rPr>
          <w:rFonts w:ascii="华文仿宋" w:hAnsi="华文仿宋" w:cs="华文仿宋"/>
          <w:color w:val="auto"/>
        </w:rPr>
        <w:t xml:space="preserve">________________   </w:t>
      </w:r>
      <w:r>
        <w:rPr>
          <w:rFonts w:hint="eastAsia" w:ascii="华文仿宋" w:hAnsi="华文仿宋" w:cs="华文仿宋"/>
          <w:color w:val="auto"/>
        </w:rPr>
        <w:t>性别：</w:t>
      </w:r>
      <w:r>
        <w:rPr>
          <w:rFonts w:ascii="华文仿宋" w:hAnsi="华文仿宋" w:cs="华文仿宋"/>
          <w:color w:val="auto"/>
        </w:rPr>
        <w:t>______</w:t>
      </w:r>
    </w:p>
    <w:p w14:paraId="2D7A20B0">
      <w:pPr>
        <w:keepNext w:val="0"/>
        <w:keepLines w:val="0"/>
        <w:pageBreakBefore w:val="0"/>
        <w:widowControl/>
        <w:tabs>
          <w:tab w:val="left" w:pos="5245"/>
        </w:tabs>
        <w:kinsoku/>
        <w:wordWrap/>
        <w:overflowPunct/>
        <w:topLinePunct w:val="0"/>
        <w:autoSpaceDE/>
        <w:autoSpaceDN/>
        <w:bidi w:val="0"/>
        <w:adjustRightInd/>
        <w:snapToGrid w:val="0"/>
        <w:spacing w:line="480" w:lineRule="exact"/>
        <w:ind w:firstLine="566" w:firstLineChars="200"/>
        <w:rPr>
          <w:rFonts w:ascii="华文仿宋" w:cs="Times New Roman"/>
          <w:strike/>
          <w:color w:val="auto"/>
        </w:rPr>
      </w:pPr>
      <w:r>
        <w:rPr>
          <w:rFonts w:hint="eastAsia" w:ascii="华文仿宋" w:hAnsi="华文仿宋" w:cs="华文仿宋"/>
          <w:color w:val="auto"/>
        </w:rPr>
        <w:t>电话：</w:t>
      </w:r>
      <w:r>
        <w:rPr>
          <w:rFonts w:ascii="华文仿宋" w:hAnsi="华文仿宋" w:cs="华文仿宋"/>
          <w:color w:val="auto"/>
        </w:rPr>
        <w:t>________________</w:t>
      </w:r>
      <w:r>
        <w:rPr>
          <w:rFonts w:hint="eastAsia" w:ascii="华文仿宋" w:hAnsi="华文仿宋" w:cs="华文仿宋"/>
          <w:color w:val="auto"/>
        </w:rPr>
        <w:t xml:space="preserve">             通讯地址：</w:t>
      </w:r>
      <w:r>
        <w:rPr>
          <w:rFonts w:ascii="华文仿宋" w:hAnsi="华文仿宋" w:cs="华文仿宋"/>
          <w:color w:val="auto"/>
        </w:rPr>
        <w:t>__________</w:t>
      </w:r>
    </w:p>
    <w:tbl>
      <w:tblPr>
        <w:tblStyle w:val="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72"/>
        <w:gridCol w:w="4098"/>
      </w:tblGrid>
      <w:tr w14:paraId="2C4E1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7" w:hRule="atLeast"/>
          <w:jc w:val="center"/>
        </w:trPr>
        <w:tc>
          <w:tcPr>
            <w:tcW w:w="4072" w:type="dxa"/>
            <w:noWrap/>
            <w:vAlign w:val="center"/>
          </w:tcPr>
          <w:p w14:paraId="1D325D19">
            <w:pPr>
              <w:keepNext w:val="0"/>
              <w:keepLines w:val="0"/>
              <w:pageBreakBefore w:val="0"/>
              <w:widowControl/>
              <w:kinsoku/>
              <w:wordWrap/>
              <w:overflowPunct/>
              <w:topLinePunct w:val="0"/>
              <w:autoSpaceDE/>
              <w:autoSpaceDN/>
              <w:bidi w:val="0"/>
              <w:adjustRightInd/>
              <w:snapToGrid/>
              <w:ind w:firstLine="8" w:firstLineChars="3"/>
              <w:jc w:val="center"/>
              <w:rPr>
                <w:rFonts w:cs="Times New Roman"/>
                <w:color w:val="auto"/>
              </w:rPr>
            </w:pPr>
            <w:r>
              <w:rPr>
                <w:rFonts w:hint="eastAsia" w:cs="华文仿宋"/>
                <w:color w:val="auto"/>
              </w:rPr>
              <w:t>法定代表人身份证扫描件</w:t>
            </w:r>
          </w:p>
          <w:p w14:paraId="4D43A1BB">
            <w:pPr>
              <w:keepNext w:val="0"/>
              <w:keepLines w:val="0"/>
              <w:pageBreakBefore w:val="0"/>
              <w:widowControl/>
              <w:kinsoku/>
              <w:wordWrap/>
              <w:overflowPunct/>
              <w:topLinePunct w:val="0"/>
              <w:autoSpaceDE/>
              <w:autoSpaceDN/>
              <w:bidi w:val="0"/>
              <w:adjustRightInd/>
              <w:snapToGrid/>
              <w:ind w:firstLine="8" w:firstLineChars="3"/>
              <w:jc w:val="center"/>
              <w:rPr>
                <w:rFonts w:cs="Times New Roman"/>
                <w:color w:val="auto"/>
              </w:rPr>
            </w:pPr>
            <w:r>
              <w:rPr>
                <w:rFonts w:hint="eastAsia" w:cs="华文仿宋"/>
                <w:color w:val="auto"/>
              </w:rPr>
              <w:t>（有人像面）</w:t>
            </w:r>
          </w:p>
        </w:tc>
        <w:tc>
          <w:tcPr>
            <w:tcW w:w="4098" w:type="dxa"/>
            <w:noWrap/>
            <w:vAlign w:val="center"/>
          </w:tcPr>
          <w:p w14:paraId="5A467448">
            <w:pPr>
              <w:keepNext w:val="0"/>
              <w:keepLines w:val="0"/>
              <w:pageBreakBefore w:val="0"/>
              <w:widowControl/>
              <w:kinsoku/>
              <w:wordWrap/>
              <w:overflowPunct/>
              <w:topLinePunct w:val="0"/>
              <w:autoSpaceDE/>
              <w:autoSpaceDN/>
              <w:bidi w:val="0"/>
              <w:adjustRightInd/>
              <w:snapToGrid/>
              <w:jc w:val="center"/>
              <w:rPr>
                <w:rFonts w:cs="Times New Roman"/>
                <w:color w:val="auto"/>
              </w:rPr>
            </w:pPr>
            <w:r>
              <w:rPr>
                <w:rFonts w:hint="eastAsia" w:cs="华文仿宋"/>
                <w:color w:val="auto"/>
              </w:rPr>
              <w:t>被授权代表</w:t>
            </w:r>
          </w:p>
          <w:p w14:paraId="201F10E1">
            <w:pPr>
              <w:keepNext w:val="0"/>
              <w:keepLines w:val="0"/>
              <w:pageBreakBefore w:val="0"/>
              <w:widowControl/>
              <w:kinsoku/>
              <w:wordWrap/>
              <w:overflowPunct/>
              <w:topLinePunct w:val="0"/>
              <w:autoSpaceDE/>
              <w:autoSpaceDN/>
              <w:bidi w:val="0"/>
              <w:adjustRightInd/>
              <w:snapToGrid/>
              <w:jc w:val="center"/>
              <w:rPr>
                <w:rFonts w:cs="Times New Roman"/>
                <w:color w:val="auto"/>
              </w:rPr>
            </w:pPr>
            <w:r>
              <w:rPr>
                <w:rFonts w:hint="eastAsia" w:cs="华文仿宋"/>
                <w:color w:val="auto"/>
              </w:rPr>
              <w:t>身份证扫描件</w:t>
            </w:r>
          </w:p>
          <w:p w14:paraId="4430037E">
            <w:pPr>
              <w:keepNext w:val="0"/>
              <w:keepLines w:val="0"/>
              <w:pageBreakBefore w:val="0"/>
              <w:widowControl/>
              <w:kinsoku/>
              <w:wordWrap/>
              <w:overflowPunct/>
              <w:topLinePunct w:val="0"/>
              <w:autoSpaceDE/>
              <w:autoSpaceDN/>
              <w:bidi w:val="0"/>
              <w:adjustRightInd/>
              <w:snapToGrid/>
              <w:jc w:val="center"/>
              <w:rPr>
                <w:rFonts w:cs="Times New Roman"/>
                <w:color w:val="auto"/>
              </w:rPr>
            </w:pPr>
            <w:r>
              <w:rPr>
                <w:rFonts w:hint="eastAsia" w:cs="华文仿宋"/>
                <w:color w:val="auto"/>
              </w:rPr>
              <w:t>（有人像面）</w:t>
            </w:r>
          </w:p>
        </w:tc>
      </w:tr>
      <w:tr w14:paraId="19D1E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7" w:hRule="atLeast"/>
          <w:jc w:val="center"/>
        </w:trPr>
        <w:tc>
          <w:tcPr>
            <w:tcW w:w="4072" w:type="dxa"/>
            <w:noWrap/>
            <w:vAlign w:val="center"/>
          </w:tcPr>
          <w:p w14:paraId="4E67C989">
            <w:pPr>
              <w:keepNext w:val="0"/>
              <w:keepLines w:val="0"/>
              <w:pageBreakBefore w:val="0"/>
              <w:widowControl/>
              <w:kinsoku/>
              <w:wordWrap/>
              <w:overflowPunct/>
              <w:topLinePunct w:val="0"/>
              <w:autoSpaceDE/>
              <w:autoSpaceDN/>
              <w:bidi w:val="0"/>
              <w:adjustRightInd/>
              <w:snapToGrid/>
              <w:jc w:val="center"/>
              <w:rPr>
                <w:rFonts w:cs="Times New Roman"/>
                <w:color w:val="auto"/>
              </w:rPr>
            </w:pPr>
            <w:r>
              <w:rPr>
                <w:rFonts w:hint="eastAsia" w:cs="华文仿宋"/>
                <w:color w:val="auto"/>
              </w:rPr>
              <w:t>法定代表人身份证扫描件</w:t>
            </w:r>
          </w:p>
          <w:p w14:paraId="6B5BD84E">
            <w:pPr>
              <w:keepNext w:val="0"/>
              <w:keepLines w:val="0"/>
              <w:pageBreakBefore w:val="0"/>
              <w:widowControl/>
              <w:kinsoku/>
              <w:wordWrap/>
              <w:overflowPunct/>
              <w:topLinePunct w:val="0"/>
              <w:autoSpaceDE/>
              <w:autoSpaceDN/>
              <w:bidi w:val="0"/>
              <w:adjustRightInd/>
              <w:snapToGrid/>
              <w:jc w:val="center"/>
              <w:rPr>
                <w:rFonts w:cs="Times New Roman"/>
                <w:color w:val="auto"/>
              </w:rPr>
            </w:pPr>
            <w:r>
              <w:rPr>
                <w:rFonts w:hint="eastAsia" w:cs="华文仿宋"/>
                <w:color w:val="auto"/>
              </w:rPr>
              <w:t>（有国徽面）</w:t>
            </w:r>
          </w:p>
        </w:tc>
        <w:tc>
          <w:tcPr>
            <w:tcW w:w="4098" w:type="dxa"/>
            <w:noWrap/>
            <w:vAlign w:val="center"/>
          </w:tcPr>
          <w:p w14:paraId="53FDB2EA">
            <w:pPr>
              <w:keepNext w:val="0"/>
              <w:keepLines w:val="0"/>
              <w:pageBreakBefore w:val="0"/>
              <w:widowControl/>
              <w:kinsoku/>
              <w:wordWrap/>
              <w:overflowPunct/>
              <w:topLinePunct w:val="0"/>
              <w:autoSpaceDE/>
              <w:autoSpaceDN/>
              <w:bidi w:val="0"/>
              <w:adjustRightInd/>
              <w:snapToGrid/>
              <w:jc w:val="center"/>
              <w:rPr>
                <w:rFonts w:cs="Times New Roman"/>
                <w:color w:val="auto"/>
              </w:rPr>
            </w:pPr>
            <w:r>
              <w:rPr>
                <w:rFonts w:hint="eastAsia" w:cs="华文仿宋"/>
                <w:color w:val="auto"/>
              </w:rPr>
              <w:t>被授权代表</w:t>
            </w:r>
          </w:p>
          <w:p w14:paraId="5242A66D">
            <w:pPr>
              <w:keepNext w:val="0"/>
              <w:keepLines w:val="0"/>
              <w:pageBreakBefore w:val="0"/>
              <w:widowControl/>
              <w:kinsoku/>
              <w:wordWrap/>
              <w:overflowPunct/>
              <w:topLinePunct w:val="0"/>
              <w:autoSpaceDE/>
              <w:autoSpaceDN/>
              <w:bidi w:val="0"/>
              <w:adjustRightInd/>
              <w:snapToGrid/>
              <w:jc w:val="center"/>
              <w:rPr>
                <w:rFonts w:cs="Times New Roman"/>
                <w:color w:val="auto"/>
              </w:rPr>
            </w:pPr>
            <w:r>
              <w:rPr>
                <w:rFonts w:hint="eastAsia" w:cs="华文仿宋"/>
                <w:color w:val="auto"/>
              </w:rPr>
              <w:t>身份证扫描件</w:t>
            </w:r>
          </w:p>
          <w:p w14:paraId="0A0B2F6D">
            <w:pPr>
              <w:keepNext w:val="0"/>
              <w:keepLines w:val="0"/>
              <w:pageBreakBefore w:val="0"/>
              <w:widowControl/>
              <w:kinsoku/>
              <w:wordWrap/>
              <w:overflowPunct/>
              <w:topLinePunct w:val="0"/>
              <w:autoSpaceDE/>
              <w:autoSpaceDN/>
              <w:bidi w:val="0"/>
              <w:adjustRightInd/>
              <w:snapToGrid/>
              <w:jc w:val="center"/>
              <w:rPr>
                <w:rFonts w:cs="Times New Roman"/>
                <w:color w:val="auto"/>
              </w:rPr>
            </w:pPr>
            <w:r>
              <w:rPr>
                <w:rFonts w:hint="eastAsia" w:cs="华文仿宋"/>
                <w:color w:val="auto"/>
              </w:rPr>
              <w:t>（有国徽面）</w:t>
            </w:r>
          </w:p>
        </w:tc>
      </w:tr>
    </w:tbl>
    <w:p w14:paraId="71E09C86">
      <w:pPr>
        <w:tabs>
          <w:tab w:val="right" w:pos="8931"/>
        </w:tabs>
        <w:ind w:firstLine="566" w:firstLineChars="200"/>
        <w:rPr>
          <w:rFonts w:cs="Times New Roman"/>
          <w:color w:val="auto"/>
        </w:rPr>
      </w:pPr>
      <w:r>
        <w:rPr>
          <w:rFonts w:hint="eastAsia" w:cs="华文仿宋"/>
          <w:color w:val="auto"/>
        </w:rPr>
        <w:t>投标人：</w:t>
      </w:r>
      <w:r>
        <w:rPr>
          <w:rFonts w:hint="eastAsia" w:cs="华文仿宋"/>
          <w:color w:val="auto"/>
          <w:u w:val="single"/>
        </w:rPr>
        <w:t>名称</w:t>
      </w:r>
      <w:r>
        <w:rPr>
          <w:rFonts w:hint="eastAsia" w:cs="华文仿宋"/>
          <w:color w:val="auto"/>
        </w:rPr>
        <w:t>（加盖公章）法定代表人：（</w:t>
      </w:r>
      <w:r>
        <w:rPr>
          <w:rFonts w:hint="eastAsia" w:ascii="仿宋" w:hAnsi="仿宋" w:eastAsia="仿宋" w:cs="仿宋"/>
          <w:color w:val="auto"/>
        </w:rPr>
        <w:t>签字或</w:t>
      </w:r>
      <w:r>
        <w:rPr>
          <w:rFonts w:hint="eastAsia" w:cs="华文仿宋"/>
          <w:color w:val="auto"/>
        </w:rPr>
        <w:t>盖章）</w:t>
      </w:r>
    </w:p>
    <w:p w14:paraId="3C4AB3A7">
      <w:pPr>
        <w:spacing w:line="440" w:lineRule="exact"/>
        <w:ind w:firstLine="5789" w:firstLineChars="2046"/>
        <w:rPr>
          <w:rFonts w:cs="Times New Roman"/>
          <w:color w:val="auto"/>
        </w:rPr>
      </w:pPr>
      <w:r>
        <w:rPr>
          <w:rFonts w:hint="eastAsia" w:cs="华文仿宋"/>
          <w:color w:val="auto"/>
        </w:rPr>
        <w:t>日期：　年　月　日</w:t>
      </w:r>
    </w:p>
    <w:p w14:paraId="16DCAD65">
      <w:pPr>
        <w:keepNext w:val="0"/>
        <w:keepLines w:val="0"/>
        <w:pageBreakBefore w:val="0"/>
        <w:widowControl/>
        <w:kinsoku/>
        <w:wordWrap/>
        <w:overflowPunct/>
        <w:topLinePunct w:val="0"/>
        <w:autoSpaceDE/>
        <w:autoSpaceDN/>
        <w:bidi w:val="0"/>
        <w:adjustRightInd/>
        <w:snapToGrid/>
        <w:spacing w:line="360" w:lineRule="exact"/>
        <w:rPr>
          <w:rFonts w:ascii="宋体" w:hAnsi="宋体" w:eastAsia="宋体" w:cs="Times New Roman"/>
          <w:color w:val="auto"/>
          <w:sz w:val="21"/>
          <w:szCs w:val="21"/>
        </w:rPr>
      </w:pPr>
      <w:r>
        <w:rPr>
          <w:rFonts w:hint="eastAsia" w:ascii="宋体" w:hAnsi="宋体" w:eastAsia="宋体" w:cs="宋体"/>
          <w:color w:val="auto"/>
          <w:sz w:val="21"/>
          <w:szCs w:val="21"/>
        </w:rPr>
        <w:t>备注：</w:t>
      </w:r>
      <w:r>
        <w:rPr>
          <w:rFonts w:ascii="宋体" w:hAnsi="宋体" w:eastAsia="宋体" w:cs="宋体"/>
          <w:color w:val="auto"/>
          <w:sz w:val="21"/>
          <w:szCs w:val="21"/>
        </w:rPr>
        <w:t>1</w:t>
      </w:r>
      <w:r>
        <w:rPr>
          <w:rFonts w:hint="eastAsia" w:ascii="宋体" w:hAnsi="宋体" w:eastAsia="宋体" w:cs="宋体"/>
          <w:color w:val="auto"/>
          <w:sz w:val="21"/>
          <w:szCs w:val="21"/>
          <w:lang w:val="en-US" w:eastAsia="zh-CN"/>
        </w:rPr>
        <w:t>.</w:t>
      </w:r>
      <w:r>
        <w:rPr>
          <w:rFonts w:hint="eastAsia" w:ascii="宋体" w:hAnsi="宋体" w:eastAsia="宋体" w:cs="宋体"/>
          <w:color w:val="auto"/>
          <w:sz w:val="21"/>
          <w:szCs w:val="21"/>
        </w:rPr>
        <w:t>项目不分标段的，第</w:t>
      </w:r>
      <w:r>
        <w:rPr>
          <w:rFonts w:ascii="宋体" w:hAnsi="宋体" w:eastAsia="宋体" w:cs="宋体"/>
          <w:color w:val="auto"/>
          <w:sz w:val="21"/>
          <w:szCs w:val="21"/>
        </w:rPr>
        <w:t>___</w:t>
      </w:r>
      <w:r>
        <w:rPr>
          <w:rFonts w:hint="eastAsia" w:ascii="宋体" w:hAnsi="宋体" w:eastAsia="宋体" w:cs="宋体"/>
          <w:color w:val="auto"/>
          <w:sz w:val="21"/>
          <w:szCs w:val="21"/>
        </w:rPr>
        <w:t>标段空白处填写“</w:t>
      </w:r>
      <w:r>
        <w:rPr>
          <w:rFonts w:ascii="宋体" w:hAnsi="宋体" w:eastAsia="宋体" w:cs="宋体"/>
          <w:color w:val="auto"/>
          <w:sz w:val="21"/>
          <w:szCs w:val="21"/>
        </w:rPr>
        <w:t>/</w:t>
      </w:r>
      <w:r>
        <w:rPr>
          <w:rFonts w:hint="eastAsia" w:ascii="宋体" w:hAnsi="宋体" w:eastAsia="宋体" w:cs="宋体"/>
          <w:color w:val="auto"/>
          <w:sz w:val="21"/>
          <w:szCs w:val="21"/>
        </w:rPr>
        <w:t>”。</w:t>
      </w:r>
    </w:p>
    <w:p w14:paraId="463335FA">
      <w:pPr>
        <w:pStyle w:val="27"/>
        <w:keepNext w:val="0"/>
        <w:keepLines w:val="0"/>
        <w:pageBreakBefore w:val="0"/>
        <w:widowControl/>
        <w:kinsoku/>
        <w:wordWrap/>
        <w:overflowPunct/>
        <w:topLinePunct w:val="0"/>
        <w:autoSpaceDE/>
        <w:autoSpaceDN/>
        <w:bidi w:val="0"/>
        <w:adjustRightInd/>
        <w:snapToGrid/>
        <w:spacing w:afterLines="0" w:line="360" w:lineRule="exact"/>
        <w:ind w:firstLine="639" w:firstLineChars="300"/>
        <w:rPr>
          <w:rFonts w:ascii="宋体" w:hAnsi="宋体" w:eastAsia="宋体"/>
          <w:color w:val="auto"/>
          <w:sz w:val="21"/>
          <w:szCs w:val="21"/>
        </w:rPr>
      </w:pPr>
      <w:r>
        <w:rPr>
          <w:rFonts w:ascii="宋体" w:hAnsi="宋体" w:eastAsia="宋体" w:cs="宋体"/>
          <w:b/>
          <w:bCs/>
          <w:color w:val="auto"/>
          <w:sz w:val="21"/>
          <w:szCs w:val="21"/>
        </w:rPr>
        <w:t>2</w:t>
      </w:r>
      <w:r>
        <w:rPr>
          <w:rFonts w:hint="eastAsia" w:ascii="宋体" w:hAnsi="宋体" w:eastAsia="宋体" w:cs="宋体"/>
          <w:b/>
          <w:bCs/>
          <w:color w:val="auto"/>
          <w:sz w:val="21"/>
          <w:szCs w:val="21"/>
          <w:lang w:val="en-US" w:eastAsia="zh-CN"/>
        </w:rPr>
        <w:t>.</w:t>
      </w:r>
      <w:r>
        <w:rPr>
          <w:rFonts w:hint="eastAsia" w:ascii="宋体" w:hAnsi="宋体" w:eastAsia="宋体" w:cs="宋体"/>
          <w:b/>
          <w:bCs/>
          <w:color w:val="auto"/>
          <w:sz w:val="21"/>
          <w:szCs w:val="21"/>
        </w:rPr>
        <w:t>法定代表人亲自参加投标的，无需提供该委托授权书，但须提供法定代表人本人身份证（正反面）</w:t>
      </w:r>
      <w:r>
        <w:rPr>
          <w:rFonts w:hint="eastAsia" w:ascii="宋体" w:hAnsi="宋体" w:eastAsia="宋体" w:cs="宋体"/>
          <w:b/>
          <w:bCs/>
          <w:color w:val="auto"/>
          <w:sz w:val="21"/>
          <w:szCs w:val="21"/>
          <w:lang w:val="en-US" w:eastAsia="zh-CN"/>
        </w:rPr>
        <w:t>扫描</w:t>
      </w:r>
      <w:r>
        <w:rPr>
          <w:rFonts w:hint="eastAsia" w:ascii="宋体" w:hAnsi="宋体" w:eastAsia="宋体" w:cs="宋体"/>
          <w:b/>
          <w:bCs/>
          <w:color w:val="auto"/>
          <w:sz w:val="21"/>
          <w:szCs w:val="21"/>
        </w:rPr>
        <w:t>件，并在</w:t>
      </w:r>
      <w:r>
        <w:rPr>
          <w:rFonts w:hint="eastAsia" w:ascii="宋体" w:hAnsi="宋体" w:eastAsia="宋体" w:cs="宋体"/>
          <w:b/>
          <w:bCs/>
          <w:color w:val="auto"/>
          <w:sz w:val="21"/>
          <w:szCs w:val="21"/>
          <w:lang w:val="en-US" w:eastAsia="zh-CN"/>
        </w:rPr>
        <w:t>扫描</w:t>
      </w:r>
      <w:r>
        <w:rPr>
          <w:rFonts w:hint="eastAsia" w:ascii="宋体" w:hAnsi="宋体" w:eastAsia="宋体" w:cs="宋体"/>
          <w:b/>
          <w:bCs/>
          <w:color w:val="auto"/>
          <w:sz w:val="21"/>
          <w:szCs w:val="21"/>
        </w:rPr>
        <w:t>件中注明联系方式。</w:t>
      </w:r>
    </w:p>
    <w:p w14:paraId="7C030E45">
      <w:pPr>
        <w:pStyle w:val="27"/>
        <w:keepNext w:val="0"/>
        <w:keepLines w:val="0"/>
        <w:pageBreakBefore w:val="0"/>
        <w:widowControl/>
        <w:kinsoku/>
        <w:wordWrap/>
        <w:overflowPunct/>
        <w:topLinePunct w:val="0"/>
        <w:autoSpaceDE/>
        <w:autoSpaceDN/>
        <w:bidi w:val="0"/>
        <w:adjustRightInd/>
        <w:snapToGrid/>
        <w:spacing w:afterLines="0" w:line="360" w:lineRule="exact"/>
        <w:ind w:firstLine="639" w:firstLineChars="300"/>
        <w:rPr>
          <w:rFonts w:ascii="宋体" w:hAnsi="宋体" w:eastAsia="宋体"/>
          <w:color w:val="auto"/>
          <w:sz w:val="21"/>
          <w:szCs w:val="21"/>
        </w:rPr>
      </w:pPr>
      <w:r>
        <w:rPr>
          <w:rFonts w:ascii="宋体" w:hAnsi="宋体" w:eastAsia="宋体" w:cs="宋体"/>
          <w:color w:val="auto"/>
          <w:sz w:val="21"/>
          <w:szCs w:val="21"/>
        </w:rPr>
        <w:t>3</w:t>
      </w:r>
      <w:r>
        <w:rPr>
          <w:rFonts w:hint="eastAsia" w:ascii="宋体" w:hAnsi="宋体" w:eastAsia="宋体" w:cs="宋体"/>
          <w:color w:val="auto"/>
          <w:sz w:val="21"/>
          <w:szCs w:val="21"/>
          <w:lang w:val="en-US" w:eastAsia="zh-CN"/>
        </w:rPr>
        <w:t>.</w:t>
      </w:r>
      <w:r>
        <w:rPr>
          <w:rFonts w:hint="eastAsia" w:ascii="宋体" w:hAnsi="宋体" w:eastAsia="宋体" w:cs="宋体"/>
          <w:color w:val="auto"/>
          <w:sz w:val="21"/>
          <w:szCs w:val="21"/>
        </w:rPr>
        <w:t>法定代表人签字或盖章可采用纸质签字或盖章后，上传至电子投标文件，也可使用法定代表人</w:t>
      </w:r>
      <w:r>
        <w:rPr>
          <w:rFonts w:ascii="宋体" w:hAnsi="宋体" w:eastAsia="宋体" w:cs="宋体"/>
          <w:color w:val="auto"/>
          <w:sz w:val="21"/>
          <w:szCs w:val="21"/>
        </w:rPr>
        <w:t>CA</w:t>
      </w:r>
      <w:r>
        <w:rPr>
          <w:rFonts w:hint="eastAsia" w:ascii="宋体" w:hAnsi="宋体" w:eastAsia="宋体" w:cs="宋体"/>
          <w:color w:val="auto"/>
          <w:sz w:val="21"/>
          <w:szCs w:val="21"/>
        </w:rPr>
        <w:t>锁在电子投标文件制作软件中签章。</w:t>
      </w:r>
    </w:p>
    <w:p w14:paraId="76A245C8">
      <w:pPr>
        <w:pStyle w:val="27"/>
        <w:keepNext w:val="0"/>
        <w:keepLines w:val="0"/>
        <w:pageBreakBefore w:val="0"/>
        <w:widowControl/>
        <w:kinsoku/>
        <w:wordWrap/>
        <w:overflowPunct/>
        <w:topLinePunct w:val="0"/>
        <w:autoSpaceDE/>
        <w:autoSpaceDN/>
        <w:bidi w:val="0"/>
        <w:adjustRightInd/>
        <w:snapToGrid/>
        <w:spacing w:afterLines="0" w:line="360" w:lineRule="exact"/>
        <w:ind w:firstLine="639" w:firstLineChars="300"/>
        <w:rPr>
          <w:rFonts w:ascii="宋体" w:hAnsi="宋体" w:eastAsia="宋体"/>
          <w:color w:val="auto"/>
          <w:sz w:val="21"/>
          <w:szCs w:val="21"/>
        </w:rPr>
      </w:pPr>
      <w:bookmarkStart w:id="649" w:name="_Toc7264"/>
      <w:bookmarkStart w:id="650" w:name="_Toc2556"/>
      <w:bookmarkStart w:id="651" w:name="_Toc26876"/>
      <w:bookmarkStart w:id="652" w:name="_Toc4050"/>
      <w:bookmarkStart w:id="653" w:name="_Toc15794"/>
      <w:bookmarkStart w:id="654" w:name="_Toc5624"/>
      <w:bookmarkStart w:id="655" w:name="_Toc14776"/>
      <w:r>
        <w:rPr>
          <w:rFonts w:hint="eastAsia" w:ascii="宋体" w:hAnsi="宋体" w:eastAsia="宋体" w:cs="宋体"/>
          <w:color w:val="auto"/>
          <w:sz w:val="21"/>
          <w:szCs w:val="21"/>
          <w:lang w:val="en-US" w:eastAsia="zh-CN"/>
        </w:rPr>
        <w:t>4.</w:t>
      </w:r>
      <w:r>
        <w:rPr>
          <w:rFonts w:hint="eastAsia" w:ascii="宋体" w:hAnsi="宋体" w:eastAsia="宋体" w:cs="宋体"/>
          <w:color w:val="auto"/>
          <w:sz w:val="21"/>
          <w:szCs w:val="21"/>
          <w:lang w:eastAsia="zh-CN"/>
        </w:rPr>
        <w:t>法人的</w:t>
      </w:r>
      <w:r>
        <w:rPr>
          <w:rFonts w:hint="eastAsia" w:ascii="宋体" w:hAnsi="宋体" w:eastAsia="宋体" w:cs="宋体"/>
          <w:color w:val="auto"/>
          <w:sz w:val="21"/>
          <w:szCs w:val="21"/>
        </w:rPr>
        <w:t>分支机构参与投标时，</w:t>
      </w:r>
      <w:r>
        <w:rPr>
          <w:rFonts w:hint="eastAsia" w:ascii="宋体" w:hAnsi="宋体" w:eastAsia="宋体" w:cs="宋体"/>
          <w:color w:val="auto"/>
          <w:sz w:val="21"/>
          <w:szCs w:val="21"/>
          <w:lang w:eastAsia="zh-CN"/>
        </w:rPr>
        <w:t>除提供《</w:t>
      </w:r>
      <w:r>
        <w:rPr>
          <w:rFonts w:hint="eastAsia" w:ascii="宋体" w:hAnsi="宋体" w:eastAsia="宋体" w:cs="宋体"/>
          <w:color w:val="auto"/>
          <w:sz w:val="21"/>
          <w:szCs w:val="21"/>
        </w:rPr>
        <w:t>法定代表人授权委托书</w:t>
      </w:r>
      <w:r>
        <w:rPr>
          <w:rFonts w:hint="eastAsia" w:ascii="宋体" w:hAnsi="宋体" w:eastAsia="宋体" w:cs="宋体"/>
          <w:color w:val="auto"/>
          <w:sz w:val="21"/>
          <w:szCs w:val="21"/>
          <w:lang w:eastAsia="zh-CN"/>
        </w:rPr>
        <w:t>》外，还须同时提供法人给分支机构</w:t>
      </w:r>
      <w:r>
        <w:rPr>
          <w:rFonts w:hint="eastAsia" w:ascii="宋体" w:hAnsi="宋体" w:eastAsia="宋体" w:cs="宋体"/>
          <w:color w:val="auto"/>
          <w:sz w:val="21"/>
          <w:szCs w:val="21"/>
        </w:rPr>
        <w:t>出具的授权书。</w:t>
      </w:r>
    </w:p>
    <w:bookmarkEnd w:id="649"/>
    <w:bookmarkEnd w:id="650"/>
    <w:bookmarkEnd w:id="651"/>
    <w:bookmarkEnd w:id="652"/>
    <w:bookmarkEnd w:id="653"/>
    <w:bookmarkEnd w:id="654"/>
    <w:p w14:paraId="5B134194">
      <w:pPr>
        <w:tabs>
          <w:tab w:val="left" w:pos="210"/>
        </w:tabs>
        <w:spacing w:line="320" w:lineRule="exact"/>
        <w:jc w:val="center"/>
        <w:rPr>
          <w:rFonts w:hint="eastAsia" w:ascii="宋体" w:hAnsi="宋体" w:eastAsia="华文仿宋" w:cs="Arial"/>
          <w:b/>
          <w:bCs/>
          <w:color w:val="000000"/>
          <w:kern w:val="0"/>
          <w:sz w:val="32"/>
          <w:szCs w:val="32"/>
          <w:lang w:eastAsia="zh-CN"/>
        </w:rPr>
      </w:pPr>
      <w:bookmarkStart w:id="656" w:name="_Toc2465"/>
      <w:bookmarkStart w:id="657" w:name="_Toc32069"/>
      <w:bookmarkStart w:id="658" w:name="_Toc9973"/>
      <w:bookmarkStart w:id="659" w:name="_Toc22488"/>
      <w:r>
        <w:rPr>
          <w:rFonts w:hint="eastAsia" w:ascii="华文仿宋" w:hAnsi="华文仿宋" w:cs="华文仿宋"/>
          <w:color w:val="auto"/>
        </w:rPr>
        <w:br w:type="page"/>
      </w:r>
      <w:r>
        <w:rPr>
          <w:rFonts w:hint="eastAsia" w:ascii="宋体" w:hAnsi="宋体" w:cs="Arial"/>
          <w:b/>
          <w:bCs/>
          <w:color w:val="000000"/>
          <w:kern w:val="0"/>
          <w:sz w:val="32"/>
          <w:szCs w:val="32"/>
        </w:rPr>
        <w:t>法定代表人证明书</w:t>
      </w:r>
      <w:r>
        <w:rPr>
          <w:rFonts w:hint="eastAsia" w:ascii="宋体" w:hAnsi="宋体" w:cs="Arial"/>
          <w:b/>
          <w:bCs/>
          <w:color w:val="000000"/>
          <w:kern w:val="0"/>
          <w:sz w:val="32"/>
          <w:szCs w:val="32"/>
          <w:lang w:eastAsia="zh-CN"/>
        </w:rPr>
        <w:t>（</w:t>
      </w:r>
      <w:r>
        <w:rPr>
          <w:rFonts w:hint="eastAsia" w:ascii="宋体" w:hAnsi="宋体" w:cs="Arial"/>
          <w:b/>
          <w:bCs/>
          <w:color w:val="000000"/>
          <w:kern w:val="0"/>
          <w:sz w:val="32"/>
          <w:szCs w:val="32"/>
          <w:lang w:val="en-US" w:eastAsia="zh-CN"/>
        </w:rPr>
        <w:t>格式</w:t>
      </w:r>
      <w:r>
        <w:rPr>
          <w:rFonts w:hint="eastAsia" w:ascii="宋体" w:hAnsi="宋体" w:cs="Arial"/>
          <w:b/>
          <w:bCs/>
          <w:color w:val="000000"/>
          <w:kern w:val="0"/>
          <w:sz w:val="32"/>
          <w:szCs w:val="32"/>
          <w:lang w:eastAsia="zh-CN"/>
        </w:rPr>
        <w:t>）</w:t>
      </w:r>
    </w:p>
    <w:p w14:paraId="04414274">
      <w:pPr>
        <w:tabs>
          <w:tab w:val="left" w:pos="210"/>
        </w:tabs>
        <w:spacing w:line="320" w:lineRule="exact"/>
        <w:jc w:val="center"/>
        <w:rPr>
          <w:rFonts w:hint="eastAsia" w:ascii="宋体" w:hAnsi="宋体" w:cs="Arial"/>
          <w:b/>
          <w:color w:val="000000"/>
          <w:kern w:val="0"/>
          <w:sz w:val="32"/>
          <w:szCs w:val="32"/>
        </w:rPr>
      </w:pPr>
    </w:p>
    <w:tbl>
      <w:tblPr>
        <w:tblStyle w:val="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2160"/>
        <w:gridCol w:w="2156"/>
        <w:gridCol w:w="184"/>
        <w:gridCol w:w="2156"/>
        <w:gridCol w:w="2160"/>
      </w:tblGrid>
      <w:tr w14:paraId="5EB61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9716" w:type="dxa"/>
            <w:gridSpan w:val="6"/>
            <w:noWrap w:val="0"/>
            <w:vAlign w:val="center"/>
          </w:tcPr>
          <w:p w14:paraId="170028F0">
            <w:pPr>
              <w:tabs>
                <w:tab w:val="left" w:pos="210"/>
              </w:tabs>
              <w:spacing w:line="320" w:lineRule="exact"/>
              <w:rPr>
                <w:rFonts w:hint="eastAsia" w:ascii="宋体" w:hAnsi="宋体" w:eastAsia="宋体" w:cs="宋体"/>
                <w:color w:val="000000"/>
                <w:kern w:val="0"/>
                <w:sz w:val="24"/>
                <w:lang w:eastAsia="zh-CN"/>
              </w:rPr>
            </w:pPr>
            <w:r>
              <w:rPr>
                <w:rFonts w:hint="eastAsia" w:ascii="宋体" w:hAnsi="宋体" w:eastAsia="宋体" w:cs="宋体"/>
                <w:color w:val="000000"/>
                <w:kern w:val="0"/>
                <w:sz w:val="24"/>
              </w:rPr>
              <w:t>致：</w:t>
            </w:r>
            <w:r>
              <w:rPr>
                <w:rFonts w:hint="eastAsia" w:ascii="宋体" w:hAnsi="宋体" w:eastAsia="宋体" w:cs="宋体"/>
                <w:spacing w:val="-6"/>
                <w:sz w:val="24"/>
                <w:lang w:eastAsia="zh-CN"/>
              </w:rPr>
              <w:t>延安市公共资源交易中心（延安市市直单位政府采购中心）</w:t>
            </w:r>
          </w:p>
        </w:tc>
      </w:tr>
      <w:tr w14:paraId="7779F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restart"/>
            <w:noWrap w:val="0"/>
            <w:vAlign w:val="center"/>
          </w:tcPr>
          <w:p w14:paraId="3DE36638">
            <w:pPr>
              <w:tabs>
                <w:tab w:val="left" w:pos="210"/>
              </w:tabs>
              <w:spacing w:line="320" w:lineRule="exact"/>
              <w:jc w:val="center"/>
              <w:rPr>
                <w:rFonts w:hint="eastAsia" w:ascii="宋体" w:hAnsi="宋体" w:eastAsia="宋体" w:cs="宋体"/>
                <w:color w:val="000000"/>
                <w:kern w:val="0"/>
                <w:sz w:val="24"/>
              </w:rPr>
            </w:pPr>
            <w:r>
              <w:rPr>
                <w:rFonts w:hint="eastAsia" w:ascii="宋体" w:hAnsi="宋体" w:eastAsia="宋体" w:cs="宋体"/>
                <w:color w:val="000000"/>
                <w:kern w:val="0"/>
                <w:sz w:val="24"/>
              </w:rPr>
              <w:t>企</w:t>
            </w:r>
          </w:p>
          <w:p w14:paraId="67C807B2">
            <w:pPr>
              <w:tabs>
                <w:tab w:val="left" w:pos="210"/>
              </w:tabs>
              <w:spacing w:line="320" w:lineRule="exact"/>
              <w:jc w:val="center"/>
              <w:rPr>
                <w:rFonts w:hint="eastAsia" w:ascii="宋体" w:hAnsi="宋体" w:eastAsia="宋体" w:cs="宋体"/>
                <w:color w:val="000000"/>
                <w:kern w:val="0"/>
                <w:sz w:val="24"/>
              </w:rPr>
            </w:pPr>
          </w:p>
          <w:p w14:paraId="58100DC2">
            <w:pPr>
              <w:tabs>
                <w:tab w:val="left" w:pos="210"/>
              </w:tabs>
              <w:spacing w:line="320" w:lineRule="exact"/>
              <w:jc w:val="center"/>
              <w:rPr>
                <w:rFonts w:hint="eastAsia" w:ascii="宋体" w:hAnsi="宋体" w:eastAsia="宋体" w:cs="宋体"/>
                <w:color w:val="000000"/>
                <w:kern w:val="0"/>
                <w:sz w:val="24"/>
              </w:rPr>
            </w:pPr>
            <w:r>
              <w:rPr>
                <w:rFonts w:hint="eastAsia" w:ascii="宋体" w:hAnsi="宋体" w:eastAsia="宋体" w:cs="宋体"/>
                <w:color w:val="000000"/>
                <w:kern w:val="0"/>
                <w:sz w:val="24"/>
              </w:rPr>
              <w:t>业</w:t>
            </w:r>
          </w:p>
          <w:p w14:paraId="68CB95BF">
            <w:pPr>
              <w:tabs>
                <w:tab w:val="left" w:pos="210"/>
              </w:tabs>
              <w:spacing w:line="320" w:lineRule="exact"/>
              <w:jc w:val="center"/>
              <w:rPr>
                <w:rFonts w:hint="eastAsia" w:ascii="宋体" w:hAnsi="宋体" w:eastAsia="宋体" w:cs="宋体"/>
                <w:color w:val="000000"/>
                <w:kern w:val="0"/>
                <w:sz w:val="24"/>
              </w:rPr>
            </w:pPr>
          </w:p>
          <w:p w14:paraId="74B4EE8A">
            <w:pPr>
              <w:tabs>
                <w:tab w:val="left" w:pos="210"/>
              </w:tabs>
              <w:spacing w:line="320" w:lineRule="exact"/>
              <w:jc w:val="center"/>
              <w:rPr>
                <w:rFonts w:hint="eastAsia" w:ascii="宋体" w:hAnsi="宋体" w:eastAsia="宋体" w:cs="宋体"/>
                <w:color w:val="000000"/>
                <w:kern w:val="0"/>
                <w:sz w:val="24"/>
              </w:rPr>
            </w:pPr>
            <w:r>
              <w:rPr>
                <w:rFonts w:hint="eastAsia" w:ascii="宋体" w:hAnsi="宋体" w:eastAsia="宋体" w:cs="宋体"/>
                <w:color w:val="000000"/>
                <w:kern w:val="0"/>
                <w:sz w:val="24"/>
              </w:rPr>
              <w:t>法</w:t>
            </w:r>
          </w:p>
          <w:p w14:paraId="2356231B">
            <w:pPr>
              <w:tabs>
                <w:tab w:val="left" w:pos="210"/>
              </w:tabs>
              <w:spacing w:line="320" w:lineRule="exact"/>
              <w:jc w:val="center"/>
              <w:rPr>
                <w:rFonts w:hint="eastAsia" w:ascii="宋体" w:hAnsi="宋体" w:eastAsia="宋体" w:cs="宋体"/>
                <w:color w:val="000000"/>
                <w:kern w:val="0"/>
                <w:sz w:val="24"/>
              </w:rPr>
            </w:pPr>
          </w:p>
          <w:p w14:paraId="106F1D60">
            <w:pPr>
              <w:tabs>
                <w:tab w:val="left" w:pos="210"/>
              </w:tabs>
              <w:spacing w:line="320" w:lineRule="exact"/>
              <w:jc w:val="center"/>
              <w:rPr>
                <w:rFonts w:hint="eastAsia" w:ascii="宋体" w:hAnsi="宋体" w:eastAsia="宋体" w:cs="宋体"/>
                <w:color w:val="000000"/>
                <w:kern w:val="0"/>
                <w:sz w:val="24"/>
              </w:rPr>
            </w:pPr>
            <w:r>
              <w:rPr>
                <w:rFonts w:hint="eastAsia" w:ascii="宋体" w:hAnsi="宋体" w:eastAsia="宋体" w:cs="宋体"/>
                <w:color w:val="000000"/>
                <w:kern w:val="0"/>
                <w:sz w:val="24"/>
              </w:rPr>
              <w:t>人</w:t>
            </w:r>
          </w:p>
        </w:tc>
        <w:tc>
          <w:tcPr>
            <w:tcW w:w="2160" w:type="dxa"/>
            <w:noWrap w:val="0"/>
            <w:vAlign w:val="center"/>
          </w:tcPr>
          <w:p w14:paraId="1D23BD91">
            <w:pPr>
              <w:tabs>
                <w:tab w:val="left" w:pos="210"/>
              </w:tabs>
              <w:spacing w:line="320" w:lineRule="exact"/>
              <w:jc w:val="center"/>
              <w:rPr>
                <w:rFonts w:hint="eastAsia" w:ascii="宋体" w:hAnsi="宋体" w:eastAsia="宋体" w:cs="宋体"/>
                <w:color w:val="000000"/>
                <w:kern w:val="0"/>
                <w:sz w:val="24"/>
              </w:rPr>
            </w:pPr>
            <w:r>
              <w:rPr>
                <w:rFonts w:hint="eastAsia" w:ascii="宋体" w:hAnsi="宋体" w:eastAsia="宋体" w:cs="宋体"/>
                <w:color w:val="000000"/>
                <w:kern w:val="0"/>
                <w:sz w:val="24"/>
              </w:rPr>
              <w:t>企业名称</w:t>
            </w:r>
          </w:p>
        </w:tc>
        <w:tc>
          <w:tcPr>
            <w:tcW w:w="6656" w:type="dxa"/>
            <w:gridSpan w:val="4"/>
            <w:noWrap w:val="0"/>
            <w:vAlign w:val="center"/>
          </w:tcPr>
          <w:p w14:paraId="385899E9">
            <w:pPr>
              <w:tabs>
                <w:tab w:val="left" w:pos="210"/>
              </w:tabs>
              <w:spacing w:line="320" w:lineRule="exact"/>
              <w:jc w:val="center"/>
              <w:rPr>
                <w:rFonts w:hint="eastAsia" w:ascii="宋体" w:hAnsi="宋体" w:eastAsia="宋体" w:cs="宋体"/>
                <w:color w:val="000000"/>
                <w:kern w:val="0"/>
                <w:sz w:val="24"/>
              </w:rPr>
            </w:pPr>
          </w:p>
        </w:tc>
      </w:tr>
      <w:tr w14:paraId="4E4BE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continue"/>
            <w:noWrap w:val="0"/>
            <w:vAlign w:val="center"/>
          </w:tcPr>
          <w:p w14:paraId="1BDEB588">
            <w:pPr>
              <w:tabs>
                <w:tab w:val="left" w:pos="210"/>
              </w:tabs>
              <w:spacing w:line="320" w:lineRule="exact"/>
              <w:jc w:val="center"/>
              <w:rPr>
                <w:rFonts w:hint="eastAsia" w:ascii="宋体" w:hAnsi="宋体" w:eastAsia="宋体" w:cs="宋体"/>
                <w:color w:val="000000"/>
                <w:kern w:val="0"/>
                <w:sz w:val="24"/>
              </w:rPr>
            </w:pPr>
          </w:p>
        </w:tc>
        <w:tc>
          <w:tcPr>
            <w:tcW w:w="2160" w:type="dxa"/>
            <w:noWrap w:val="0"/>
            <w:vAlign w:val="center"/>
          </w:tcPr>
          <w:p w14:paraId="360BB2B5">
            <w:pPr>
              <w:tabs>
                <w:tab w:val="left" w:pos="210"/>
              </w:tabs>
              <w:spacing w:line="320" w:lineRule="exact"/>
              <w:jc w:val="center"/>
              <w:rPr>
                <w:rFonts w:hint="eastAsia" w:ascii="宋体" w:hAnsi="宋体" w:eastAsia="宋体" w:cs="宋体"/>
                <w:color w:val="000000"/>
                <w:kern w:val="0"/>
                <w:sz w:val="24"/>
              </w:rPr>
            </w:pPr>
            <w:r>
              <w:rPr>
                <w:rFonts w:hint="eastAsia" w:ascii="宋体" w:hAnsi="宋体" w:eastAsia="宋体" w:cs="宋体"/>
                <w:color w:val="000000"/>
                <w:kern w:val="0"/>
                <w:sz w:val="24"/>
              </w:rPr>
              <w:t>法定地址</w:t>
            </w:r>
          </w:p>
        </w:tc>
        <w:tc>
          <w:tcPr>
            <w:tcW w:w="6656" w:type="dxa"/>
            <w:gridSpan w:val="4"/>
            <w:noWrap w:val="0"/>
            <w:vAlign w:val="center"/>
          </w:tcPr>
          <w:p w14:paraId="603732D4">
            <w:pPr>
              <w:tabs>
                <w:tab w:val="left" w:pos="210"/>
              </w:tabs>
              <w:spacing w:line="320" w:lineRule="exact"/>
              <w:jc w:val="center"/>
              <w:rPr>
                <w:rFonts w:hint="eastAsia" w:ascii="宋体" w:hAnsi="宋体" w:eastAsia="宋体" w:cs="宋体"/>
                <w:color w:val="000000"/>
                <w:kern w:val="0"/>
                <w:sz w:val="24"/>
              </w:rPr>
            </w:pPr>
          </w:p>
        </w:tc>
      </w:tr>
      <w:tr w14:paraId="711CA9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continue"/>
            <w:noWrap w:val="0"/>
            <w:vAlign w:val="center"/>
          </w:tcPr>
          <w:p w14:paraId="774EEE65">
            <w:pPr>
              <w:tabs>
                <w:tab w:val="left" w:pos="210"/>
              </w:tabs>
              <w:spacing w:line="320" w:lineRule="exact"/>
              <w:jc w:val="center"/>
              <w:rPr>
                <w:rFonts w:hint="eastAsia" w:ascii="宋体" w:hAnsi="宋体" w:eastAsia="宋体" w:cs="宋体"/>
                <w:color w:val="000000"/>
                <w:kern w:val="0"/>
                <w:sz w:val="24"/>
              </w:rPr>
            </w:pPr>
          </w:p>
        </w:tc>
        <w:tc>
          <w:tcPr>
            <w:tcW w:w="2160" w:type="dxa"/>
            <w:noWrap w:val="0"/>
            <w:vAlign w:val="center"/>
          </w:tcPr>
          <w:p w14:paraId="72058ABE">
            <w:pPr>
              <w:tabs>
                <w:tab w:val="left" w:pos="210"/>
              </w:tabs>
              <w:spacing w:line="320" w:lineRule="exact"/>
              <w:jc w:val="center"/>
              <w:rPr>
                <w:rFonts w:hint="eastAsia" w:ascii="宋体" w:hAnsi="宋体" w:eastAsia="宋体" w:cs="宋体"/>
                <w:color w:val="000000"/>
                <w:kern w:val="0"/>
                <w:sz w:val="24"/>
              </w:rPr>
            </w:pPr>
            <w:r>
              <w:rPr>
                <w:rFonts w:hint="eastAsia" w:ascii="宋体" w:hAnsi="宋体" w:eastAsia="宋体" w:cs="宋体"/>
                <w:color w:val="000000"/>
                <w:kern w:val="0"/>
                <w:sz w:val="24"/>
              </w:rPr>
              <w:t>邮政编码</w:t>
            </w:r>
          </w:p>
        </w:tc>
        <w:tc>
          <w:tcPr>
            <w:tcW w:w="6656" w:type="dxa"/>
            <w:gridSpan w:val="4"/>
            <w:noWrap w:val="0"/>
            <w:vAlign w:val="center"/>
          </w:tcPr>
          <w:p w14:paraId="624F86A6">
            <w:pPr>
              <w:tabs>
                <w:tab w:val="left" w:pos="210"/>
              </w:tabs>
              <w:spacing w:line="320" w:lineRule="exact"/>
              <w:jc w:val="center"/>
              <w:rPr>
                <w:rFonts w:hint="eastAsia" w:ascii="宋体" w:hAnsi="宋体" w:eastAsia="宋体" w:cs="宋体"/>
                <w:color w:val="000000"/>
                <w:kern w:val="0"/>
                <w:sz w:val="24"/>
              </w:rPr>
            </w:pPr>
          </w:p>
        </w:tc>
      </w:tr>
      <w:tr w14:paraId="4762A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 w:type="dxa"/>
            <w:vMerge w:val="continue"/>
            <w:noWrap w:val="0"/>
            <w:vAlign w:val="center"/>
          </w:tcPr>
          <w:p w14:paraId="4915BB3D">
            <w:pPr>
              <w:tabs>
                <w:tab w:val="left" w:pos="210"/>
              </w:tabs>
              <w:spacing w:line="320" w:lineRule="exact"/>
              <w:jc w:val="center"/>
              <w:rPr>
                <w:rFonts w:hint="eastAsia" w:ascii="宋体" w:hAnsi="宋体" w:eastAsia="宋体" w:cs="宋体"/>
                <w:color w:val="000000"/>
                <w:kern w:val="0"/>
                <w:sz w:val="24"/>
              </w:rPr>
            </w:pPr>
          </w:p>
        </w:tc>
        <w:tc>
          <w:tcPr>
            <w:tcW w:w="2160" w:type="dxa"/>
            <w:noWrap w:val="0"/>
            <w:vAlign w:val="center"/>
          </w:tcPr>
          <w:p w14:paraId="6F7E0012">
            <w:pPr>
              <w:tabs>
                <w:tab w:val="left" w:pos="210"/>
              </w:tabs>
              <w:spacing w:line="320" w:lineRule="exact"/>
              <w:jc w:val="center"/>
              <w:rPr>
                <w:rFonts w:hint="eastAsia" w:ascii="宋体" w:hAnsi="宋体" w:eastAsia="宋体" w:cs="宋体"/>
                <w:color w:val="000000"/>
                <w:kern w:val="0"/>
                <w:sz w:val="24"/>
              </w:rPr>
            </w:pPr>
            <w:r>
              <w:rPr>
                <w:rFonts w:hint="eastAsia" w:ascii="宋体" w:hAnsi="宋体" w:eastAsia="宋体" w:cs="宋体"/>
                <w:color w:val="000000"/>
                <w:kern w:val="0"/>
                <w:sz w:val="24"/>
              </w:rPr>
              <w:t>工商登记机关</w:t>
            </w:r>
          </w:p>
        </w:tc>
        <w:tc>
          <w:tcPr>
            <w:tcW w:w="6656" w:type="dxa"/>
            <w:gridSpan w:val="4"/>
            <w:noWrap w:val="0"/>
            <w:vAlign w:val="center"/>
          </w:tcPr>
          <w:p w14:paraId="69C1E8CD">
            <w:pPr>
              <w:tabs>
                <w:tab w:val="left" w:pos="210"/>
              </w:tabs>
              <w:spacing w:line="320" w:lineRule="exact"/>
              <w:jc w:val="center"/>
              <w:rPr>
                <w:rFonts w:hint="eastAsia" w:ascii="宋体" w:hAnsi="宋体" w:eastAsia="宋体" w:cs="宋体"/>
                <w:color w:val="000000"/>
                <w:kern w:val="0"/>
                <w:sz w:val="24"/>
              </w:rPr>
            </w:pPr>
          </w:p>
        </w:tc>
      </w:tr>
      <w:tr w14:paraId="5E048A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jc w:val="center"/>
        </w:trPr>
        <w:tc>
          <w:tcPr>
            <w:tcW w:w="900" w:type="dxa"/>
            <w:vMerge w:val="continue"/>
            <w:noWrap w:val="0"/>
            <w:vAlign w:val="center"/>
          </w:tcPr>
          <w:p w14:paraId="0E8AFC7F">
            <w:pPr>
              <w:tabs>
                <w:tab w:val="left" w:pos="210"/>
              </w:tabs>
              <w:spacing w:line="320" w:lineRule="exact"/>
              <w:jc w:val="center"/>
              <w:rPr>
                <w:rFonts w:hint="eastAsia" w:ascii="宋体" w:hAnsi="宋体" w:eastAsia="宋体" w:cs="宋体"/>
                <w:color w:val="000000"/>
                <w:kern w:val="0"/>
                <w:sz w:val="24"/>
              </w:rPr>
            </w:pPr>
          </w:p>
        </w:tc>
        <w:tc>
          <w:tcPr>
            <w:tcW w:w="2160" w:type="dxa"/>
            <w:noWrap w:val="0"/>
            <w:vAlign w:val="center"/>
          </w:tcPr>
          <w:p w14:paraId="37577ABE">
            <w:pPr>
              <w:tabs>
                <w:tab w:val="left" w:pos="210"/>
              </w:tabs>
              <w:spacing w:line="320" w:lineRule="exact"/>
              <w:jc w:val="center"/>
              <w:rPr>
                <w:rFonts w:hint="eastAsia" w:ascii="宋体" w:hAnsi="宋体" w:eastAsia="宋体" w:cs="宋体"/>
                <w:color w:val="000000"/>
                <w:kern w:val="0"/>
                <w:sz w:val="24"/>
              </w:rPr>
            </w:pPr>
            <w:r>
              <w:rPr>
                <w:rFonts w:hint="eastAsia" w:ascii="宋体" w:hAnsi="宋体" w:eastAsia="宋体" w:cs="宋体"/>
                <w:color w:val="000000"/>
                <w:kern w:val="0"/>
                <w:sz w:val="24"/>
              </w:rPr>
              <w:t>税务登记机关</w:t>
            </w:r>
          </w:p>
        </w:tc>
        <w:tc>
          <w:tcPr>
            <w:tcW w:w="6656" w:type="dxa"/>
            <w:gridSpan w:val="4"/>
            <w:noWrap w:val="0"/>
            <w:vAlign w:val="center"/>
          </w:tcPr>
          <w:p w14:paraId="5E07CAEE">
            <w:pPr>
              <w:tabs>
                <w:tab w:val="left" w:pos="210"/>
              </w:tabs>
              <w:spacing w:line="320" w:lineRule="exact"/>
              <w:rPr>
                <w:rFonts w:hint="eastAsia" w:ascii="宋体" w:hAnsi="宋体" w:eastAsia="宋体" w:cs="宋体"/>
                <w:color w:val="000000"/>
                <w:kern w:val="0"/>
                <w:sz w:val="24"/>
              </w:rPr>
            </w:pPr>
          </w:p>
        </w:tc>
      </w:tr>
      <w:tr w14:paraId="64520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 w:type="dxa"/>
            <w:vMerge w:val="continue"/>
            <w:noWrap w:val="0"/>
            <w:vAlign w:val="center"/>
          </w:tcPr>
          <w:p w14:paraId="21C9A8FB">
            <w:pPr>
              <w:tabs>
                <w:tab w:val="left" w:pos="210"/>
              </w:tabs>
              <w:spacing w:line="320" w:lineRule="exact"/>
              <w:jc w:val="center"/>
              <w:rPr>
                <w:rFonts w:hint="eastAsia" w:ascii="宋体" w:hAnsi="宋体" w:eastAsia="宋体" w:cs="宋体"/>
                <w:color w:val="000000"/>
                <w:kern w:val="0"/>
                <w:sz w:val="24"/>
              </w:rPr>
            </w:pPr>
          </w:p>
        </w:tc>
        <w:tc>
          <w:tcPr>
            <w:tcW w:w="2160" w:type="dxa"/>
            <w:noWrap w:val="0"/>
            <w:vAlign w:val="center"/>
          </w:tcPr>
          <w:p w14:paraId="30B8F5C3">
            <w:pPr>
              <w:tabs>
                <w:tab w:val="left" w:pos="210"/>
              </w:tabs>
              <w:spacing w:line="320" w:lineRule="exact"/>
              <w:jc w:val="center"/>
              <w:rPr>
                <w:rFonts w:hint="eastAsia" w:ascii="宋体" w:hAnsi="宋体" w:eastAsia="宋体" w:cs="宋体"/>
                <w:color w:val="000000"/>
                <w:kern w:val="0"/>
                <w:sz w:val="24"/>
              </w:rPr>
            </w:pPr>
            <w:r>
              <w:rPr>
                <w:rFonts w:hint="eastAsia" w:ascii="宋体" w:hAnsi="宋体" w:eastAsia="宋体" w:cs="宋体"/>
                <w:color w:val="000000"/>
                <w:kern w:val="0"/>
                <w:sz w:val="24"/>
              </w:rPr>
              <w:t>机构代码证号</w:t>
            </w:r>
          </w:p>
        </w:tc>
        <w:tc>
          <w:tcPr>
            <w:tcW w:w="6656" w:type="dxa"/>
            <w:gridSpan w:val="4"/>
            <w:noWrap w:val="0"/>
            <w:vAlign w:val="center"/>
          </w:tcPr>
          <w:p w14:paraId="26363A9A">
            <w:pPr>
              <w:tabs>
                <w:tab w:val="left" w:pos="210"/>
              </w:tabs>
              <w:spacing w:line="320" w:lineRule="exact"/>
              <w:jc w:val="center"/>
              <w:rPr>
                <w:rFonts w:hint="eastAsia" w:ascii="宋体" w:hAnsi="宋体" w:eastAsia="宋体" w:cs="宋体"/>
                <w:color w:val="000000"/>
                <w:kern w:val="0"/>
                <w:sz w:val="24"/>
              </w:rPr>
            </w:pPr>
          </w:p>
        </w:tc>
      </w:tr>
      <w:tr w14:paraId="7D55E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restart"/>
            <w:noWrap w:val="0"/>
            <w:vAlign w:val="center"/>
          </w:tcPr>
          <w:p w14:paraId="29DE5D9C">
            <w:pPr>
              <w:tabs>
                <w:tab w:val="left" w:pos="210"/>
              </w:tabs>
              <w:spacing w:line="320" w:lineRule="exact"/>
              <w:jc w:val="center"/>
              <w:rPr>
                <w:rFonts w:hint="eastAsia" w:ascii="宋体" w:hAnsi="宋体" w:eastAsia="宋体" w:cs="宋体"/>
                <w:color w:val="000000"/>
                <w:kern w:val="0"/>
                <w:sz w:val="24"/>
              </w:rPr>
            </w:pPr>
            <w:r>
              <w:rPr>
                <w:rFonts w:hint="eastAsia" w:ascii="宋体" w:hAnsi="宋体" w:eastAsia="宋体" w:cs="宋体"/>
                <w:color w:val="000000"/>
                <w:kern w:val="0"/>
                <w:sz w:val="24"/>
              </w:rPr>
              <w:t>法定代表人</w:t>
            </w:r>
          </w:p>
        </w:tc>
        <w:tc>
          <w:tcPr>
            <w:tcW w:w="2160" w:type="dxa"/>
            <w:noWrap w:val="0"/>
            <w:vAlign w:val="center"/>
          </w:tcPr>
          <w:p w14:paraId="1186A95A">
            <w:pPr>
              <w:tabs>
                <w:tab w:val="left" w:pos="210"/>
              </w:tabs>
              <w:spacing w:line="320" w:lineRule="exact"/>
              <w:jc w:val="center"/>
              <w:rPr>
                <w:rFonts w:hint="eastAsia" w:ascii="宋体" w:hAnsi="宋体" w:eastAsia="宋体" w:cs="宋体"/>
                <w:color w:val="000000"/>
                <w:kern w:val="0"/>
                <w:sz w:val="24"/>
              </w:rPr>
            </w:pPr>
            <w:r>
              <w:rPr>
                <w:rFonts w:hint="eastAsia" w:ascii="宋体" w:hAnsi="宋体" w:eastAsia="宋体" w:cs="宋体"/>
                <w:color w:val="000000"/>
                <w:kern w:val="0"/>
                <w:sz w:val="24"/>
              </w:rPr>
              <w:t>姓名</w:t>
            </w:r>
          </w:p>
        </w:tc>
        <w:tc>
          <w:tcPr>
            <w:tcW w:w="2340" w:type="dxa"/>
            <w:gridSpan w:val="2"/>
            <w:noWrap w:val="0"/>
            <w:vAlign w:val="center"/>
          </w:tcPr>
          <w:p w14:paraId="7CF0639D">
            <w:pPr>
              <w:tabs>
                <w:tab w:val="left" w:pos="210"/>
              </w:tabs>
              <w:spacing w:line="320" w:lineRule="exact"/>
              <w:jc w:val="center"/>
              <w:rPr>
                <w:rFonts w:hint="eastAsia" w:ascii="宋体" w:hAnsi="宋体" w:eastAsia="宋体" w:cs="宋体"/>
                <w:color w:val="000000"/>
                <w:kern w:val="0"/>
                <w:sz w:val="24"/>
              </w:rPr>
            </w:pPr>
          </w:p>
        </w:tc>
        <w:tc>
          <w:tcPr>
            <w:tcW w:w="2156" w:type="dxa"/>
            <w:noWrap w:val="0"/>
            <w:vAlign w:val="center"/>
          </w:tcPr>
          <w:p w14:paraId="1603E787">
            <w:pPr>
              <w:tabs>
                <w:tab w:val="left" w:pos="210"/>
              </w:tabs>
              <w:spacing w:line="320" w:lineRule="exact"/>
              <w:jc w:val="center"/>
              <w:rPr>
                <w:rFonts w:hint="eastAsia" w:ascii="宋体" w:hAnsi="宋体" w:eastAsia="宋体" w:cs="宋体"/>
                <w:color w:val="000000"/>
                <w:kern w:val="0"/>
                <w:sz w:val="24"/>
              </w:rPr>
            </w:pPr>
            <w:r>
              <w:rPr>
                <w:rFonts w:hint="eastAsia" w:ascii="宋体" w:hAnsi="宋体" w:eastAsia="宋体" w:cs="宋体"/>
                <w:color w:val="000000"/>
                <w:kern w:val="0"/>
                <w:sz w:val="24"/>
              </w:rPr>
              <w:t>性别</w:t>
            </w:r>
          </w:p>
        </w:tc>
        <w:tc>
          <w:tcPr>
            <w:tcW w:w="2160" w:type="dxa"/>
            <w:noWrap w:val="0"/>
            <w:vAlign w:val="center"/>
          </w:tcPr>
          <w:p w14:paraId="6D443111">
            <w:pPr>
              <w:tabs>
                <w:tab w:val="left" w:pos="210"/>
              </w:tabs>
              <w:spacing w:line="320" w:lineRule="exact"/>
              <w:jc w:val="center"/>
              <w:rPr>
                <w:rFonts w:hint="eastAsia" w:ascii="宋体" w:hAnsi="宋体" w:eastAsia="宋体" w:cs="宋体"/>
                <w:color w:val="000000"/>
                <w:kern w:val="0"/>
                <w:sz w:val="24"/>
              </w:rPr>
            </w:pPr>
          </w:p>
        </w:tc>
      </w:tr>
      <w:tr w14:paraId="2B99C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continue"/>
            <w:noWrap w:val="0"/>
            <w:vAlign w:val="center"/>
          </w:tcPr>
          <w:p w14:paraId="4482378D">
            <w:pPr>
              <w:tabs>
                <w:tab w:val="left" w:pos="210"/>
              </w:tabs>
              <w:spacing w:line="320" w:lineRule="exact"/>
              <w:jc w:val="center"/>
              <w:rPr>
                <w:rFonts w:hint="eastAsia" w:ascii="宋体" w:hAnsi="宋体" w:eastAsia="宋体" w:cs="宋体"/>
                <w:color w:val="000000"/>
                <w:kern w:val="0"/>
                <w:sz w:val="24"/>
              </w:rPr>
            </w:pPr>
          </w:p>
        </w:tc>
        <w:tc>
          <w:tcPr>
            <w:tcW w:w="2160" w:type="dxa"/>
            <w:noWrap w:val="0"/>
            <w:vAlign w:val="center"/>
          </w:tcPr>
          <w:p w14:paraId="34AD8841">
            <w:pPr>
              <w:tabs>
                <w:tab w:val="left" w:pos="210"/>
              </w:tabs>
              <w:spacing w:line="320" w:lineRule="exact"/>
              <w:jc w:val="center"/>
              <w:rPr>
                <w:rFonts w:hint="eastAsia" w:ascii="宋体" w:hAnsi="宋体" w:eastAsia="宋体" w:cs="宋体"/>
                <w:color w:val="000000"/>
                <w:kern w:val="0"/>
                <w:sz w:val="24"/>
              </w:rPr>
            </w:pPr>
            <w:r>
              <w:rPr>
                <w:rFonts w:hint="eastAsia" w:ascii="宋体" w:hAnsi="宋体" w:eastAsia="宋体" w:cs="宋体"/>
                <w:color w:val="000000"/>
                <w:kern w:val="0"/>
                <w:sz w:val="24"/>
              </w:rPr>
              <w:t>职务</w:t>
            </w:r>
          </w:p>
        </w:tc>
        <w:tc>
          <w:tcPr>
            <w:tcW w:w="2340" w:type="dxa"/>
            <w:gridSpan w:val="2"/>
            <w:noWrap w:val="0"/>
            <w:vAlign w:val="center"/>
          </w:tcPr>
          <w:p w14:paraId="25972B80">
            <w:pPr>
              <w:tabs>
                <w:tab w:val="left" w:pos="210"/>
              </w:tabs>
              <w:spacing w:line="320" w:lineRule="exact"/>
              <w:jc w:val="center"/>
              <w:rPr>
                <w:rFonts w:hint="eastAsia" w:ascii="宋体" w:hAnsi="宋体" w:eastAsia="宋体" w:cs="宋体"/>
                <w:color w:val="000000"/>
                <w:kern w:val="0"/>
                <w:sz w:val="24"/>
              </w:rPr>
            </w:pPr>
          </w:p>
        </w:tc>
        <w:tc>
          <w:tcPr>
            <w:tcW w:w="2156" w:type="dxa"/>
            <w:noWrap w:val="0"/>
            <w:vAlign w:val="center"/>
          </w:tcPr>
          <w:p w14:paraId="19DA495B">
            <w:pPr>
              <w:tabs>
                <w:tab w:val="left" w:pos="210"/>
              </w:tabs>
              <w:spacing w:line="320" w:lineRule="exact"/>
              <w:jc w:val="center"/>
              <w:rPr>
                <w:rFonts w:hint="eastAsia" w:ascii="宋体" w:hAnsi="宋体" w:eastAsia="宋体" w:cs="宋体"/>
                <w:color w:val="000000"/>
                <w:kern w:val="0"/>
                <w:sz w:val="24"/>
              </w:rPr>
            </w:pPr>
            <w:r>
              <w:rPr>
                <w:rFonts w:hint="eastAsia" w:ascii="宋体" w:hAnsi="宋体" w:eastAsia="宋体" w:cs="宋体"/>
                <w:color w:val="000000"/>
                <w:kern w:val="0"/>
                <w:sz w:val="24"/>
              </w:rPr>
              <w:t>联系电话</w:t>
            </w:r>
          </w:p>
        </w:tc>
        <w:tc>
          <w:tcPr>
            <w:tcW w:w="2160" w:type="dxa"/>
            <w:noWrap w:val="0"/>
            <w:vAlign w:val="center"/>
          </w:tcPr>
          <w:p w14:paraId="7AF0DB69">
            <w:pPr>
              <w:tabs>
                <w:tab w:val="left" w:pos="210"/>
              </w:tabs>
              <w:spacing w:line="320" w:lineRule="exact"/>
              <w:jc w:val="center"/>
              <w:rPr>
                <w:rFonts w:hint="eastAsia" w:ascii="宋体" w:hAnsi="宋体" w:eastAsia="宋体" w:cs="宋体"/>
                <w:color w:val="000000"/>
                <w:kern w:val="0"/>
                <w:sz w:val="24"/>
              </w:rPr>
            </w:pPr>
          </w:p>
        </w:tc>
      </w:tr>
      <w:tr w14:paraId="6596B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 w:type="dxa"/>
            <w:vMerge w:val="continue"/>
            <w:noWrap w:val="0"/>
            <w:vAlign w:val="center"/>
          </w:tcPr>
          <w:p w14:paraId="0AB61E84">
            <w:pPr>
              <w:tabs>
                <w:tab w:val="left" w:pos="210"/>
              </w:tabs>
              <w:spacing w:line="320" w:lineRule="exact"/>
              <w:jc w:val="center"/>
              <w:rPr>
                <w:rFonts w:hint="eastAsia" w:ascii="宋体" w:hAnsi="宋体" w:eastAsia="宋体" w:cs="宋体"/>
                <w:color w:val="000000"/>
                <w:kern w:val="0"/>
                <w:sz w:val="24"/>
              </w:rPr>
            </w:pPr>
          </w:p>
        </w:tc>
        <w:tc>
          <w:tcPr>
            <w:tcW w:w="2160" w:type="dxa"/>
            <w:noWrap w:val="0"/>
            <w:vAlign w:val="center"/>
          </w:tcPr>
          <w:p w14:paraId="44C9CA14">
            <w:pPr>
              <w:tabs>
                <w:tab w:val="left" w:pos="210"/>
              </w:tabs>
              <w:spacing w:line="320" w:lineRule="exact"/>
              <w:jc w:val="center"/>
              <w:rPr>
                <w:rFonts w:hint="eastAsia" w:ascii="宋体" w:hAnsi="宋体" w:eastAsia="宋体" w:cs="宋体"/>
                <w:color w:val="000000"/>
                <w:kern w:val="0"/>
                <w:sz w:val="24"/>
              </w:rPr>
            </w:pPr>
            <w:r>
              <w:rPr>
                <w:rFonts w:hint="eastAsia" w:ascii="宋体" w:hAnsi="宋体" w:eastAsia="宋体" w:cs="宋体"/>
                <w:color w:val="000000"/>
                <w:kern w:val="0"/>
                <w:sz w:val="24"/>
              </w:rPr>
              <w:t>传真</w:t>
            </w:r>
          </w:p>
        </w:tc>
        <w:tc>
          <w:tcPr>
            <w:tcW w:w="6656" w:type="dxa"/>
            <w:gridSpan w:val="4"/>
            <w:noWrap w:val="0"/>
            <w:vAlign w:val="center"/>
          </w:tcPr>
          <w:p w14:paraId="5494A633">
            <w:pPr>
              <w:tabs>
                <w:tab w:val="left" w:pos="210"/>
              </w:tabs>
              <w:spacing w:line="320" w:lineRule="exact"/>
              <w:jc w:val="center"/>
              <w:rPr>
                <w:rFonts w:hint="eastAsia" w:ascii="宋体" w:hAnsi="宋体" w:eastAsia="宋体" w:cs="宋体"/>
                <w:color w:val="000000"/>
                <w:kern w:val="0"/>
                <w:sz w:val="24"/>
              </w:rPr>
            </w:pPr>
          </w:p>
        </w:tc>
      </w:tr>
      <w:tr w14:paraId="6B137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2" w:hRule="atLeast"/>
          <w:jc w:val="center"/>
        </w:trPr>
        <w:tc>
          <w:tcPr>
            <w:tcW w:w="900" w:type="dxa"/>
            <w:vMerge w:val="restart"/>
            <w:noWrap w:val="0"/>
            <w:vAlign w:val="center"/>
          </w:tcPr>
          <w:p w14:paraId="108B93CA">
            <w:pPr>
              <w:tabs>
                <w:tab w:val="left" w:pos="210"/>
              </w:tabs>
              <w:spacing w:line="320" w:lineRule="exact"/>
              <w:jc w:val="center"/>
              <w:rPr>
                <w:rFonts w:hint="eastAsia" w:ascii="宋体" w:hAnsi="宋体" w:eastAsia="宋体" w:cs="宋体"/>
                <w:color w:val="000000"/>
                <w:kern w:val="0"/>
                <w:sz w:val="24"/>
              </w:rPr>
            </w:pPr>
            <w:r>
              <w:rPr>
                <w:rFonts w:hint="eastAsia" w:ascii="宋体" w:hAnsi="宋体" w:eastAsia="宋体" w:cs="宋体"/>
                <w:color w:val="000000"/>
                <w:kern w:val="0"/>
                <w:sz w:val="24"/>
              </w:rPr>
              <w:t>法定代表人身份证扫描件</w:t>
            </w:r>
          </w:p>
        </w:tc>
        <w:tc>
          <w:tcPr>
            <w:tcW w:w="4316" w:type="dxa"/>
            <w:gridSpan w:val="2"/>
            <w:vMerge w:val="restart"/>
            <w:noWrap w:val="0"/>
            <w:vAlign w:val="center"/>
          </w:tcPr>
          <w:p w14:paraId="01A9F2D3">
            <w:pPr>
              <w:tabs>
                <w:tab w:val="left" w:pos="210"/>
              </w:tabs>
              <w:spacing w:line="320" w:lineRule="exact"/>
              <w:jc w:val="center"/>
              <w:rPr>
                <w:rFonts w:hint="eastAsia" w:ascii="宋体" w:hAnsi="宋体" w:eastAsia="宋体" w:cs="宋体"/>
                <w:color w:val="000000"/>
                <w:kern w:val="0"/>
                <w:sz w:val="24"/>
              </w:rPr>
            </w:pPr>
            <w:r>
              <w:rPr>
                <w:rFonts w:hint="eastAsia" w:ascii="宋体" w:hAnsi="宋体" w:eastAsia="宋体" w:cs="宋体"/>
                <w:color w:val="000000"/>
                <w:kern w:val="0"/>
                <w:sz w:val="24"/>
              </w:rPr>
              <w:t>（粘贴处）</w:t>
            </w:r>
          </w:p>
        </w:tc>
        <w:tc>
          <w:tcPr>
            <w:tcW w:w="4500" w:type="dxa"/>
            <w:gridSpan w:val="3"/>
            <w:noWrap w:val="0"/>
            <w:vAlign w:val="center"/>
          </w:tcPr>
          <w:p w14:paraId="4EA77CFE">
            <w:pPr>
              <w:tabs>
                <w:tab w:val="left" w:pos="210"/>
              </w:tabs>
              <w:spacing w:line="320" w:lineRule="exact"/>
              <w:jc w:val="center"/>
              <w:rPr>
                <w:rFonts w:hint="eastAsia" w:ascii="宋体" w:hAnsi="宋体" w:eastAsia="宋体" w:cs="宋体"/>
                <w:color w:val="000000"/>
                <w:kern w:val="0"/>
                <w:sz w:val="24"/>
              </w:rPr>
            </w:pPr>
            <w:r>
              <w:rPr>
                <w:rFonts w:hint="eastAsia" w:ascii="宋体" w:hAnsi="宋体" w:eastAsia="宋体" w:cs="宋体"/>
                <w:color w:val="000000"/>
                <w:kern w:val="0"/>
                <w:sz w:val="24"/>
              </w:rPr>
              <w:t>法定代表人签字</w:t>
            </w:r>
          </w:p>
        </w:tc>
      </w:tr>
      <w:tr w14:paraId="336E0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2" w:hRule="atLeast"/>
          <w:jc w:val="center"/>
        </w:trPr>
        <w:tc>
          <w:tcPr>
            <w:tcW w:w="900" w:type="dxa"/>
            <w:vMerge w:val="continue"/>
            <w:noWrap w:val="0"/>
            <w:vAlign w:val="center"/>
          </w:tcPr>
          <w:p w14:paraId="6593EC89">
            <w:pPr>
              <w:tabs>
                <w:tab w:val="left" w:pos="210"/>
              </w:tabs>
              <w:spacing w:line="320" w:lineRule="exact"/>
              <w:jc w:val="center"/>
              <w:rPr>
                <w:rFonts w:hint="eastAsia" w:ascii="宋体" w:hAnsi="宋体" w:eastAsia="宋体" w:cs="宋体"/>
                <w:color w:val="000000"/>
                <w:kern w:val="0"/>
                <w:sz w:val="24"/>
              </w:rPr>
            </w:pPr>
          </w:p>
        </w:tc>
        <w:tc>
          <w:tcPr>
            <w:tcW w:w="4316" w:type="dxa"/>
            <w:gridSpan w:val="2"/>
            <w:vMerge w:val="continue"/>
            <w:noWrap w:val="0"/>
            <w:vAlign w:val="center"/>
          </w:tcPr>
          <w:p w14:paraId="3F6D150D">
            <w:pPr>
              <w:tabs>
                <w:tab w:val="left" w:pos="210"/>
              </w:tabs>
              <w:spacing w:line="320" w:lineRule="exact"/>
              <w:jc w:val="center"/>
              <w:rPr>
                <w:rFonts w:hint="eastAsia" w:ascii="宋体" w:hAnsi="宋体" w:eastAsia="宋体" w:cs="宋体"/>
                <w:color w:val="000000"/>
                <w:kern w:val="0"/>
                <w:sz w:val="24"/>
              </w:rPr>
            </w:pPr>
          </w:p>
        </w:tc>
        <w:tc>
          <w:tcPr>
            <w:tcW w:w="4500" w:type="dxa"/>
            <w:gridSpan w:val="3"/>
            <w:noWrap w:val="0"/>
            <w:vAlign w:val="bottom"/>
          </w:tcPr>
          <w:p w14:paraId="60198EC0">
            <w:pPr>
              <w:tabs>
                <w:tab w:val="left" w:pos="210"/>
              </w:tabs>
              <w:spacing w:line="320" w:lineRule="exact"/>
              <w:jc w:val="center"/>
              <w:rPr>
                <w:rFonts w:hint="eastAsia" w:ascii="宋体" w:hAnsi="宋体" w:eastAsia="宋体" w:cs="宋体"/>
                <w:color w:val="000000"/>
                <w:kern w:val="0"/>
                <w:sz w:val="24"/>
              </w:rPr>
            </w:pPr>
            <w:r>
              <w:rPr>
                <w:rFonts w:hint="eastAsia" w:ascii="宋体" w:hAnsi="宋体" w:eastAsia="宋体" w:cs="宋体"/>
                <w:color w:val="000000"/>
                <w:kern w:val="0"/>
                <w:sz w:val="24"/>
              </w:rPr>
              <w:t>（公章）</w:t>
            </w:r>
          </w:p>
          <w:p w14:paraId="6D2C4C7D">
            <w:pPr>
              <w:tabs>
                <w:tab w:val="left" w:pos="210"/>
              </w:tabs>
              <w:spacing w:line="320" w:lineRule="exact"/>
              <w:jc w:val="center"/>
              <w:rPr>
                <w:rFonts w:hint="eastAsia" w:ascii="宋体" w:hAnsi="宋体" w:eastAsia="宋体" w:cs="宋体"/>
                <w:color w:val="000000"/>
                <w:kern w:val="0"/>
                <w:sz w:val="24"/>
              </w:rPr>
            </w:pPr>
          </w:p>
          <w:p w14:paraId="39C37790">
            <w:pPr>
              <w:tabs>
                <w:tab w:val="left" w:pos="210"/>
              </w:tabs>
              <w:spacing w:line="320" w:lineRule="exact"/>
              <w:jc w:val="center"/>
              <w:rPr>
                <w:rFonts w:hint="eastAsia" w:ascii="宋体" w:hAnsi="宋体" w:eastAsia="宋体" w:cs="宋体"/>
                <w:color w:val="000000"/>
                <w:kern w:val="0"/>
                <w:sz w:val="24"/>
              </w:rPr>
            </w:pPr>
          </w:p>
          <w:p w14:paraId="5A991A43">
            <w:pPr>
              <w:tabs>
                <w:tab w:val="left" w:pos="210"/>
              </w:tabs>
              <w:spacing w:line="320" w:lineRule="exact"/>
              <w:jc w:val="center"/>
              <w:rPr>
                <w:rFonts w:hint="eastAsia" w:ascii="宋体" w:hAnsi="宋体" w:eastAsia="宋体" w:cs="宋体"/>
                <w:color w:val="000000"/>
                <w:kern w:val="0"/>
                <w:sz w:val="24"/>
              </w:rPr>
            </w:pPr>
          </w:p>
          <w:p w14:paraId="0D13F701">
            <w:pPr>
              <w:tabs>
                <w:tab w:val="left" w:pos="210"/>
              </w:tabs>
              <w:wordWrap w:val="0"/>
              <w:spacing w:line="320" w:lineRule="exact"/>
              <w:jc w:val="right"/>
              <w:rPr>
                <w:rFonts w:hint="eastAsia" w:ascii="宋体" w:hAnsi="宋体" w:eastAsia="宋体" w:cs="宋体"/>
                <w:color w:val="000000"/>
                <w:kern w:val="0"/>
                <w:sz w:val="24"/>
              </w:rPr>
            </w:pPr>
            <w:r>
              <w:rPr>
                <w:rFonts w:hint="eastAsia" w:ascii="宋体" w:hAnsi="宋体" w:eastAsia="宋体" w:cs="宋体"/>
                <w:color w:val="000000"/>
                <w:kern w:val="0"/>
                <w:sz w:val="24"/>
              </w:rPr>
              <w:t xml:space="preserve">年  月  日 </w:t>
            </w:r>
          </w:p>
        </w:tc>
      </w:tr>
    </w:tbl>
    <w:p w14:paraId="45041EE0">
      <w:pPr>
        <w:tabs>
          <w:tab w:val="left" w:pos="210"/>
        </w:tabs>
        <w:spacing w:line="320" w:lineRule="exact"/>
        <w:ind w:firstLine="751" w:firstLineChars="248"/>
        <w:rPr>
          <w:rFonts w:hint="eastAsia" w:ascii="宋体" w:hAnsi="宋体" w:cs="Arial"/>
          <w:b/>
          <w:color w:val="000000"/>
          <w:kern w:val="0"/>
          <w:sz w:val="30"/>
          <w:szCs w:val="30"/>
        </w:rPr>
      </w:pPr>
      <w:r>
        <w:rPr>
          <w:rFonts w:hint="eastAsia" w:ascii="宋体" w:hAnsi="宋体" w:cs="Arial"/>
          <w:b/>
          <w:color w:val="000000"/>
          <w:kern w:val="0"/>
          <w:sz w:val="30"/>
          <w:szCs w:val="30"/>
        </w:rPr>
        <w:t>注：供应商持三证合一营业执照时，本表不填写“税务登记机关”和“机构代码证号”栏目。</w:t>
      </w:r>
    </w:p>
    <w:p w14:paraId="0B57F663">
      <w:pPr>
        <w:numPr>
          <w:ilvl w:val="0"/>
          <w:numId w:val="0"/>
        </w:numPr>
        <w:spacing w:line="500" w:lineRule="exact"/>
        <w:ind w:firstLine="646" w:firstLineChars="200"/>
        <w:rPr>
          <w:rFonts w:hint="eastAsia" w:ascii="宋体" w:hAnsi="宋体" w:cs="Arial"/>
          <w:b/>
          <w:color w:val="000000"/>
          <w:kern w:val="0"/>
          <w:sz w:val="30"/>
          <w:szCs w:val="30"/>
          <w:lang w:val="en-US" w:eastAsia="zh-CN"/>
        </w:rPr>
      </w:pPr>
      <w:r>
        <w:rPr>
          <w:rFonts w:ascii="宋体" w:hAnsi="宋体" w:cs="Arial"/>
          <w:b/>
          <w:color w:val="000000"/>
          <w:kern w:val="0"/>
          <w:sz w:val="32"/>
          <w:szCs w:val="32"/>
        </w:rPr>
        <w:br w:type="page"/>
      </w:r>
    </w:p>
    <w:bookmarkEnd w:id="656"/>
    <w:bookmarkEnd w:id="657"/>
    <w:bookmarkEnd w:id="658"/>
    <w:bookmarkEnd w:id="659"/>
    <w:p w14:paraId="6B5FDA10">
      <w:pPr>
        <w:rPr>
          <w:rFonts w:cs="Times New Roman"/>
          <w:color w:val="auto"/>
        </w:rPr>
      </w:pPr>
      <w:r>
        <w:rPr>
          <w:rFonts w:hint="eastAsia" w:ascii="宋体" w:hAnsi="宋体" w:cs="Arial"/>
          <w:b/>
          <w:color w:val="000000"/>
          <w:kern w:val="0"/>
          <w:sz w:val="32"/>
          <w:szCs w:val="32"/>
          <w:lang w:val="en-US" w:eastAsia="zh-CN"/>
        </w:rPr>
        <w:t>七</w:t>
      </w:r>
      <w:r>
        <w:rPr>
          <w:rFonts w:hint="eastAsia" w:cs="华文仿宋"/>
          <w:b/>
          <w:bCs/>
          <w:color w:val="auto"/>
          <w:sz w:val="30"/>
          <w:szCs w:val="30"/>
          <w:lang w:val="en-US" w:eastAsia="zh-CN"/>
        </w:rPr>
        <w:t>、</w:t>
      </w:r>
      <w:r>
        <w:rPr>
          <w:rFonts w:hint="eastAsia" w:cs="华文仿宋"/>
          <w:b/>
          <w:bCs/>
          <w:color w:val="auto"/>
          <w:sz w:val="30"/>
          <w:szCs w:val="30"/>
        </w:rPr>
        <w:t>本项目不接受联合体投标，不允许分包</w:t>
      </w:r>
    </w:p>
    <w:p w14:paraId="5EE1D982">
      <w:pPr>
        <w:pStyle w:val="7"/>
        <w:jc w:val="center"/>
        <w:rPr>
          <w:rFonts w:hint="eastAsia" w:ascii="华文仿宋" w:hAnsi="华文仿宋" w:cs="华文仿宋"/>
          <w:b/>
          <w:bCs/>
          <w:color w:val="auto"/>
        </w:rPr>
      </w:pPr>
    </w:p>
    <w:p w14:paraId="069C3D93">
      <w:pPr>
        <w:pStyle w:val="7"/>
        <w:jc w:val="center"/>
        <w:rPr>
          <w:rFonts w:ascii="华文仿宋" w:hAnsi="华文仿宋" w:cs="华文仿宋"/>
          <w:b/>
          <w:bCs/>
          <w:color w:val="auto"/>
        </w:rPr>
      </w:pPr>
      <w:r>
        <w:rPr>
          <w:rFonts w:hint="eastAsia" w:ascii="华文仿宋" w:hAnsi="华文仿宋" w:cs="华文仿宋"/>
          <w:b/>
          <w:bCs/>
          <w:color w:val="auto"/>
        </w:rPr>
        <w:t>非联合体不分包投标声明（格式）</w:t>
      </w:r>
    </w:p>
    <w:p w14:paraId="75B50188">
      <w:pPr>
        <w:spacing w:line="500" w:lineRule="exact"/>
        <w:ind w:firstLine="566" w:firstLineChars="200"/>
        <w:rPr>
          <w:rFonts w:ascii="华文仿宋" w:hAnsi="华文仿宋" w:cs="华文仿宋"/>
          <w:color w:val="auto"/>
        </w:rPr>
      </w:pPr>
    </w:p>
    <w:p w14:paraId="4B5AB3E3">
      <w:pPr>
        <w:spacing w:line="500" w:lineRule="exact"/>
        <w:ind w:firstLine="566" w:firstLineChars="200"/>
        <w:rPr>
          <w:rFonts w:ascii="华文仿宋" w:hAnsi="华文仿宋" w:cs="华文仿宋"/>
          <w:color w:val="auto"/>
        </w:rPr>
      </w:pPr>
      <w:r>
        <w:rPr>
          <w:rFonts w:hint="eastAsia" w:ascii="华文仿宋" w:hAnsi="华文仿宋" w:cs="华文仿宋"/>
          <w:color w:val="auto"/>
        </w:rPr>
        <w:t>本单位郑重声明，参加</w:t>
      </w:r>
      <w:r>
        <w:rPr>
          <w:rFonts w:hint="eastAsia" w:ascii="华文仿宋" w:hAnsi="华文仿宋" w:cs="华文仿宋"/>
          <w:color w:val="auto"/>
          <w:lang w:eastAsia="zh-CN"/>
        </w:rPr>
        <w:t>延安市公共资源交易中心（延安市市直单位政府采购中心）</w:t>
      </w:r>
      <w:r>
        <w:rPr>
          <w:rFonts w:hint="eastAsia" w:ascii="华文仿宋" w:hAnsi="华文仿宋" w:cs="华文仿宋"/>
          <w:color w:val="auto"/>
        </w:rPr>
        <w:t>的</w:t>
      </w:r>
      <w:r>
        <w:rPr>
          <w:rFonts w:hint="eastAsia" w:ascii="华文仿宋" w:hAnsi="华文仿宋" w:cs="华文仿宋"/>
          <w:color w:val="auto"/>
          <w:u w:val="single"/>
        </w:rPr>
        <w:t>项目名称</w:t>
      </w:r>
      <w:r>
        <w:rPr>
          <w:rFonts w:hint="eastAsia" w:ascii="华文仿宋" w:hAnsi="华文仿宋" w:cs="华文仿宋"/>
          <w:color w:val="auto"/>
        </w:rPr>
        <w:t>（项目编号：</w:t>
      </w:r>
      <w:r>
        <w:rPr>
          <w:rFonts w:hint="eastAsia" w:ascii="华文仿宋" w:hAnsi="华文仿宋" w:cs="华文仿宋"/>
          <w:color w:val="auto"/>
          <w:u w:val="single"/>
        </w:rPr>
        <w:t xml:space="preserve">    </w:t>
      </w:r>
      <w:r>
        <w:rPr>
          <w:rFonts w:hint="eastAsia" w:ascii="华文仿宋" w:hAnsi="华文仿宋" w:cs="华文仿宋"/>
          <w:color w:val="auto"/>
        </w:rPr>
        <w:t>）第</w:t>
      </w:r>
      <w:r>
        <w:rPr>
          <w:rFonts w:hint="eastAsia" w:ascii="华文仿宋" w:hAnsi="华文仿宋" w:cs="华文仿宋"/>
          <w:color w:val="auto"/>
          <w:u w:val="single"/>
        </w:rPr>
        <w:t xml:space="preserve">    </w:t>
      </w:r>
      <w:r>
        <w:rPr>
          <w:rFonts w:hint="eastAsia" w:ascii="华文仿宋" w:hAnsi="华文仿宋" w:cs="华文仿宋"/>
          <w:color w:val="auto"/>
        </w:rPr>
        <w:t>标段采购活动，为非联合体投标，本项目实施过程由本单位独立承担。</w:t>
      </w:r>
    </w:p>
    <w:p w14:paraId="14BCBA84">
      <w:pPr>
        <w:spacing w:line="500" w:lineRule="exact"/>
        <w:ind w:firstLine="566" w:firstLineChars="200"/>
        <w:jc w:val="left"/>
        <w:rPr>
          <w:rFonts w:ascii="华文仿宋" w:hAnsi="华文仿宋" w:cs="华文仿宋"/>
          <w:color w:val="auto"/>
        </w:rPr>
      </w:pPr>
      <w:r>
        <w:rPr>
          <w:rFonts w:hint="eastAsia" w:ascii="华文仿宋" w:hAnsi="华文仿宋" w:cs="华文仿宋"/>
          <w:color w:val="auto"/>
        </w:rPr>
        <w:t>本单位对上述声明的真实性负责。如有虚假，将依法承担相应责任。</w:t>
      </w:r>
    </w:p>
    <w:p w14:paraId="7282137A">
      <w:pPr>
        <w:spacing w:line="500" w:lineRule="exact"/>
        <w:ind w:firstLine="566" w:firstLineChars="200"/>
        <w:jc w:val="left"/>
        <w:rPr>
          <w:rFonts w:ascii="华文仿宋" w:hAnsi="华文仿宋" w:cs="华文仿宋"/>
          <w:color w:val="auto"/>
        </w:rPr>
      </w:pPr>
    </w:p>
    <w:p w14:paraId="1CEAC07E">
      <w:pPr>
        <w:pStyle w:val="7"/>
        <w:rPr>
          <w:rFonts w:ascii="华文仿宋" w:hAnsi="华文仿宋" w:cs="华文仿宋"/>
          <w:color w:val="auto"/>
        </w:rPr>
      </w:pPr>
    </w:p>
    <w:p w14:paraId="38EFEA92">
      <w:pPr>
        <w:spacing w:line="500" w:lineRule="exact"/>
        <w:ind w:firstLine="5094" w:firstLineChars="1800"/>
        <w:rPr>
          <w:rFonts w:ascii="华文仿宋" w:hAnsi="华文仿宋" w:cs="华文仿宋"/>
          <w:color w:val="auto"/>
        </w:rPr>
      </w:pPr>
      <w:r>
        <w:rPr>
          <w:rFonts w:hint="eastAsia" w:ascii="华文仿宋" w:hAnsi="华文仿宋" w:cs="华文仿宋"/>
          <w:color w:val="auto"/>
        </w:rPr>
        <w:t>投标人：</w:t>
      </w:r>
      <w:r>
        <w:rPr>
          <w:rFonts w:hint="eastAsia" w:ascii="华文仿宋" w:hAnsi="华文仿宋" w:cs="华文仿宋"/>
          <w:color w:val="auto"/>
          <w:u w:val="single"/>
        </w:rPr>
        <w:t>名称</w:t>
      </w:r>
      <w:r>
        <w:rPr>
          <w:rFonts w:hint="eastAsia" w:ascii="华文仿宋" w:hAnsi="华文仿宋" w:cs="华文仿宋"/>
          <w:color w:val="auto"/>
        </w:rPr>
        <w:t>（加盖公章）</w:t>
      </w:r>
    </w:p>
    <w:p w14:paraId="65512D9B">
      <w:pPr>
        <w:tabs>
          <w:tab w:val="left" w:pos="5670"/>
        </w:tabs>
        <w:spacing w:line="500" w:lineRule="exact"/>
        <w:ind w:firstLine="5377" w:firstLineChars="1900"/>
        <w:jc w:val="left"/>
        <w:rPr>
          <w:rFonts w:ascii="华文仿宋" w:hAnsi="华文仿宋" w:cs="华文仿宋"/>
          <w:color w:val="auto"/>
        </w:rPr>
      </w:pPr>
      <w:r>
        <w:rPr>
          <w:rFonts w:hint="eastAsia" w:ascii="华文仿宋" w:hAnsi="华文仿宋" w:cs="华文仿宋"/>
          <w:color w:val="auto"/>
        </w:rPr>
        <w:t>日期：　　年　月　日</w:t>
      </w:r>
    </w:p>
    <w:p w14:paraId="24CD7945">
      <w:pPr>
        <w:pStyle w:val="27"/>
        <w:spacing w:after="190"/>
        <w:ind w:firstLine="183"/>
        <w:rPr>
          <w:rFonts w:ascii="华文仿宋"/>
          <w:color w:val="auto"/>
        </w:rPr>
      </w:pPr>
    </w:p>
    <w:p w14:paraId="1E3A9B4C">
      <w:pPr>
        <w:rPr>
          <w:rFonts w:ascii="华文仿宋" w:cs="Times New Roman"/>
          <w:color w:val="auto"/>
        </w:rPr>
      </w:pPr>
      <w:r>
        <w:rPr>
          <w:rFonts w:hint="eastAsia" w:ascii="宋体" w:hAnsi="宋体" w:eastAsia="宋体" w:cs="宋体"/>
          <w:b/>
          <w:bCs/>
          <w:color w:val="auto"/>
          <w:sz w:val="21"/>
          <w:szCs w:val="21"/>
        </w:rPr>
        <w:t>备注：</w:t>
      </w:r>
      <w:r>
        <w:rPr>
          <w:rFonts w:hint="eastAsia" w:ascii="宋体" w:hAnsi="宋体" w:eastAsia="宋体" w:cs="宋体"/>
          <w:color w:val="auto"/>
          <w:sz w:val="21"/>
          <w:szCs w:val="21"/>
        </w:rPr>
        <w:t>项目不分标段的，第___标段空白处填写“/”。</w:t>
      </w:r>
    </w:p>
    <w:p w14:paraId="08E776A1">
      <w:pPr>
        <w:rPr>
          <w:rFonts w:ascii="华文仿宋" w:cs="Times New Roman"/>
          <w:color w:val="auto"/>
        </w:rPr>
      </w:pPr>
    </w:p>
    <w:p w14:paraId="1E7610FB">
      <w:pPr>
        <w:pStyle w:val="27"/>
        <w:spacing w:after="190"/>
        <w:ind w:firstLine="183"/>
        <w:rPr>
          <w:rFonts w:ascii="华文仿宋"/>
          <w:color w:val="auto"/>
        </w:rPr>
      </w:pPr>
    </w:p>
    <w:p w14:paraId="071CBEC1">
      <w:pPr>
        <w:pStyle w:val="27"/>
        <w:spacing w:after="190"/>
        <w:ind w:firstLine="183"/>
        <w:rPr>
          <w:rFonts w:ascii="华文仿宋"/>
          <w:color w:val="auto"/>
        </w:rPr>
      </w:pPr>
    </w:p>
    <w:p w14:paraId="259DF5D4">
      <w:pPr>
        <w:pStyle w:val="27"/>
        <w:spacing w:after="190"/>
        <w:ind w:firstLine="183"/>
        <w:rPr>
          <w:rFonts w:ascii="华文仿宋"/>
          <w:color w:val="auto"/>
        </w:rPr>
      </w:pPr>
    </w:p>
    <w:p w14:paraId="7458ED16">
      <w:pPr>
        <w:pStyle w:val="27"/>
        <w:spacing w:after="190"/>
        <w:ind w:firstLine="183"/>
        <w:rPr>
          <w:rFonts w:ascii="华文仿宋"/>
          <w:color w:val="auto"/>
        </w:rPr>
      </w:pPr>
    </w:p>
    <w:p w14:paraId="1CF34AE6">
      <w:pPr>
        <w:pStyle w:val="27"/>
        <w:spacing w:after="190"/>
        <w:ind w:firstLine="183"/>
        <w:rPr>
          <w:rFonts w:ascii="华文仿宋"/>
          <w:color w:val="auto"/>
        </w:rPr>
      </w:pPr>
    </w:p>
    <w:p w14:paraId="5376271F">
      <w:pPr>
        <w:pStyle w:val="27"/>
        <w:spacing w:after="190"/>
        <w:ind w:firstLine="183"/>
        <w:rPr>
          <w:rFonts w:ascii="华文仿宋"/>
          <w:color w:val="auto"/>
        </w:rPr>
      </w:pPr>
    </w:p>
    <w:p w14:paraId="569FB767">
      <w:pPr>
        <w:pStyle w:val="27"/>
        <w:spacing w:after="190"/>
        <w:ind w:firstLine="183"/>
        <w:rPr>
          <w:rFonts w:ascii="华文仿宋"/>
          <w:color w:val="auto"/>
        </w:rPr>
      </w:pPr>
    </w:p>
    <w:p w14:paraId="7EB25D03">
      <w:pPr>
        <w:pStyle w:val="27"/>
        <w:spacing w:after="190"/>
        <w:ind w:firstLine="183"/>
        <w:rPr>
          <w:rFonts w:ascii="华文仿宋"/>
          <w:color w:val="auto"/>
        </w:rPr>
      </w:pPr>
    </w:p>
    <w:p w14:paraId="3BCF8E39">
      <w:pPr>
        <w:pStyle w:val="27"/>
        <w:spacing w:after="190"/>
        <w:ind w:firstLine="183"/>
        <w:rPr>
          <w:rFonts w:ascii="华文仿宋"/>
          <w:color w:val="auto"/>
        </w:rPr>
      </w:pPr>
    </w:p>
    <w:bookmarkEnd w:id="655"/>
    <w:p w14:paraId="3B4ABC2C">
      <w:pPr>
        <w:pStyle w:val="62"/>
        <w:rPr>
          <w:rFonts w:ascii="黑体" w:hAnsi="黑体" w:eastAsia="黑体" w:cs="Times New Roman"/>
          <w:b w:val="0"/>
          <w:bCs w:val="0"/>
          <w:color w:val="auto"/>
        </w:rPr>
      </w:pPr>
      <w:bookmarkStart w:id="660" w:name="_Toc10876"/>
      <w:bookmarkEnd w:id="660"/>
      <w:bookmarkStart w:id="661" w:name="_Toc25329"/>
      <w:bookmarkEnd w:id="661"/>
      <w:bookmarkStart w:id="662" w:name="_Toc28788"/>
      <w:bookmarkEnd w:id="662"/>
      <w:bookmarkStart w:id="663" w:name="_Toc2952"/>
      <w:bookmarkEnd w:id="663"/>
      <w:bookmarkStart w:id="664" w:name="_Toc23476"/>
      <w:bookmarkEnd w:id="664"/>
      <w:bookmarkStart w:id="665" w:name="_Toc15231"/>
      <w:bookmarkEnd w:id="665"/>
      <w:bookmarkStart w:id="666" w:name="_Toc30135"/>
      <w:bookmarkEnd w:id="666"/>
      <w:bookmarkStart w:id="667" w:name="_Toc29332"/>
      <w:bookmarkEnd w:id="667"/>
      <w:bookmarkStart w:id="668" w:name="_Toc26404"/>
      <w:bookmarkEnd w:id="668"/>
      <w:r>
        <w:rPr>
          <w:rFonts w:hint="eastAsia" w:ascii="黑体" w:hAnsi="黑体" w:eastAsia="黑体" w:cs="黑体"/>
          <w:b w:val="0"/>
          <w:bCs w:val="0"/>
          <w:color w:val="auto"/>
        </w:rPr>
        <w:t>第二部分  符合性证明文件</w:t>
      </w:r>
    </w:p>
    <w:p w14:paraId="2493CAC5">
      <w:pPr>
        <w:pStyle w:val="62"/>
        <w:jc w:val="both"/>
        <w:outlineLvl w:val="2"/>
        <w:rPr>
          <w:rFonts w:ascii="仿宋" w:hAnsi="仿宋" w:eastAsia="仿宋" w:cs="Times New Roman"/>
          <w:color w:val="auto"/>
        </w:rPr>
      </w:pPr>
      <w:bookmarkStart w:id="669" w:name="_Toc23035"/>
      <w:bookmarkEnd w:id="669"/>
      <w:bookmarkStart w:id="670" w:name="_Toc32493"/>
      <w:bookmarkEnd w:id="670"/>
      <w:bookmarkStart w:id="671" w:name="_Toc29952"/>
      <w:bookmarkEnd w:id="671"/>
      <w:bookmarkStart w:id="672" w:name="_Toc19165"/>
      <w:bookmarkEnd w:id="672"/>
      <w:bookmarkStart w:id="673" w:name="_Toc28894"/>
      <w:bookmarkEnd w:id="673"/>
      <w:bookmarkStart w:id="674" w:name="_Toc32108"/>
      <w:bookmarkEnd w:id="674"/>
      <w:bookmarkStart w:id="675" w:name="_Toc31044"/>
      <w:bookmarkEnd w:id="675"/>
      <w:bookmarkStart w:id="676" w:name="_Toc25013"/>
      <w:bookmarkEnd w:id="676"/>
      <w:bookmarkStart w:id="677" w:name="_Toc4366"/>
      <w:bookmarkEnd w:id="677"/>
      <w:bookmarkStart w:id="678" w:name="_Toc4834"/>
      <w:bookmarkEnd w:id="678"/>
      <w:bookmarkStart w:id="679" w:name="_Toc26064"/>
      <w:bookmarkEnd w:id="679"/>
      <w:bookmarkStart w:id="680" w:name="_Toc15939"/>
      <w:bookmarkEnd w:id="680"/>
      <w:bookmarkStart w:id="681" w:name="_Toc1167"/>
      <w:bookmarkEnd w:id="681"/>
      <w:bookmarkStart w:id="682" w:name="_Toc30414"/>
      <w:bookmarkEnd w:id="682"/>
      <w:bookmarkStart w:id="683" w:name="_Toc12655"/>
      <w:bookmarkEnd w:id="683"/>
      <w:bookmarkStart w:id="684" w:name="_Toc19939"/>
      <w:bookmarkEnd w:id="684"/>
      <w:bookmarkStart w:id="685" w:name="_Toc17687"/>
      <w:bookmarkEnd w:id="685"/>
      <w:bookmarkStart w:id="686" w:name="_Toc14176"/>
      <w:bookmarkEnd w:id="686"/>
      <w:bookmarkStart w:id="687" w:name="_Toc5204"/>
      <w:bookmarkEnd w:id="687"/>
      <w:bookmarkStart w:id="688" w:name="_Toc26378"/>
      <w:bookmarkEnd w:id="688"/>
      <w:bookmarkStart w:id="689" w:name="_Toc16590"/>
      <w:bookmarkEnd w:id="689"/>
      <w:r>
        <w:rPr>
          <w:rFonts w:hint="eastAsia" w:ascii="仿宋" w:hAnsi="仿宋" w:eastAsia="仿宋" w:cs="仿宋"/>
          <w:color w:val="auto"/>
        </w:rPr>
        <w:t>一、投标函格式</w:t>
      </w:r>
    </w:p>
    <w:p w14:paraId="317E0CA5">
      <w:pPr>
        <w:pStyle w:val="62"/>
        <w:outlineLvl w:val="9"/>
        <w:rPr>
          <w:rFonts w:ascii="黑体" w:hAnsi="黑体" w:eastAsia="黑体" w:cs="Times New Roman"/>
          <w:b w:val="0"/>
          <w:bCs w:val="0"/>
          <w:color w:val="auto"/>
        </w:rPr>
      </w:pPr>
      <w:bookmarkStart w:id="690" w:name="_Toc2961"/>
      <w:bookmarkEnd w:id="690"/>
      <w:bookmarkStart w:id="691" w:name="_Toc12888"/>
      <w:bookmarkEnd w:id="691"/>
      <w:bookmarkStart w:id="692" w:name="_Toc4061"/>
      <w:bookmarkEnd w:id="692"/>
      <w:bookmarkStart w:id="693" w:name="_Toc7906"/>
      <w:bookmarkEnd w:id="693"/>
      <w:r>
        <w:rPr>
          <w:rFonts w:hint="eastAsia" w:ascii="黑体" w:hAnsi="黑体" w:eastAsia="黑体" w:cs="黑体"/>
          <w:b w:val="0"/>
          <w:bCs w:val="0"/>
          <w:color w:val="auto"/>
        </w:rPr>
        <w:t>投标函</w:t>
      </w:r>
    </w:p>
    <w:p w14:paraId="0975ECCA">
      <w:pPr>
        <w:pStyle w:val="60"/>
        <w:spacing w:line="500" w:lineRule="exact"/>
        <w:ind w:firstLine="0" w:firstLineChars="0"/>
        <w:rPr>
          <w:rFonts w:ascii="仿宋" w:hAnsi="仿宋" w:eastAsia="仿宋" w:cs="Times New Roman"/>
          <w:color w:val="auto"/>
          <w:lang w:val="zh-CN"/>
        </w:rPr>
      </w:pPr>
      <w:r>
        <w:rPr>
          <w:rFonts w:hint="eastAsia" w:ascii="仿宋" w:hAnsi="仿宋" w:eastAsia="仿宋" w:cs="仿宋"/>
          <w:color w:val="auto"/>
          <w:lang w:eastAsia="zh-CN"/>
        </w:rPr>
        <w:t>延安市公共资源交易中心（延安市市直单位政府采购中心）</w:t>
      </w:r>
      <w:r>
        <w:rPr>
          <w:rFonts w:hint="eastAsia" w:ascii="仿宋" w:hAnsi="仿宋" w:eastAsia="仿宋" w:cs="仿宋"/>
          <w:color w:val="auto"/>
          <w:lang w:val="zh-CN"/>
        </w:rPr>
        <w:t>：</w:t>
      </w:r>
    </w:p>
    <w:p w14:paraId="69F33132">
      <w:pPr>
        <w:spacing w:line="500" w:lineRule="exact"/>
        <w:ind w:right="11" w:firstLine="566" w:firstLineChars="200"/>
        <w:rPr>
          <w:rFonts w:ascii="仿宋" w:hAnsi="仿宋" w:eastAsia="仿宋" w:cs="Times New Roman"/>
          <w:color w:val="auto"/>
        </w:rPr>
      </w:pPr>
      <w:r>
        <w:rPr>
          <w:rFonts w:hint="eastAsia" w:ascii="仿宋" w:hAnsi="仿宋" w:eastAsia="仿宋" w:cs="仿宋"/>
          <w:color w:val="auto"/>
        </w:rPr>
        <w:t>我方收到贵中心发布的</w:t>
      </w:r>
      <w:r>
        <w:rPr>
          <w:rFonts w:hint="eastAsia" w:ascii="华文仿宋" w:hAnsi="华文仿宋" w:cs="华文仿宋"/>
          <w:color w:val="auto"/>
        </w:rPr>
        <w:t>《</w:t>
      </w:r>
      <w:r>
        <w:rPr>
          <w:rFonts w:hint="eastAsia" w:ascii="华文仿宋" w:hAnsi="华文仿宋" w:cs="华文仿宋"/>
          <w:color w:val="auto"/>
          <w:u w:val="single"/>
        </w:rPr>
        <w:t>项目名称</w:t>
      </w:r>
      <w:r>
        <w:rPr>
          <w:rFonts w:hint="eastAsia" w:ascii="华文仿宋" w:hAnsi="华文仿宋" w:cs="华文仿宋"/>
          <w:color w:val="auto"/>
        </w:rPr>
        <w:t>》（项目编号：</w:t>
      </w:r>
      <w:r>
        <w:rPr>
          <w:rFonts w:hint="eastAsia" w:ascii="华文仿宋" w:hAnsi="华文仿宋" w:cs="华文仿宋"/>
          <w:color w:val="auto"/>
          <w:u w:val="single"/>
        </w:rPr>
        <w:t xml:space="preserve">    </w:t>
      </w:r>
      <w:r>
        <w:rPr>
          <w:rFonts w:hint="eastAsia" w:ascii="华文仿宋" w:hAnsi="华文仿宋" w:cs="华文仿宋"/>
          <w:color w:val="auto"/>
        </w:rPr>
        <w:t>）第</w:t>
      </w:r>
      <w:r>
        <w:rPr>
          <w:rFonts w:hint="eastAsia" w:ascii="华文仿宋" w:hAnsi="华文仿宋" w:cs="华文仿宋"/>
          <w:color w:val="auto"/>
          <w:u w:val="single"/>
        </w:rPr>
        <w:t xml:space="preserve">   </w:t>
      </w:r>
      <w:r>
        <w:rPr>
          <w:rFonts w:hint="eastAsia" w:ascii="华文仿宋" w:hAnsi="华文仿宋" w:cs="华文仿宋"/>
          <w:color w:val="auto"/>
        </w:rPr>
        <w:t>标段</w:t>
      </w:r>
      <w:r>
        <w:rPr>
          <w:rFonts w:hint="eastAsia" w:ascii="仿宋" w:hAnsi="仿宋" w:eastAsia="仿宋" w:cs="仿宋"/>
          <w:color w:val="auto"/>
        </w:rPr>
        <w:t>招标文件，经详细研究，我方决定参加该项目第</w:t>
      </w:r>
      <w:r>
        <w:rPr>
          <w:rFonts w:hint="eastAsia" w:ascii="华文仿宋" w:hAnsi="华文仿宋" w:cs="华文仿宋"/>
          <w:color w:val="auto"/>
          <w:u w:val="single"/>
        </w:rPr>
        <w:t xml:space="preserve">    </w:t>
      </w:r>
      <w:r>
        <w:rPr>
          <w:rFonts w:hint="eastAsia" w:ascii="仿宋" w:hAnsi="仿宋" w:eastAsia="仿宋" w:cs="仿宋"/>
          <w:color w:val="auto"/>
        </w:rPr>
        <w:t>标段招标活动。为此，我方郑重声明以下诸点，并负法律责任。</w:t>
      </w:r>
    </w:p>
    <w:p w14:paraId="457D53E8">
      <w:pPr>
        <w:pStyle w:val="60"/>
        <w:spacing w:line="500" w:lineRule="exact"/>
        <w:ind w:firstLine="567"/>
        <w:rPr>
          <w:rFonts w:cs="Times New Roman"/>
          <w:color w:val="auto"/>
        </w:rPr>
      </w:pPr>
      <w:r>
        <w:rPr>
          <w:rFonts w:hint="eastAsia" w:cs="华文仿宋"/>
          <w:color w:val="auto"/>
        </w:rPr>
        <w:t>一、我方已详细阅读了招标文件，完全理解并同意招标文件的所有事项及内容。</w:t>
      </w:r>
    </w:p>
    <w:p w14:paraId="67A361D6">
      <w:pPr>
        <w:pStyle w:val="60"/>
        <w:spacing w:line="500" w:lineRule="exact"/>
        <w:ind w:firstLine="567"/>
        <w:rPr>
          <w:rFonts w:ascii="仿宋" w:hAnsi="仿宋" w:eastAsia="仿宋" w:cs="Times New Roman"/>
          <w:color w:val="auto"/>
        </w:rPr>
      </w:pPr>
      <w:r>
        <w:rPr>
          <w:rFonts w:hint="eastAsia" w:ascii="仿宋" w:hAnsi="仿宋" w:eastAsia="仿宋" w:cs="仿宋"/>
          <w:color w:val="auto"/>
        </w:rPr>
        <w:t>二、我方已悉知并关注了贵方在政府采购信息发布媒体（详见招标文件第二章第三条中的“招标文件的修改、澄清”）上发布的关于本项目的有关变更公告（包括但不限于对招标文件做出的修改或澄清、答疑纪要，以及项目暂停、重启、延期、终止等）。</w:t>
      </w:r>
    </w:p>
    <w:p w14:paraId="57CD18C6">
      <w:pPr>
        <w:pStyle w:val="60"/>
        <w:spacing w:line="500" w:lineRule="exact"/>
        <w:ind w:firstLine="567"/>
        <w:rPr>
          <w:rFonts w:cs="Times New Roman"/>
          <w:color w:val="auto"/>
        </w:rPr>
      </w:pPr>
      <w:r>
        <w:rPr>
          <w:rFonts w:hint="eastAsia" w:cs="华文仿宋"/>
          <w:color w:val="auto"/>
        </w:rPr>
        <w:t>三、</w:t>
      </w:r>
      <w:r>
        <w:rPr>
          <w:rFonts w:hint="eastAsia" w:ascii="仿宋" w:hAnsi="仿宋" w:eastAsia="仿宋" w:cs="仿宋"/>
          <w:color w:val="auto"/>
        </w:rPr>
        <w:t>我方</w:t>
      </w:r>
      <w:r>
        <w:rPr>
          <w:rFonts w:hint="eastAsia" w:cs="华文仿宋"/>
          <w:color w:val="auto"/>
        </w:rPr>
        <w:t>同意向贵方提供与本投标有关的任何证明材料，保证所提交的证明材料真实、合法、有效。我方理解最低价不是中标的唯一条件，并尊重评标委员会的评审结果。</w:t>
      </w:r>
    </w:p>
    <w:p w14:paraId="3D51A26D">
      <w:pPr>
        <w:pStyle w:val="60"/>
        <w:spacing w:line="500" w:lineRule="exact"/>
        <w:ind w:firstLine="567"/>
        <w:rPr>
          <w:rFonts w:cs="Times New Roman"/>
          <w:color w:val="auto"/>
        </w:rPr>
      </w:pPr>
      <w:r>
        <w:rPr>
          <w:rFonts w:hint="eastAsia" w:cs="华文仿宋"/>
          <w:color w:val="auto"/>
        </w:rPr>
        <w:t>四、</w:t>
      </w:r>
      <w:r>
        <w:rPr>
          <w:rFonts w:hint="eastAsia" w:ascii="仿宋" w:hAnsi="仿宋" w:eastAsia="仿宋" w:cs="仿宋"/>
          <w:color w:val="auto"/>
        </w:rPr>
        <w:t>我方</w:t>
      </w:r>
      <w:r>
        <w:rPr>
          <w:rFonts w:hint="eastAsia" w:cs="华文仿宋"/>
          <w:color w:val="auto"/>
        </w:rPr>
        <w:t>愿意按照招标文件中的一切要求，完成本项目</w:t>
      </w:r>
      <w:r>
        <w:rPr>
          <w:rFonts w:hint="eastAsia" w:ascii="仿宋" w:hAnsi="仿宋" w:eastAsia="仿宋" w:cs="仿宋"/>
          <w:color w:val="auto"/>
        </w:rPr>
        <w:t>合同责任和义务</w:t>
      </w:r>
      <w:r>
        <w:rPr>
          <w:rFonts w:hint="eastAsia" w:cs="华文仿宋"/>
          <w:color w:val="auto"/>
        </w:rPr>
        <w:t>。</w:t>
      </w:r>
    </w:p>
    <w:p w14:paraId="750F1E01">
      <w:pPr>
        <w:pStyle w:val="25"/>
        <w:wordWrap w:val="0"/>
        <w:spacing w:beforeAutospacing="0" w:afterAutospacing="0" w:line="500" w:lineRule="exact"/>
        <w:ind w:firstLine="566" w:firstLineChars="200"/>
        <w:rPr>
          <w:rFonts w:cs="华文仿宋"/>
          <w:color w:val="auto"/>
          <w:kern w:val="2"/>
          <w:sz w:val="28"/>
          <w:szCs w:val="28"/>
        </w:rPr>
      </w:pPr>
      <w:r>
        <w:rPr>
          <w:rFonts w:hint="eastAsia" w:cs="华文仿宋"/>
          <w:color w:val="auto"/>
          <w:kern w:val="2"/>
          <w:sz w:val="28"/>
          <w:szCs w:val="28"/>
        </w:rPr>
        <w:t>五、按招标文件的规定，完成本项目采购内容并验收合格的投标报价以开标一览表为准。</w:t>
      </w:r>
    </w:p>
    <w:p w14:paraId="21A71912">
      <w:pPr>
        <w:pStyle w:val="25"/>
        <w:wordWrap w:val="0"/>
        <w:spacing w:beforeAutospacing="0" w:afterAutospacing="0" w:line="500" w:lineRule="exact"/>
        <w:ind w:firstLine="566" w:firstLineChars="200"/>
        <w:rPr>
          <w:rFonts w:cs="Times New Roman"/>
          <w:color w:val="auto"/>
          <w:kern w:val="2"/>
          <w:sz w:val="28"/>
          <w:szCs w:val="28"/>
        </w:rPr>
      </w:pPr>
      <w:r>
        <w:rPr>
          <w:rFonts w:hint="eastAsia" w:cs="华文仿宋"/>
          <w:color w:val="auto"/>
          <w:kern w:val="2"/>
          <w:sz w:val="28"/>
          <w:szCs w:val="28"/>
        </w:rPr>
        <w:t>六、我方提交的</w:t>
      </w:r>
      <w:r>
        <w:rPr>
          <w:rFonts w:hint="eastAsia" w:cs="华文仿宋"/>
          <w:b/>
          <w:bCs/>
          <w:color w:val="auto"/>
          <w:kern w:val="2"/>
          <w:sz w:val="28"/>
          <w:szCs w:val="28"/>
        </w:rPr>
        <w:t>电子投标文件</w:t>
      </w:r>
      <w:r>
        <w:rPr>
          <w:rFonts w:hint="eastAsia" w:ascii="仿宋" w:hAnsi="仿宋" w:eastAsia="仿宋" w:cs="仿宋"/>
          <w:b/>
          <w:bCs/>
          <w:color w:val="auto"/>
          <w:kern w:val="2"/>
          <w:sz w:val="28"/>
          <w:szCs w:val="28"/>
          <w:u w:val="single"/>
        </w:rPr>
        <w:t>1</w:t>
      </w:r>
      <w:r>
        <w:rPr>
          <w:rFonts w:hint="eastAsia" w:cs="华文仿宋"/>
          <w:b/>
          <w:bCs/>
          <w:color w:val="auto"/>
          <w:kern w:val="2"/>
          <w:sz w:val="28"/>
          <w:szCs w:val="28"/>
        </w:rPr>
        <w:t>份。</w:t>
      </w:r>
    </w:p>
    <w:p w14:paraId="0BDE7650">
      <w:pPr>
        <w:pStyle w:val="60"/>
        <w:spacing w:line="500" w:lineRule="exact"/>
        <w:ind w:firstLine="567"/>
        <w:rPr>
          <w:rFonts w:cs="Times New Roman"/>
          <w:color w:val="auto"/>
        </w:rPr>
      </w:pPr>
      <w:r>
        <w:rPr>
          <w:rFonts w:hint="eastAsia" w:cs="华文仿宋"/>
          <w:color w:val="auto"/>
        </w:rPr>
        <w:t>七、开标后在规定的投标有效期内撤回投标，我们愿接受政府采购的有关处罚决定。</w:t>
      </w:r>
    </w:p>
    <w:p w14:paraId="63A4359C">
      <w:pPr>
        <w:autoSpaceDE w:val="0"/>
        <w:autoSpaceDN w:val="0"/>
        <w:adjustRightInd w:val="0"/>
        <w:spacing w:line="500" w:lineRule="exact"/>
        <w:ind w:firstLine="566" w:firstLineChars="200"/>
        <w:rPr>
          <w:rFonts w:cs="Times New Roman"/>
          <w:color w:val="auto"/>
        </w:rPr>
      </w:pPr>
      <w:r>
        <w:rPr>
          <w:rFonts w:hint="eastAsia" w:cs="华文仿宋"/>
          <w:color w:val="auto"/>
        </w:rPr>
        <w:t>八、我方的投标文件在开标之日起</w:t>
      </w:r>
      <w:r>
        <w:rPr>
          <w:rFonts w:hint="eastAsia" w:ascii="仿宋" w:hAnsi="仿宋" w:eastAsia="仿宋" w:cs="仿宋"/>
          <w:b/>
          <w:bCs/>
          <w:color w:val="auto"/>
          <w:u w:val="single"/>
        </w:rPr>
        <w:t>90</w:t>
      </w:r>
      <w:r>
        <w:rPr>
          <w:rFonts w:hint="eastAsia" w:cs="华文仿宋"/>
          <w:color w:val="auto"/>
        </w:rPr>
        <w:t>个日历日内有效，如中标，延长至合同执行完毕时止。</w:t>
      </w:r>
    </w:p>
    <w:p w14:paraId="30AB7388">
      <w:pPr>
        <w:pStyle w:val="60"/>
        <w:spacing w:line="500" w:lineRule="exact"/>
        <w:ind w:firstLine="567"/>
        <w:rPr>
          <w:rFonts w:cs="Times New Roman"/>
          <w:color w:val="auto"/>
        </w:rPr>
      </w:pPr>
      <w:r>
        <w:rPr>
          <w:rFonts w:hint="eastAsia" w:cs="华文仿宋"/>
          <w:color w:val="auto"/>
        </w:rPr>
        <w:t>九、所有关于此次招标活动的函电，请按下列地址联系：</w:t>
      </w:r>
    </w:p>
    <w:p w14:paraId="3D8A1CA8">
      <w:pPr>
        <w:pStyle w:val="60"/>
        <w:spacing w:line="500" w:lineRule="exact"/>
        <w:ind w:firstLine="0" w:firstLineChars="0"/>
        <w:rPr>
          <w:rFonts w:cs="Times New Roman"/>
          <w:color w:val="auto"/>
        </w:rPr>
      </w:pPr>
      <w:r>
        <w:rPr>
          <w:rFonts w:hint="eastAsia" w:cs="华文仿宋"/>
          <w:color w:val="auto"/>
        </w:rPr>
        <w:t>投标人：</w:t>
      </w:r>
      <w:r>
        <w:rPr>
          <w:rFonts w:hint="eastAsia" w:cs="华文仿宋"/>
          <w:color w:val="auto"/>
          <w:u w:val="single"/>
        </w:rPr>
        <w:t>名称</w:t>
      </w:r>
      <w:r>
        <w:rPr>
          <w:rFonts w:hint="eastAsia" w:cs="华文仿宋"/>
          <w:color w:val="auto"/>
        </w:rPr>
        <w:t>（加盖公章）</w:t>
      </w:r>
    </w:p>
    <w:p w14:paraId="33DF7E5E">
      <w:pPr>
        <w:pStyle w:val="60"/>
        <w:spacing w:line="500" w:lineRule="exact"/>
        <w:ind w:firstLine="567"/>
        <w:rPr>
          <w:rFonts w:cs="Times New Roman"/>
          <w:color w:val="auto"/>
        </w:rPr>
      </w:pPr>
      <w:r>
        <w:rPr>
          <w:rFonts w:hint="eastAsia" w:cs="华文仿宋"/>
          <w:color w:val="auto"/>
        </w:rPr>
        <w:t>地址：</w:t>
      </w:r>
    </w:p>
    <w:p w14:paraId="2A59B45B">
      <w:pPr>
        <w:pStyle w:val="60"/>
        <w:spacing w:line="500" w:lineRule="exact"/>
        <w:ind w:firstLine="567"/>
        <w:rPr>
          <w:rFonts w:cs="Times New Roman"/>
          <w:color w:val="auto"/>
        </w:rPr>
      </w:pPr>
      <w:r>
        <w:rPr>
          <w:rFonts w:hint="eastAsia" w:cs="华文仿宋"/>
          <w:color w:val="auto"/>
        </w:rPr>
        <w:t>开户银行：</w:t>
      </w:r>
    </w:p>
    <w:p w14:paraId="00AA42E4">
      <w:pPr>
        <w:pStyle w:val="60"/>
        <w:spacing w:line="500" w:lineRule="exact"/>
        <w:ind w:firstLine="567"/>
        <w:rPr>
          <w:rFonts w:cs="Times New Roman"/>
          <w:color w:val="auto"/>
        </w:rPr>
      </w:pPr>
      <w:r>
        <w:rPr>
          <w:rFonts w:hint="eastAsia" w:cs="华文仿宋"/>
          <w:color w:val="auto"/>
        </w:rPr>
        <w:t>账号：</w:t>
      </w:r>
    </w:p>
    <w:p w14:paraId="67DCD4DE">
      <w:pPr>
        <w:pStyle w:val="60"/>
        <w:spacing w:line="500" w:lineRule="exact"/>
        <w:ind w:firstLine="567"/>
        <w:rPr>
          <w:rFonts w:cs="Times New Roman"/>
          <w:color w:val="auto"/>
        </w:rPr>
      </w:pPr>
      <w:r>
        <w:rPr>
          <w:rFonts w:hint="eastAsia" w:cs="华文仿宋"/>
          <w:color w:val="auto"/>
        </w:rPr>
        <w:t>电话：</w:t>
      </w:r>
    </w:p>
    <w:p w14:paraId="4CE75619">
      <w:pPr>
        <w:pStyle w:val="60"/>
        <w:spacing w:line="500" w:lineRule="exact"/>
        <w:ind w:firstLine="567"/>
        <w:rPr>
          <w:rFonts w:cs="Times New Roman"/>
          <w:color w:val="auto"/>
        </w:rPr>
      </w:pPr>
      <w:r>
        <w:rPr>
          <w:rFonts w:hint="eastAsia" w:cs="华文仿宋"/>
          <w:color w:val="auto"/>
        </w:rPr>
        <w:t>传真：</w:t>
      </w:r>
    </w:p>
    <w:p w14:paraId="0AD7B4B9">
      <w:pPr>
        <w:pStyle w:val="60"/>
        <w:spacing w:line="500" w:lineRule="exact"/>
        <w:ind w:firstLine="567"/>
        <w:rPr>
          <w:rFonts w:cs="Times New Roman"/>
          <w:color w:val="auto"/>
        </w:rPr>
      </w:pPr>
      <w:r>
        <w:rPr>
          <w:rFonts w:hint="eastAsia" w:cs="华文仿宋"/>
          <w:color w:val="auto"/>
        </w:rPr>
        <w:t>邮编：</w:t>
      </w:r>
    </w:p>
    <w:p w14:paraId="55534A1D">
      <w:pPr>
        <w:pStyle w:val="60"/>
        <w:spacing w:line="500" w:lineRule="exact"/>
        <w:ind w:firstLine="567"/>
        <w:rPr>
          <w:rFonts w:cs="Times New Roman"/>
          <w:color w:val="auto"/>
        </w:rPr>
      </w:pPr>
      <w:r>
        <w:rPr>
          <w:rFonts w:hint="eastAsia" w:cs="华文仿宋"/>
          <w:color w:val="auto"/>
        </w:rPr>
        <w:t>电子邮箱：</w:t>
      </w:r>
    </w:p>
    <w:p w14:paraId="16E43E10">
      <w:pPr>
        <w:pStyle w:val="60"/>
        <w:spacing w:line="500" w:lineRule="exact"/>
        <w:ind w:firstLine="567"/>
        <w:rPr>
          <w:rFonts w:cs="Times New Roman"/>
          <w:color w:val="auto"/>
        </w:rPr>
      </w:pPr>
      <w:r>
        <w:rPr>
          <w:rFonts w:hint="eastAsia" w:cs="华文仿宋"/>
          <w:color w:val="auto"/>
        </w:rPr>
        <w:t>日期：　　年　月　日</w:t>
      </w:r>
    </w:p>
    <w:p w14:paraId="240B1B44">
      <w:pPr>
        <w:pStyle w:val="60"/>
        <w:ind w:firstLine="0" w:firstLineChars="0"/>
        <w:rPr>
          <w:rFonts w:cs="Times New Roman"/>
          <w:color w:val="auto"/>
          <w:sz w:val="36"/>
          <w:szCs w:val="36"/>
        </w:rPr>
      </w:pPr>
    </w:p>
    <w:p w14:paraId="46D9BC32">
      <w:pPr>
        <w:pStyle w:val="60"/>
        <w:ind w:firstLine="0" w:firstLineChars="0"/>
        <w:rPr>
          <w:rFonts w:cs="Times New Roman"/>
          <w:color w:val="auto"/>
          <w:sz w:val="36"/>
          <w:szCs w:val="36"/>
        </w:rPr>
      </w:pPr>
    </w:p>
    <w:p w14:paraId="52D74AC7">
      <w:pPr>
        <w:pStyle w:val="60"/>
        <w:ind w:firstLine="0" w:firstLineChars="0"/>
        <w:rPr>
          <w:rFonts w:cs="Times New Roman"/>
          <w:color w:val="auto"/>
          <w:sz w:val="36"/>
          <w:szCs w:val="36"/>
        </w:rPr>
      </w:pPr>
    </w:p>
    <w:p w14:paraId="4B2265A1">
      <w:pPr>
        <w:pStyle w:val="60"/>
        <w:ind w:firstLine="0" w:firstLineChars="0"/>
        <w:rPr>
          <w:rFonts w:ascii="宋体" w:hAnsi="宋体" w:eastAsia="宋体" w:cs="Times New Roman"/>
          <w:color w:val="auto"/>
          <w:sz w:val="21"/>
          <w:szCs w:val="21"/>
        </w:rPr>
      </w:pPr>
      <w:r>
        <w:rPr>
          <w:rFonts w:hint="eastAsia" w:ascii="宋体" w:hAnsi="宋体" w:eastAsia="宋体" w:cs="宋体"/>
          <w:color w:val="auto"/>
          <w:sz w:val="21"/>
          <w:szCs w:val="21"/>
        </w:rPr>
        <w:t>备注：</w:t>
      </w:r>
      <w:r>
        <w:rPr>
          <w:rFonts w:ascii="宋体" w:hAnsi="宋体" w:eastAsia="宋体" w:cs="宋体"/>
          <w:color w:val="auto"/>
          <w:sz w:val="21"/>
          <w:szCs w:val="21"/>
        </w:rPr>
        <w:t>1</w:t>
      </w:r>
      <w:r>
        <w:rPr>
          <w:rFonts w:hint="eastAsia" w:ascii="宋体" w:hAnsi="宋体" w:eastAsia="宋体" w:cs="宋体"/>
          <w:color w:val="auto"/>
          <w:sz w:val="21"/>
          <w:szCs w:val="21"/>
          <w:lang w:val="en-US" w:eastAsia="zh-CN"/>
        </w:rPr>
        <w:t>.</w:t>
      </w:r>
      <w:r>
        <w:rPr>
          <w:rFonts w:hint="eastAsia" w:ascii="宋体" w:hAnsi="宋体" w:eastAsia="宋体" w:cs="宋体"/>
          <w:color w:val="auto"/>
          <w:sz w:val="21"/>
          <w:szCs w:val="21"/>
        </w:rPr>
        <w:t>项目不分标段的，第</w:t>
      </w:r>
      <w:r>
        <w:rPr>
          <w:rFonts w:ascii="宋体" w:hAnsi="宋体" w:eastAsia="宋体" w:cs="宋体"/>
          <w:color w:val="auto"/>
          <w:sz w:val="21"/>
          <w:szCs w:val="21"/>
        </w:rPr>
        <w:t>___</w:t>
      </w:r>
      <w:r>
        <w:rPr>
          <w:rFonts w:hint="eastAsia" w:ascii="宋体" w:hAnsi="宋体" w:eastAsia="宋体" w:cs="宋体"/>
          <w:color w:val="auto"/>
          <w:sz w:val="21"/>
          <w:szCs w:val="21"/>
        </w:rPr>
        <w:t>标段空白处填写“</w:t>
      </w:r>
      <w:r>
        <w:rPr>
          <w:rFonts w:ascii="宋体" w:hAnsi="宋体" w:eastAsia="宋体" w:cs="宋体"/>
          <w:color w:val="auto"/>
          <w:sz w:val="21"/>
          <w:szCs w:val="21"/>
        </w:rPr>
        <w:t>/</w:t>
      </w:r>
      <w:r>
        <w:rPr>
          <w:rFonts w:hint="eastAsia" w:ascii="宋体" w:hAnsi="宋体" w:eastAsia="宋体" w:cs="宋体"/>
          <w:color w:val="auto"/>
          <w:sz w:val="21"/>
          <w:szCs w:val="21"/>
        </w:rPr>
        <w:t>”。</w:t>
      </w:r>
    </w:p>
    <w:p w14:paraId="0DB44A53">
      <w:pPr>
        <w:pStyle w:val="60"/>
        <w:ind w:firstLine="639" w:firstLineChars="300"/>
        <w:rPr>
          <w:rFonts w:ascii="宋体" w:hAnsi="宋体" w:eastAsia="宋体" w:cs="Times New Roman"/>
          <w:color w:val="auto"/>
          <w:sz w:val="21"/>
          <w:szCs w:val="21"/>
        </w:rPr>
      </w:pPr>
      <w:r>
        <w:rPr>
          <w:rFonts w:ascii="宋体" w:hAnsi="宋体" w:eastAsia="宋体" w:cs="宋体"/>
          <w:color w:val="auto"/>
          <w:sz w:val="21"/>
          <w:szCs w:val="21"/>
        </w:rPr>
        <w:t>2</w:t>
      </w:r>
      <w:r>
        <w:rPr>
          <w:rFonts w:hint="eastAsia" w:ascii="宋体" w:hAnsi="宋体" w:eastAsia="宋体" w:cs="宋体"/>
          <w:color w:val="auto"/>
          <w:sz w:val="21"/>
          <w:szCs w:val="21"/>
          <w:lang w:val="en-US" w:eastAsia="zh-CN"/>
        </w:rPr>
        <w:t>.</w:t>
      </w:r>
      <w:r>
        <w:rPr>
          <w:rFonts w:hint="eastAsia" w:ascii="宋体" w:hAnsi="宋体" w:eastAsia="宋体" w:cs="宋体"/>
          <w:color w:val="auto"/>
          <w:sz w:val="21"/>
          <w:szCs w:val="21"/>
        </w:rPr>
        <w:t>除可填报项目外，对本投标函的任何实质性内容修改将被视为非实质性响应，在评审时将其视为无效响应。</w:t>
      </w:r>
    </w:p>
    <w:p w14:paraId="57044407">
      <w:pPr>
        <w:pStyle w:val="60"/>
        <w:ind w:firstLine="0" w:firstLineChars="0"/>
        <w:rPr>
          <w:rFonts w:ascii="黑体" w:hAnsi="黑体" w:eastAsia="黑体" w:cs="Times New Roman"/>
          <w:color w:val="auto"/>
          <w:sz w:val="32"/>
          <w:szCs w:val="32"/>
        </w:rPr>
      </w:pPr>
    </w:p>
    <w:p w14:paraId="18550B9C">
      <w:pPr>
        <w:pStyle w:val="60"/>
        <w:ind w:firstLine="0" w:firstLineChars="0"/>
        <w:rPr>
          <w:rFonts w:ascii="黑体" w:hAnsi="黑体" w:eastAsia="黑体" w:cs="Times New Roman"/>
          <w:color w:val="auto"/>
          <w:sz w:val="32"/>
          <w:szCs w:val="32"/>
        </w:rPr>
      </w:pPr>
    </w:p>
    <w:p w14:paraId="35FB0742">
      <w:pPr>
        <w:pStyle w:val="60"/>
        <w:ind w:firstLine="0" w:firstLineChars="0"/>
        <w:rPr>
          <w:rFonts w:ascii="黑体" w:hAnsi="黑体" w:eastAsia="黑体" w:cs="Times New Roman"/>
          <w:color w:val="auto"/>
          <w:sz w:val="32"/>
          <w:szCs w:val="32"/>
        </w:rPr>
      </w:pPr>
    </w:p>
    <w:p w14:paraId="76BF8C6F">
      <w:pPr>
        <w:pStyle w:val="60"/>
        <w:ind w:firstLine="0" w:firstLineChars="0"/>
        <w:rPr>
          <w:rFonts w:ascii="黑体" w:hAnsi="黑体" w:eastAsia="黑体" w:cs="Times New Roman"/>
          <w:color w:val="auto"/>
          <w:sz w:val="32"/>
          <w:szCs w:val="32"/>
        </w:rPr>
      </w:pPr>
    </w:p>
    <w:p w14:paraId="71F3BC3A">
      <w:pPr>
        <w:pStyle w:val="60"/>
        <w:ind w:firstLine="0" w:firstLineChars="0"/>
        <w:rPr>
          <w:rFonts w:ascii="黑体" w:hAnsi="黑体" w:eastAsia="黑体" w:cs="Times New Roman"/>
          <w:color w:val="auto"/>
          <w:sz w:val="32"/>
          <w:szCs w:val="32"/>
        </w:rPr>
      </w:pPr>
    </w:p>
    <w:p w14:paraId="03FAE9A4">
      <w:pPr>
        <w:pStyle w:val="60"/>
        <w:ind w:firstLine="0" w:firstLineChars="0"/>
        <w:rPr>
          <w:rFonts w:ascii="黑体" w:hAnsi="黑体" w:eastAsia="黑体" w:cs="Times New Roman"/>
          <w:color w:val="auto"/>
          <w:sz w:val="32"/>
          <w:szCs w:val="32"/>
        </w:rPr>
      </w:pPr>
    </w:p>
    <w:p w14:paraId="042F11B6">
      <w:pPr>
        <w:pStyle w:val="60"/>
        <w:ind w:firstLine="0" w:firstLineChars="0"/>
        <w:rPr>
          <w:rFonts w:ascii="黑体" w:hAnsi="黑体" w:eastAsia="黑体" w:cs="Times New Roman"/>
          <w:color w:val="auto"/>
          <w:sz w:val="32"/>
          <w:szCs w:val="32"/>
        </w:rPr>
      </w:pPr>
    </w:p>
    <w:p w14:paraId="575D7FBB">
      <w:pPr>
        <w:rPr>
          <w:rFonts w:ascii="仿宋" w:hAnsi="仿宋" w:eastAsia="仿宋" w:cs="仿宋"/>
          <w:color w:val="auto"/>
        </w:rPr>
      </w:pPr>
      <w:bookmarkStart w:id="694" w:name="_Toc13551"/>
      <w:bookmarkStart w:id="695" w:name="_Toc6164"/>
      <w:bookmarkStart w:id="696" w:name="_Toc11189"/>
      <w:bookmarkStart w:id="697" w:name="_Toc5247"/>
      <w:bookmarkStart w:id="698" w:name="_Toc28620"/>
      <w:bookmarkStart w:id="699" w:name="_Toc27965"/>
      <w:bookmarkStart w:id="700" w:name="_Toc14393"/>
      <w:bookmarkStart w:id="701" w:name="_Toc26017"/>
      <w:bookmarkStart w:id="702" w:name="_Toc15271"/>
      <w:bookmarkStart w:id="703" w:name="_Toc28261"/>
      <w:bookmarkStart w:id="704" w:name="_Toc29376"/>
      <w:bookmarkStart w:id="705" w:name="_Toc23720"/>
      <w:bookmarkStart w:id="706" w:name="_Toc5710"/>
      <w:bookmarkStart w:id="707" w:name="_Toc12270"/>
      <w:bookmarkStart w:id="708" w:name="_Toc8061"/>
      <w:bookmarkStart w:id="709" w:name="_Toc28505"/>
      <w:bookmarkStart w:id="710" w:name="_Toc5708"/>
    </w:p>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p w14:paraId="310709AF">
      <w:pPr>
        <w:pStyle w:val="62"/>
        <w:jc w:val="both"/>
        <w:outlineLvl w:val="2"/>
        <w:rPr>
          <w:rFonts w:ascii="仿宋" w:hAnsi="仿宋" w:eastAsia="仿宋" w:cs="Times New Roman"/>
          <w:color w:val="auto"/>
        </w:rPr>
      </w:pPr>
      <w:bookmarkStart w:id="711" w:name="_Toc7804"/>
      <w:bookmarkEnd w:id="711"/>
      <w:bookmarkStart w:id="712" w:name="_Toc3862"/>
      <w:bookmarkEnd w:id="712"/>
      <w:bookmarkStart w:id="713" w:name="_Toc2793"/>
      <w:bookmarkEnd w:id="713"/>
      <w:bookmarkStart w:id="714" w:name="_Toc10442"/>
      <w:bookmarkEnd w:id="714"/>
      <w:r>
        <w:rPr>
          <w:rFonts w:hint="eastAsia" w:ascii="仿宋" w:hAnsi="仿宋" w:eastAsia="仿宋" w:cs="仿宋"/>
          <w:color w:val="auto"/>
        </w:rPr>
        <w:br w:type="page"/>
      </w:r>
      <w:r>
        <w:rPr>
          <w:rFonts w:hint="eastAsia" w:ascii="仿宋" w:hAnsi="仿宋" w:eastAsia="仿宋" w:cs="仿宋"/>
          <w:color w:val="auto"/>
        </w:rPr>
        <w:t>二、开标一览表</w:t>
      </w:r>
    </w:p>
    <w:p w14:paraId="4AD14E7C">
      <w:pPr>
        <w:spacing w:line="600" w:lineRule="exact"/>
        <w:jc w:val="left"/>
        <w:rPr>
          <w:rFonts w:cs="Times New Roman"/>
          <w:color w:val="auto"/>
        </w:rPr>
      </w:pPr>
      <w:r>
        <w:rPr>
          <w:rFonts w:hint="eastAsia" w:cs="华文仿宋"/>
          <w:color w:val="auto"/>
        </w:rPr>
        <w:t>项目编号：</w:t>
      </w:r>
    </w:p>
    <w:p w14:paraId="1B62BE2A">
      <w:pPr>
        <w:spacing w:line="600" w:lineRule="exact"/>
        <w:jc w:val="left"/>
        <w:rPr>
          <w:rFonts w:hint="eastAsia" w:cs="华文仿宋"/>
          <w:color w:val="auto"/>
        </w:rPr>
      </w:pPr>
      <w:r>
        <w:rPr>
          <w:rFonts w:hint="eastAsia" w:cs="华文仿宋"/>
          <w:color w:val="auto"/>
        </w:rPr>
        <w:t>项目名称：</w:t>
      </w:r>
    </w:p>
    <w:p w14:paraId="785B2220">
      <w:pPr>
        <w:spacing w:line="440" w:lineRule="exact"/>
        <w:ind w:right="560"/>
        <w:jc w:val="right"/>
        <w:rPr>
          <w:rFonts w:ascii="仿宋" w:hAnsi="仿宋" w:eastAsia="仿宋" w:cs="Times New Roman"/>
          <w:color w:val="auto"/>
          <w:sz w:val="24"/>
          <w:szCs w:val="24"/>
        </w:rPr>
      </w:pPr>
    </w:p>
    <w:tbl>
      <w:tblPr>
        <w:tblStyle w:val="29"/>
        <w:tblW w:w="86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2865"/>
        <w:gridCol w:w="5752"/>
      </w:tblGrid>
      <w:tr w14:paraId="3D440E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759" w:hRule="atLeast"/>
          <w:jc w:val="center"/>
        </w:trPr>
        <w:tc>
          <w:tcPr>
            <w:tcW w:w="2865" w:type="dxa"/>
            <w:noWrap/>
            <w:vAlign w:val="center"/>
          </w:tcPr>
          <w:p w14:paraId="7089FDD9">
            <w:pPr>
              <w:pStyle w:val="7"/>
              <w:spacing w:line="360" w:lineRule="auto"/>
              <w:ind w:firstLine="0"/>
              <w:jc w:val="center"/>
              <w:rPr>
                <w:rFonts w:ascii="宋体" w:eastAsia="宋体" w:cs="Times New Roman"/>
                <w:color w:val="auto"/>
              </w:rPr>
            </w:pPr>
          </w:p>
        </w:tc>
        <w:tc>
          <w:tcPr>
            <w:tcW w:w="5752" w:type="dxa"/>
            <w:noWrap/>
            <w:vAlign w:val="center"/>
          </w:tcPr>
          <w:p w14:paraId="26EF3F4D">
            <w:pPr>
              <w:autoSpaceDE w:val="0"/>
              <w:autoSpaceDN w:val="0"/>
              <w:spacing w:line="360" w:lineRule="auto"/>
              <w:jc w:val="center"/>
              <w:rPr>
                <w:rFonts w:ascii="宋体" w:eastAsia="宋体" w:cs="Times New Roman"/>
                <w:color w:val="auto"/>
                <w:kern w:val="0"/>
                <w:lang w:val="zh-CN"/>
              </w:rPr>
            </w:pPr>
            <w:r>
              <w:rPr>
                <w:rFonts w:hint="eastAsia" w:ascii="宋体" w:hAnsi="宋体" w:cs="华文仿宋"/>
                <w:color w:val="auto"/>
                <w:kern w:val="0"/>
                <w:lang w:val="zh-CN"/>
              </w:rPr>
              <w:t>内容</w:t>
            </w:r>
          </w:p>
        </w:tc>
      </w:tr>
      <w:tr w14:paraId="6DD6A9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14" w:hRule="atLeast"/>
          <w:jc w:val="center"/>
        </w:trPr>
        <w:tc>
          <w:tcPr>
            <w:tcW w:w="2865" w:type="dxa"/>
            <w:noWrap/>
            <w:vAlign w:val="center"/>
          </w:tcPr>
          <w:p w14:paraId="314DBBA6">
            <w:pPr>
              <w:pStyle w:val="7"/>
              <w:spacing w:line="360" w:lineRule="auto"/>
              <w:ind w:firstLine="0"/>
              <w:jc w:val="center"/>
              <w:rPr>
                <w:rFonts w:ascii="宋体" w:eastAsia="宋体" w:cs="Times New Roman"/>
                <w:color w:val="auto"/>
              </w:rPr>
            </w:pPr>
            <w:r>
              <w:rPr>
                <w:rFonts w:hint="eastAsia" w:ascii="宋体" w:hAnsi="宋体" w:cs="华文仿宋"/>
                <w:color w:val="auto"/>
              </w:rPr>
              <w:t>投标报价</w:t>
            </w:r>
          </w:p>
        </w:tc>
        <w:tc>
          <w:tcPr>
            <w:tcW w:w="5752" w:type="dxa"/>
            <w:noWrap/>
            <w:vAlign w:val="center"/>
          </w:tcPr>
          <w:p w14:paraId="0947C59C">
            <w:pPr>
              <w:autoSpaceDE w:val="0"/>
              <w:autoSpaceDN w:val="0"/>
              <w:spacing w:line="360" w:lineRule="auto"/>
              <w:rPr>
                <w:rFonts w:ascii="宋体" w:hAnsi="宋体" w:cs="华文仿宋"/>
                <w:color w:val="auto"/>
                <w:kern w:val="0"/>
                <w:lang w:val="zh-CN"/>
              </w:rPr>
            </w:pPr>
          </w:p>
          <w:p w14:paraId="54BD9B1B">
            <w:pPr>
              <w:autoSpaceDE w:val="0"/>
              <w:autoSpaceDN w:val="0"/>
              <w:spacing w:line="360" w:lineRule="auto"/>
              <w:rPr>
                <w:rFonts w:hint="eastAsia" w:ascii="宋体" w:hAnsi="宋体" w:cs="华文仿宋"/>
                <w:color w:val="auto"/>
                <w:kern w:val="0"/>
                <w:lang w:val="zh-CN"/>
              </w:rPr>
            </w:pPr>
            <w:r>
              <w:rPr>
                <w:rFonts w:hint="eastAsia" w:ascii="宋体" w:hAnsi="宋体" w:cs="华文仿宋"/>
                <w:color w:val="auto"/>
                <w:kern w:val="0"/>
                <w:lang w:val="zh-CN"/>
              </w:rPr>
              <w:t>小写：</w:t>
            </w:r>
          </w:p>
          <w:p w14:paraId="40FBA305">
            <w:pPr>
              <w:autoSpaceDE w:val="0"/>
              <w:autoSpaceDN w:val="0"/>
              <w:spacing w:line="360" w:lineRule="auto"/>
              <w:rPr>
                <w:rFonts w:hint="eastAsia" w:ascii="宋体" w:hAnsi="宋体" w:cs="华文仿宋"/>
                <w:color w:val="auto"/>
                <w:kern w:val="0"/>
                <w:lang w:val="en-US" w:eastAsia="zh-CN"/>
              </w:rPr>
            </w:pPr>
            <w:r>
              <w:rPr>
                <w:rFonts w:hint="eastAsia" w:ascii="宋体" w:hAnsi="宋体" w:cs="华文仿宋"/>
                <w:color w:val="auto"/>
                <w:kern w:val="0"/>
                <w:lang w:val="en-US" w:eastAsia="zh-CN"/>
              </w:rPr>
              <w:t>大写：</w:t>
            </w:r>
          </w:p>
          <w:p w14:paraId="65E9DCF8">
            <w:pPr>
              <w:autoSpaceDE w:val="0"/>
              <w:autoSpaceDN w:val="0"/>
              <w:spacing w:line="360" w:lineRule="auto"/>
              <w:ind w:firstLine="4374" w:firstLineChars="1800"/>
              <w:rPr>
                <w:rFonts w:ascii="宋体" w:eastAsia="宋体" w:cs="Times New Roman"/>
                <w:color w:val="auto"/>
                <w:kern w:val="0"/>
                <w:lang w:val="zh-CN"/>
              </w:rPr>
            </w:pPr>
            <w:r>
              <w:rPr>
                <w:rFonts w:hint="eastAsia" w:ascii="仿宋" w:hAnsi="仿宋" w:eastAsia="仿宋" w:cs="仿宋"/>
                <w:color w:val="auto"/>
                <w:sz w:val="24"/>
                <w:szCs w:val="24"/>
              </w:rPr>
              <w:t>单位：元</w:t>
            </w:r>
          </w:p>
        </w:tc>
      </w:tr>
    </w:tbl>
    <w:p w14:paraId="22232D7F">
      <w:pPr>
        <w:autoSpaceDE w:val="0"/>
        <w:autoSpaceDN w:val="0"/>
        <w:spacing w:line="240" w:lineRule="auto"/>
        <w:ind w:firstLine="213" w:firstLineChars="100"/>
        <w:rPr>
          <w:rFonts w:hint="eastAsia" w:ascii="宋体" w:hAnsi="宋体" w:eastAsia="宋体" w:cs="宋体"/>
          <w:color w:val="auto"/>
          <w:kern w:val="0"/>
          <w:sz w:val="21"/>
          <w:szCs w:val="21"/>
        </w:rPr>
      </w:pPr>
    </w:p>
    <w:p w14:paraId="2486F1C7">
      <w:pPr>
        <w:spacing w:line="600" w:lineRule="exact"/>
        <w:jc w:val="left"/>
        <w:rPr>
          <w:rFonts w:hint="eastAsia" w:cs="华文仿宋"/>
          <w:color w:val="auto"/>
        </w:rPr>
      </w:pPr>
      <w:r>
        <w:rPr>
          <w:rFonts w:hint="eastAsia" w:cs="华文仿宋"/>
          <w:color w:val="auto"/>
        </w:rPr>
        <w:t>供应商：</w:t>
      </w:r>
      <w:r>
        <w:rPr>
          <w:rFonts w:hint="eastAsia" w:cs="华文仿宋"/>
          <w:color w:val="auto"/>
          <w:u w:val="single"/>
          <w:lang w:val="en-US" w:eastAsia="zh-CN"/>
        </w:rPr>
        <w:t xml:space="preserve">        </w:t>
      </w:r>
      <w:r>
        <w:rPr>
          <w:rFonts w:hint="eastAsia" w:ascii="华文仿宋" w:hAnsi="华文仿宋" w:cs="华文仿宋"/>
          <w:color w:val="auto"/>
          <w:u w:val="single"/>
        </w:rPr>
        <w:t>名称</w:t>
      </w:r>
      <w:r>
        <w:rPr>
          <w:rFonts w:hint="eastAsia" w:cs="华文仿宋"/>
          <w:color w:val="auto"/>
          <w:u w:val="single"/>
          <w:lang w:val="en-US" w:eastAsia="zh-CN"/>
        </w:rPr>
        <w:t xml:space="preserve">         </w:t>
      </w:r>
      <w:r>
        <w:rPr>
          <w:rFonts w:hint="eastAsia" w:cs="华文仿宋"/>
          <w:color w:val="auto"/>
        </w:rPr>
        <w:t>（加盖公章）</w:t>
      </w:r>
    </w:p>
    <w:p w14:paraId="3412989C">
      <w:pPr>
        <w:spacing w:line="600" w:lineRule="exact"/>
        <w:jc w:val="left"/>
        <w:rPr>
          <w:rFonts w:hint="eastAsia" w:cs="华文仿宋"/>
          <w:color w:val="auto"/>
        </w:rPr>
      </w:pPr>
      <w:r>
        <w:rPr>
          <w:rFonts w:hint="eastAsia" w:cs="华文仿宋"/>
          <w:color w:val="auto"/>
        </w:rPr>
        <w:t>日 </w:t>
      </w:r>
      <w:r>
        <w:rPr>
          <w:rFonts w:hint="eastAsia" w:cs="华文仿宋"/>
          <w:color w:val="auto"/>
          <w:lang w:val="en-US" w:eastAsia="zh-CN"/>
        </w:rPr>
        <w:t xml:space="preserve">  </w:t>
      </w:r>
      <w:r>
        <w:rPr>
          <w:rFonts w:hint="eastAsia" w:cs="华文仿宋"/>
          <w:color w:val="auto"/>
        </w:rPr>
        <w:t>期：</w:t>
      </w:r>
      <w:r>
        <w:rPr>
          <w:rFonts w:hint="eastAsia" w:cs="华文仿宋"/>
          <w:color w:val="auto"/>
          <w:lang w:val="en-US" w:eastAsia="zh-CN"/>
        </w:rPr>
        <w:t xml:space="preserve">       </w:t>
      </w:r>
      <w:r>
        <w:rPr>
          <w:rFonts w:hint="eastAsia" w:cs="华文仿宋"/>
          <w:color w:val="auto"/>
        </w:rPr>
        <w:t>年</w:t>
      </w:r>
      <w:r>
        <w:rPr>
          <w:rFonts w:hint="eastAsia" w:cs="华文仿宋"/>
          <w:color w:val="auto"/>
          <w:lang w:val="en-US" w:eastAsia="zh-CN"/>
        </w:rPr>
        <w:t xml:space="preserve">    </w:t>
      </w:r>
      <w:r>
        <w:rPr>
          <w:rFonts w:hint="eastAsia" w:cs="华文仿宋"/>
          <w:color w:val="auto"/>
        </w:rPr>
        <w:t>　月　</w:t>
      </w:r>
      <w:r>
        <w:rPr>
          <w:rFonts w:hint="eastAsia" w:cs="华文仿宋"/>
          <w:color w:val="auto"/>
          <w:lang w:val="en-US" w:eastAsia="zh-CN"/>
        </w:rPr>
        <w:t xml:space="preserve">  </w:t>
      </w:r>
      <w:r>
        <w:rPr>
          <w:rFonts w:hint="eastAsia" w:cs="华文仿宋"/>
          <w:color w:val="auto"/>
        </w:rPr>
        <w:t>日</w:t>
      </w:r>
    </w:p>
    <w:p w14:paraId="572B4467">
      <w:pPr>
        <w:pStyle w:val="25"/>
        <w:keepNext w:val="0"/>
        <w:keepLines w:val="0"/>
        <w:widowControl/>
        <w:suppressLineNumbers w:val="0"/>
        <w:wordWrap w:val="0"/>
        <w:spacing w:before="0" w:beforeAutospacing="0" w:after="0" w:afterAutospacing="0" w:line="390" w:lineRule="atLeast"/>
        <w:ind w:left="0" w:right="0" w:firstLine="243" w:firstLineChars="100"/>
        <w:rPr>
          <w:rFonts w:hint="default" w:eastAsia="微软雅黑"/>
          <w:lang w:val="en-US" w:eastAsia="zh-CN"/>
        </w:rPr>
      </w:pPr>
    </w:p>
    <w:p w14:paraId="41A96838">
      <w:pPr>
        <w:spacing w:line="600" w:lineRule="exact"/>
        <w:jc w:val="left"/>
        <w:rPr>
          <w:rFonts w:hint="eastAsia" w:cs="华文仿宋"/>
          <w:color w:val="auto"/>
        </w:rPr>
      </w:pPr>
      <w:r>
        <w:rPr>
          <w:rFonts w:hint="eastAsia" w:cs="华文仿宋"/>
          <w:color w:val="auto"/>
        </w:rPr>
        <w:t>备注</w:t>
      </w:r>
      <w:r>
        <w:rPr>
          <w:rFonts w:hint="eastAsia" w:cs="华文仿宋"/>
          <w:color w:val="auto"/>
          <w:lang w:val="zh-CN"/>
        </w:rPr>
        <w:t>：“投标报价”为</w:t>
      </w:r>
      <w:r>
        <w:rPr>
          <w:rFonts w:hint="eastAsia" w:cs="华文仿宋"/>
          <w:color w:val="auto"/>
        </w:rPr>
        <w:t>投标总价</w:t>
      </w:r>
      <w:r>
        <w:rPr>
          <w:rFonts w:hint="eastAsia" w:cs="华文仿宋"/>
          <w:color w:val="auto"/>
          <w:lang w:val="zh-CN"/>
        </w:rPr>
        <w:t>。</w:t>
      </w:r>
      <w:r>
        <w:rPr>
          <w:rFonts w:hint="eastAsia" w:cs="华文仿宋"/>
          <w:color w:val="auto"/>
        </w:rPr>
        <w:t>投标</w:t>
      </w:r>
      <w:r>
        <w:rPr>
          <w:rFonts w:hint="eastAsia" w:cs="华文仿宋"/>
          <w:color w:val="auto"/>
          <w:lang w:val="zh-CN"/>
        </w:rPr>
        <w:t>报价必须包括本项目所需全部费用。</w:t>
      </w:r>
    </w:p>
    <w:p w14:paraId="573CFA3F">
      <w:pPr>
        <w:autoSpaceDE w:val="0"/>
        <w:autoSpaceDN w:val="0"/>
        <w:spacing w:line="240" w:lineRule="auto"/>
        <w:rPr>
          <w:rFonts w:ascii="宋体" w:hAnsi="宋体" w:eastAsia="宋体" w:cs="Times New Roman"/>
          <w:b/>
          <w:bCs/>
          <w:color w:val="auto"/>
          <w:kern w:val="0"/>
          <w:sz w:val="21"/>
          <w:szCs w:val="21"/>
        </w:rPr>
      </w:pPr>
    </w:p>
    <w:p w14:paraId="6A965E17">
      <w:pPr>
        <w:autoSpaceDE w:val="0"/>
        <w:autoSpaceDN w:val="0"/>
        <w:spacing w:line="240" w:lineRule="auto"/>
        <w:rPr>
          <w:color w:val="auto"/>
        </w:rPr>
        <w:sectPr>
          <w:headerReference r:id="rId11" w:type="default"/>
          <w:footerReference r:id="rId12" w:type="default"/>
          <w:pgSz w:w="11906" w:h="16838"/>
          <w:pgMar w:top="1304" w:right="1417" w:bottom="1304" w:left="1417" w:header="850" w:footer="794" w:gutter="0"/>
          <w:pgNumType w:fmt="decimal" w:start="80" w:chapStyle="1"/>
          <w:cols w:space="720" w:num="1"/>
          <w:docGrid w:type="linesAndChars" w:linePitch="381" w:charSpace="704"/>
        </w:sectPr>
      </w:pPr>
    </w:p>
    <w:p w14:paraId="3CD29190">
      <w:pPr>
        <w:spacing w:beforeLines="50" w:afterLines="50" w:line="500" w:lineRule="exact"/>
        <w:jc w:val="center"/>
        <w:rPr>
          <w:rFonts w:ascii="仿宋" w:hAnsi="仿宋" w:eastAsia="仿宋"/>
          <w:b/>
          <w:bCs/>
          <w:color w:val="000000"/>
          <w:sz w:val="32"/>
          <w:szCs w:val="32"/>
        </w:rPr>
      </w:pPr>
      <w:bookmarkStart w:id="715" w:name="_Toc14400"/>
      <w:bookmarkStart w:id="716" w:name="_Toc8261"/>
      <w:bookmarkStart w:id="717" w:name="_Toc15616"/>
      <w:bookmarkStart w:id="718" w:name="_Toc20205"/>
      <w:bookmarkStart w:id="719" w:name="_Toc254"/>
      <w:bookmarkStart w:id="720" w:name="_Toc31637"/>
      <w:bookmarkStart w:id="721" w:name="_Toc7134"/>
      <w:bookmarkStart w:id="722" w:name="_Toc14671"/>
      <w:bookmarkStart w:id="723" w:name="_Toc13111"/>
      <w:bookmarkStart w:id="724" w:name="_Toc24803"/>
      <w:bookmarkStart w:id="725" w:name="_Toc17971"/>
      <w:bookmarkStart w:id="726" w:name="_Toc28017"/>
      <w:bookmarkStart w:id="727" w:name="_Toc24777"/>
      <w:bookmarkStart w:id="728" w:name="_Toc26160"/>
      <w:bookmarkStart w:id="729" w:name="_Toc10363"/>
      <w:bookmarkStart w:id="730" w:name="_Toc1699"/>
      <w:bookmarkStart w:id="731" w:name="_Toc17458"/>
      <w:bookmarkStart w:id="732" w:name="_Toc24858"/>
      <w:r>
        <w:rPr>
          <w:rFonts w:hint="eastAsia" w:ascii="仿宋" w:hAnsi="仿宋" w:eastAsia="仿宋"/>
          <w:b/>
          <w:bCs/>
          <w:color w:val="000000"/>
          <w:sz w:val="32"/>
          <w:szCs w:val="32"/>
        </w:rPr>
        <w:t>分项报价表</w:t>
      </w:r>
    </w:p>
    <w:tbl>
      <w:tblPr>
        <w:tblStyle w:val="29"/>
        <w:tblW w:w="9009" w:type="dxa"/>
        <w:jc w:val="center"/>
        <w:tblLayout w:type="fixed"/>
        <w:tblCellMar>
          <w:top w:w="0" w:type="dxa"/>
          <w:left w:w="28" w:type="dxa"/>
          <w:bottom w:w="0" w:type="dxa"/>
          <w:right w:w="28" w:type="dxa"/>
        </w:tblCellMar>
      </w:tblPr>
      <w:tblGrid>
        <w:gridCol w:w="713"/>
        <w:gridCol w:w="1250"/>
        <w:gridCol w:w="1162"/>
        <w:gridCol w:w="1265"/>
        <w:gridCol w:w="1124"/>
        <w:gridCol w:w="839"/>
        <w:gridCol w:w="1735"/>
        <w:gridCol w:w="921"/>
      </w:tblGrid>
      <w:tr w14:paraId="6DCBB94C">
        <w:tblPrEx>
          <w:tblCellMar>
            <w:top w:w="0" w:type="dxa"/>
            <w:left w:w="28" w:type="dxa"/>
            <w:bottom w:w="0" w:type="dxa"/>
            <w:right w:w="28" w:type="dxa"/>
          </w:tblCellMar>
        </w:tblPrEx>
        <w:trPr>
          <w:trHeight w:val="1274" w:hRule="atLeast"/>
          <w:jc w:val="center"/>
        </w:trPr>
        <w:tc>
          <w:tcPr>
            <w:tcW w:w="713" w:type="dxa"/>
            <w:tcBorders>
              <w:top w:val="single" w:color="000000" w:sz="8" w:space="0"/>
              <w:left w:val="single" w:color="000000" w:sz="8" w:space="0"/>
              <w:bottom w:val="single" w:color="000000" w:sz="6" w:space="0"/>
              <w:right w:val="single" w:color="000000" w:sz="6" w:space="0"/>
            </w:tcBorders>
            <w:vAlign w:val="center"/>
          </w:tcPr>
          <w:p w14:paraId="4A061123">
            <w:pPr>
              <w:widowControl w:val="0"/>
              <w:autoSpaceDE w:val="0"/>
              <w:autoSpaceDN w:val="0"/>
              <w:spacing w:line="240" w:lineRule="auto"/>
              <w:jc w:val="center"/>
              <w:rPr>
                <w:rFonts w:ascii="仿宋" w:hAnsi="仿宋" w:eastAsia="仿宋" w:cs="仿宋"/>
                <w:b/>
                <w:bCs/>
                <w:color w:val="000000"/>
                <w:kern w:val="0"/>
                <w:sz w:val="24"/>
                <w:szCs w:val="24"/>
                <w:lang w:val="zh-CN"/>
              </w:rPr>
            </w:pPr>
            <w:r>
              <w:rPr>
                <w:rFonts w:hint="eastAsia" w:ascii="仿宋" w:hAnsi="仿宋" w:eastAsia="仿宋" w:cs="仿宋"/>
                <w:b/>
                <w:bCs/>
                <w:color w:val="000000"/>
                <w:kern w:val="0"/>
                <w:sz w:val="24"/>
                <w:szCs w:val="24"/>
                <w:lang w:val="zh-CN"/>
              </w:rPr>
              <w:t>序号</w:t>
            </w:r>
          </w:p>
        </w:tc>
        <w:tc>
          <w:tcPr>
            <w:tcW w:w="1250" w:type="dxa"/>
            <w:tcBorders>
              <w:top w:val="single" w:color="000000" w:sz="8" w:space="0"/>
              <w:left w:val="single" w:color="000000" w:sz="6" w:space="0"/>
              <w:bottom w:val="single" w:color="000000" w:sz="6" w:space="0"/>
              <w:right w:val="single" w:color="000000" w:sz="6" w:space="0"/>
            </w:tcBorders>
            <w:vAlign w:val="center"/>
          </w:tcPr>
          <w:p w14:paraId="66865076">
            <w:pPr>
              <w:widowControl w:val="0"/>
              <w:autoSpaceDE w:val="0"/>
              <w:autoSpaceDN w:val="0"/>
              <w:spacing w:line="240" w:lineRule="auto"/>
              <w:jc w:val="center"/>
              <w:rPr>
                <w:rFonts w:ascii="仿宋" w:hAnsi="仿宋" w:eastAsia="仿宋" w:cs="仿宋"/>
                <w:b/>
                <w:bCs/>
                <w:color w:val="000000"/>
                <w:kern w:val="0"/>
                <w:sz w:val="24"/>
                <w:szCs w:val="24"/>
              </w:rPr>
            </w:pPr>
            <w:r>
              <w:rPr>
                <w:rFonts w:hint="eastAsia" w:ascii="仿宋" w:hAnsi="仿宋" w:eastAsia="仿宋" w:cs="仿宋"/>
                <w:b/>
                <w:bCs/>
                <w:color w:val="000000"/>
                <w:kern w:val="0"/>
                <w:sz w:val="24"/>
                <w:szCs w:val="24"/>
              </w:rPr>
              <w:t>服务名称</w:t>
            </w:r>
          </w:p>
        </w:tc>
        <w:tc>
          <w:tcPr>
            <w:tcW w:w="1162" w:type="dxa"/>
            <w:tcBorders>
              <w:top w:val="single" w:color="000000" w:sz="8" w:space="0"/>
              <w:left w:val="single" w:color="000000" w:sz="6" w:space="0"/>
              <w:bottom w:val="single" w:color="000000" w:sz="6" w:space="0"/>
              <w:right w:val="single" w:color="000000" w:sz="6" w:space="0"/>
            </w:tcBorders>
            <w:vAlign w:val="center"/>
          </w:tcPr>
          <w:p w14:paraId="5ABD517F">
            <w:pPr>
              <w:pStyle w:val="62"/>
              <w:widowControl w:val="0"/>
              <w:spacing w:line="240" w:lineRule="auto"/>
              <w:ind w:firstLine="0" w:firstLineChars="0"/>
              <w:rPr>
                <w:rFonts w:ascii="仿宋" w:hAnsi="仿宋" w:eastAsia="仿宋" w:cs="仿宋"/>
                <w:b w:val="0"/>
                <w:bCs w:val="0"/>
                <w:color w:val="000000"/>
                <w:kern w:val="0"/>
                <w:sz w:val="24"/>
                <w:szCs w:val="24"/>
              </w:rPr>
            </w:pPr>
            <w:bookmarkStart w:id="733" w:name="_Toc16202"/>
            <w:bookmarkStart w:id="734" w:name="_Toc16359"/>
            <w:bookmarkStart w:id="735" w:name="_Toc32559"/>
            <w:bookmarkStart w:id="736" w:name="_Toc28616"/>
            <w:r>
              <w:rPr>
                <w:rFonts w:hint="eastAsia" w:ascii="仿宋" w:hAnsi="仿宋" w:eastAsia="仿宋" w:cs="仿宋"/>
                <w:bCs w:val="0"/>
                <w:color w:val="000000"/>
                <w:sz w:val="24"/>
                <w:szCs w:val="24"/>
              </w:rPr>
              <w:t>计量单位</w:t>
            </w:r>
            <w:bookmarkEnd w:id="733"/>
            <w:bookmarkEnd w:id="734"/>
            <w:bookmarkEnd w:id="735"/>
            <w:bookmarkEnd w:id="736"/>
          </w:p>
        </w:tc>
        <w:tc>
          <w:tcPr>
            <w:tcW w:w="1265" w:type="dxa"/>
            <w:tcBorders>
              <w:top w:val="single" w:color="000000" w:sz="8" w:space="0"/>
              <w:left w:val="single" w:color="000000" w:sz="6" w:space="0"/>
              <w:bottom w:val="single" w:color="000000" w:sz="6" w:space="0"/>
              <w:right w:val="single" w:color="000000" w:sz="6" w:space="0"/>
            </w:tcBorders>
            <w:vAlign w:val="center"/>
          </w:tcPr>
          <w:p w14:paraId="61545302">
            <w:pPr>
              <w:pStyle w:val="62"/>
              <w:widowControl w:val="0"/>
              <w:spacing w:line="240" w:lineRule="auto"/>
              <w:ind w:firstLine="0" w:firstLineChars="0"/>
              <w:rPr>
                <w:rFonts w:ascii="仿宋" w:hAnsi="仿宋" w:eastAsia="仿宋" w:cs="仿宋"/>
                <w:b w:val="0"/>
                <w:bCs w:val="0"/>
                <w:color w:val="000000"/>
                <w:kern w:val="0"/>
                <w:sz w:val="24"/>
                <w:szCs w:val="24"/>
                <w:lang w:val="zh-CN"/>
              </w:rPr>
            </w:pPr>
            <w:bookmarkStart w:id="737" w:name="_Toc29236"/>
            <w:bookmarkStart w:id="738" w:name="_Toc4371"/>
            <w:bookmarkStart w:id="739" w:name="_Toc26417"/>
            <w:bookmarkStart w:id="740" w:name="_Toc5340"/>
            <w:r>
              <w:rPr>
                <w:rFonts w:hint="eastAsia" w:ascii="仿宋" w:hAnsi="仿宋" w:eastAsia="仿宋" w:cs="仿宋"/>
                <w:bCs w:val="0"/>
                <w:color w:val="000000"/>
                <w:sz w:val="24"/>
                <w:szCs w:val="24"/>
              </w:rPr>
              <w:t>具体要求说明</w:t>
            </w:r>
            <w:bookmarkEnd w:id="737"/>
            <w:bookmarkEnd w:id="738"/>
            <w:bookmarkEnd w:id="739"/>
            <w:bookmarkEnd w:id="740"/>
          </w:p>
        </w:tc>
        <w:tc>
          <w:tcPr>
            <w:tcW w:w="1124" w:type="dxa"/>
            <w:tcBorders>
              <w:top w:val="single" w:color="000000" w:sz="8" w:space="0"/>
              <w:left w:val="single" w:color="000000" w:sz="6" w:space="0"/>
              <w:bottom w:val="single" w:color="000000" w:sz="6" w:space="0"/>
              <w:right w:val="single" w:color="auto" w:sz="4" w:space="0"/>
            </w:tcBorders>
            <w:vAlign w:val="center"/>
          </w:tcPr>
          <w:p w14:paraId="7B51E5A9">
            <w:pPr>
              <w:pStyle w:val="62"/>
              <w:widowControl w:val="0"/>
              <w:spacing w:line="240" w:lineRule="auto"/>
              <w:ind w:firstLine="0" w:firstLineChars="0"/>
              <w:rPr>
                <w:rFonts w:ascii="仿宋" w:hAnsi="仿宋" w:eastAsia="仿宋" w:cs="仿宋"/>
                <w:b w:val="0"/>
                <w:bCs w:val="0"/>
                <w:color w:val="000000"/>
                <w:kern w:val="0"/>
                <w:sz w:val="24"/>
                <w:szCs w:val="24"/>
              </w:rPr>
            </w:pPr>
            <w:r>
              <w:rPr>
                <w:rFonts w:hint="eastAsia" w:ascii="仿宋" w:hAnsi="仿宋" w:eastAsia="仿宋" w:cs="仿宋"/>
                <w:bCs w:val="0"/>
                <w:sz w:val="24"/>
                <w:szCs w:val="24"/>
              </w:rPr>
              <w:t>单价（元）</w:t>
            </w:r>
          </w:p>
        </w:tc>
        <w:tc>
          <w:tcPr>
            <w:tcW w:w="839" w:type="dxa"/>
            <w:tcBorders>
              <w:top w:val="single" w:color="000000" w:sz="8" w:space="0"/>
              <w:left w:val="single" w:color="auto" w:sz="4" w:space="0"/>
              <w:bottom w:val="single" w:color="000000" w:sz="6" w:space="0"/>
              <w:right w:val="single" w:color="auto" w:sz="4" w:space="0"/>
            </w:tcBorders>
            <w:vAlign w:val="center"/>
          </w:tcPr>
          <w:p w14:paraId="0F4739BC">
            <w:pPr>
              <w:pStyle w:val="62"/>
              <w:widowControl w:val="0"/>
              <w:spacing w:line="240" w:lineRule="auto"/>
              <w:ind w:firstLine="0" w:firstLineChars="0"/>
              <w:rPr>
                <w:rFonts w:ascii="仿宋" w:hAnsi="仿宋" w:eastAsia="仿宋" w:cs="仿宋"/>
                <w:bCs w:val="0"/>
                <w:color w:val="000000"/>
                <w:sz w:val="24"/>
                <w:szCs w:val="24"/>
              </w:rPr>
            </w:pPr>
            <w:bookmarkStart w:id="741" w:name="_Toc24317"/>
            <w:bookmarkStart w:id="742" w:name="_Toc9206"/>
            <w:bookmarkStart w:id="743" w:name="_Toc18908"/>
            <w:bookmarkStart w:id="744" w:name="_Toc14670"/>
            <w:r>
              <w:rPr>
                <w:rFonts w:hint="eastAsia" w:ascii="仿宋" w:hAnsi="仿宋" w:eastAsia="仿宋" w:cs="仿宋"/>
                <w:bCs w:val="0"/>
                <w:color w:val="000000"/>
                <w:sz w:val="24"/>
                <w:szCs w:val="24"/>
              </w:rPr>
              <w:t>数量</w:t>
            </w:r>
          </w:p>
        </w:tc>
        <w:tc>
          <w:tcPr>
            <w:tcW w:w="1735" w:type="dxa"/>
            <w:tcBorders>
              <w:top w:val="single" w:color="000000" w:sz="8" w:space="0"/>
              <w:left w:val="single" w:color="auto" w:sz="4" w:space="0"/>
              <w:bottom w:val="single" w:color="000000" w:sz="6" w:space="0"/>
              <w:right w:val="single" w:color="000000" w:sz="6" w:space="0"/>
            </w:tcBorders>
            <w:vAlign w:val="center"/>
          </w:tcPr>
          <w:p w14:paraId="75021D41">
            <w:pPr>
              <w:pStyle w:val="62"/>
              <w:widowControl w:val="0"/>
              <w:spacing w:line="240" w:lineRule="auto"/>
              <w:ind w:firstLine="0" w:firstLineChars="0"/>
              <w:rPr>
                <w:rFonts w:ascii="仿宋" w:hAnsi="仿宋" w:eastAsia="仿宋" w:cs="仿宋"/>
                <w:bCs w:val="0"/>
                <w:color w:val="000000"/>
                <w:sz w:val="24"/>
                <w:szCs w:val="24"/>
              </w:rPr>
            </w:pPr>
            <w:r>
              <w:rPr>
                <w:rFonts w:hint="eastAsia" w:ascii="仿宋" w:hAnsi="仿宋" w:eastAsia="仿宋" w:cs="仿宋"/>
                <w:bCs w:val="0"/>
                <w:color w:val="000000"/>
                <w:sz w:val="24"/>
                <w:szCs w:val="24"/>
              </w:rPr>
              <w:t>金额（元）</w:t>
            </w:r>
          </w:p>
        </w:tc>
        <w:tc>
          <w:tcPr>
            <w:tcW w:w="921" w:type="dxa"/>
            <w:tcBorders>
              <w:top w:val="single" w:color="000000" w:sz="8" w:space="0"/>
              <w:left w:val="single" w:color="000000" w:sz="6" w:space="0"/>
              <w:bottom w:val="single" w:color="000000" w:sz="6" w:space="0"/>
              <w:right w:val="single" w:color="000000" w:sz="8" w:space="0"/>
            </w:tcBorders>
            <w:vAlign w:val="center"/>
          </w:tcPr>
          <w:p w14:paraId="566D1D87">
            <w:pPr>
              <w:pStyle w:val="62"/>
              <w:widowControl w:val="0"/>
              <w:spacing w:line="240" w:lineRule="auto"/>
              <w:ind w:firstLine="0" w:firstLineChars="0"/>
              <w:rPr>
                <w:rFonts w:ascii="仿宋" w:hAnsi="仿宋" w:eastAsia="仿宋" w:cs="仿宋"/>
                <w:b w:val="0"/>
                <w:bCs w:val="0"/>
                <w:color w:val="000000"/>
                <w:sz w:val="24"/>
                <w:szCs w:val="24"/>
              </w:rPr>
            </w:pPr>
            <w:r>
              <w:rPr>
                <w:rFonts w:hint="eastAsia" w:ascii="仿宋" w:hAnsi="仿宋" w:eastAsia="仿宋" w:cs="仿宋"/>
                <w:bCs w:val="0"/>
                <w:color w:val="000000"/>
                <w:sz w:val="24"/>
                <w:szCs w:val="24"/>
              </w:rPr>
              <w:t>备注</w:t>
            </w:r>
            <w:bookmarkEnd w:id="741"/>
            <w:bookmarkEnd w:id="742"/>
            <w:bookmarkEnd w:id="743"/>
            <w:bookmarkEnd w:id="744"/>
          </w:p>
        </w:tc>
      </w:tr>
      <w:tr w14:paraId="382B3D2C">
        <w:tblPrEx>
          <w:tblCellMar>
            <w:top w:w="0" w:type="dxa"/>
            <w:left w:w="28" w:type="dxa"/>
            <w:bottom w:w="0" w:type="dxa"/>
            <w:right w:w="28" w:type="dxa"/>
          </w:tblCellMar>
        </w:tblPrEx>
        <w:trPr>
          <w:trHeight w:val="375" w:hRule="atLeast"/>
          <w:jc w:val="center"/>
        </w:trPr>
        <w:tc>
          <w:tcPr>
            <w:tcW w:w="713" w:type="dxa"/>
            <w:tcBorders>
              <w:top w:val="single" w:color="000000" w:sz="6" w:space="0"/>
              <w:left w:val="single" w:color="000000" w:sz="8" w:space="0"/>
              <w:bottom w:val="single" w:color="000000" w:sz="6" w:space="0"/>
              <w:right w:val="single" w:color="000000" w:sz="6" w:space="0"/>
            </w:tcBorders>
            <w:vAlign w:val="center"/>
          </w:tcPr>
          <w:p w14:paraId="43398DEC">
            <w:pPr>
              <w:autoSpaceDE w:val="0"/>
              <w:autoSpaceDN w:val="0"/>
              <w:spacing w:line="240" w:lineRule="auto"/>
              <w:jc w:val="center"/>
              <w:rPr>
                <w:rFonts w:ascii="仿宋" w:hAnsi="仿宋" w:eastAsia="仿宋" w:cs="仿宋"/>
                <w:color w:val="000000"/>
                <w:kern w:val="0"/>
                <w:sz w:val="24"/>
                <w:szCs w:val="24"/>
                <w:lang w:val="zh-CN"/>
              </w:rPr>
            </w:pPr>
            <w:r>
              <w:rPr>
                <w:rFonts w:hint="eastAsia" w:ascii="仿宋" w:hAnsi="仿宋" w:eastAsia="仿宋" w:cs="仿宋"/>
                <w:color w:val="000000"/>
                <w:kern w:val="0"/>
                <w:sz w:val="24"/>
                <w:szCs w:val="24"/>
                <w:lang w:val="zh-CN"/>
              </w:rPr>
              <w:t>1</w:t>
            </w:r>
          </w:p>
        </w:tc>
        <w:tc>
          <w:tcPr>
            <w:tcW w:w="1250" w:type="dxa"/>
            <w:tcBorders>
              <w:top w:val="single" w:color="000000" w:sz="6" w:space="0"/>
              <w:left w:val="single" w:color="000000" w:sz="6" w:space="0"/>
              <w:bottom w:val="single" w:color="000000" w:sz="6" w:space="0"/>
              <w:right w:val="single" w:color="000000" w:sz="6" w:space="0"/>
            </w:tcBorders>
            <w:vAlign w:val="center"/>
          </w:tcPr>
          <w:p w14:paraId="2A005BD8">
            <w:pPr>
              <w:autoSpaceDE w:val="0"/>
              <w:autoSpaceDN w:val="0"/>
              <w:spacing w:line="240" w:lineRule="auto"/>
              <w:jc w:val="center"/>
              <w:rPr>
                <w:rFonts w:ascii="仿宋" w:hAnsi="仿宋" w:eastAsia="仿宋" w:cs="仿宋"/>
                <w:color w:val="000000"/>
                <w:kern w:val="0"/>
                <w:sz w:val="24"/>
                <w:szCs w:val="24"/>
                <w:lang w:val="zh-CN"/>
              </w:rPr>
            </w:pPr>
          </w:p>
        </w:tc>
        <w:tc>
          <w:tcPr>
            <w:tcW w:w="1162" w:type="dxa"/>
            <w:tcBorders>
              <w:top w:val="single" w:color="000000" w:sz="6" w:space="0"/>
              <w:left w:val="single" w:color="000000" w:sz="6" w:space="0"/>
              <w:bottom w:val="single" w:color="000000" w:sz="6" w:space="0"/>
              <w:right w:val="single" w:color="000000" w:sz="6" w:space="0"/>
            </w:tcBorders>
            <w:vAlign w:val="center"/>
          </w:tcPr>
          <w:p w14:paraId="6749F583">
            <w:pPr>
              <w:autoSpaceDE w:val="0"/>
              <w:autoSpaceDN w:val="0"/>
              <w:spacing w:line="240" w:lineRule="auto"/>
              <w:jc w:val="center"/>
              <w:rPr>
                <w:rFonts w:ascii="仿宋" w:hAnsi="仿宋" w:eastAsia="仿宋" w:cs="仿宋"/>
                <w:color w:val="000000"/>
                <w:kern w:val="0"/>
                <w:sz w:val="24"/>
                <w:szCs w:val="24"/>
              </w:rPr>
            </w:pPr>
          </w:p>
        </w:tc>
        <w:tc>
          <w:tcPr>
            <w:tcW w:w="1265" w:type="dxa"/>
            <w:tcBorders>
              <w:top w:val="single" w:color="000000" w:sz="6" w:space="0"/>
              <w:left w:val="single" w:color="000000" w:sz="6" w:space="0"/>
              <w:bottom w:val="single" w:color="000000" w:sz="6" w:space="0"/>
              <w:right w:val="single" w:color="000000" w:sz="6" w:space="0"/>
            </w:tcBorders>
            <w:vAlign w:val="center"/>
          </w:tcPr>
          <w:p w14:paraId="541B0772">
            <w:pPr>
              <w:autoSpaceDE w:val="0"/>
              <w:autoSpaceDN w:val="0"/>
              <w:spacing w:line="240" w:lineRule="auto"/>
              <w:jc w:val="center"/>
              <w:rPr>
                <w:rFonts w:ascii="仿宋" w:hAnsi="仿宋" w:eastAsia="仿宋" w:cs="仿宋"/>
                <w:color w:val="000000"/>
                <w:kern w:val="0"/>
                <w:sz w:val="24"/>
                <w:szCs w:val="24"/>
                <w:lang w:val="zh-CN"/>
              </w:rPr>
            </w:pPr>
          </w:p>
        </w:tc>
        <w:tc>
          <w:tcPr>
            <w:tcW w:w="1124" w:type="dxa"/>
            <w:tcBorders>
              <w:top w:val="single" w:color="000000" w:sz="6" w:space="0"/>
              <w:left w:val="single" w:color="000000" w:sz="6" w:space="0"/>
              <w:bottom w:val="single" w:color="000000" w:sz="6" w:space="0"/>
              <w:right w:val="single" w:color="auto" w:sz="4" w:space="0"/>
            </w:tcBorders>
            <w:vAlign w:val="center"/>
          </w:tcPr>
          <w:p w14:paraId="633291FE">
            <w:pPr>
              <w:autoSpaceDE w:val="0"/>
              <w:autoSpaceDN w:val="0"/>
              <w:spacing w:line="240" w:lineRule="auto"/>
              <w:jc w:val="center"/>
              <w:rPr>
                <w:rFonts w:ascii="仿宋" w:hAnsi="仿宋" w:eastAsia="仿宋" w:cs="仿宋"/>
                <w:color w:val="000000"/>
                <w:kern w:val="0"/>
                <w:sz w:val="24"/>
                <w:szCs w:val="24"/>
              </w:rPr>
            </w:pPr>
          </w:p>
        </w:tc>
        <w:tc>
          <w:tcPr>
            <w:tcW w:w="839" w:type="dxa"/>
            <w:tcBorders>
              <w:top w:val="single" w:color="000000" w:sz="6" w:space="0"/>
              <w:left w:val="single" w:color="auto" w:sz="4" w:space="0"/>
              <w:bottom w:val="single" w:color="000000" w:sz="6" w:space="0"/>
              <w:right w:val="single" w:color="auto" w:sz="4" w:space="0"/>
            </w:tcBorders>
            <w:vAlign w:val="center"/>
          </w:tcPr>
          <w:p w14:paraId="21743CDF">
            <w:pPr>
              <w:autoSpaceDE w:val="0"/>
              <w:autoSpaceDN w:val="0"/>
              <w:spacing w:line="240" w:lineRule="auto"/>
              <w:jc w:val="center"/>
              <w:rPr>
                <w:rFonts w:ascii="仿宋" w:hAnsi="仿宋" w:eastAsia="仿宋" w:cs="仿宋"/>
                <w:color w:val="000000"/>
                <w:kern w:val="0"/>
                <w:sz w:val="24"/>
                <w:szCs w:val="24"/>
              </w:rPr>
            </w:pPr>
          </w:p>
        </w:tc>
        <w:tc>
          <w:tcPr>
            <w:tcW w:w="1735" w:type="dxa"/>
            <w:tcBorders>
              <w:top w:val="single" w:color="000000" w:sz="6" w:space="0"/>
              <w:left w:val="single" w:color="auto" w:sz="4" w:space="0"/>
              <w:bottom w:val="single" w:color="000000" w:sz="6" w:space="0"/>
              <w:right w:val="single" w:color="000000" w:sz="6" w:space="0"/>
            </w:tcBorders>
            <w:vAlign w:val="center"/>
          </w:tcPr>
          <w:p w14:paraId="648600E7">
            <w:pPr>
              <w:autoSpaceDE w:val="0"/>
              <w:autoSpaceDN w:val="0"/>
              <w:spacing w:line="240" w:lineRule="auto"/>
              <w:jc w:val="center"/>
              <w:rPr>
                <w:rFonts w:ascii="仿宋" w:hAnsi="仿宋" w:eastAsia="仿宋" w:cs="仿宋"/>
                <w:color w:val="000000"/>
                <w:kern w:val="0"/>
                <w:sz w:val="24"/>
                <w:szCs w:val="24"/>
              </w:rPr>
            </w:pPr>
          </w:p>
        </w:tc>
        <w:tc>
          <w:tcPr>
            <w:tcW w:w="921" w:type="dxa"/>
            <w:tcBorders>
              <w:top w:val="single" w:color="000000" w:sz="6" w:space="0"/>
              <w:left w:val="single" w:color="000000" w:sz="6" w:space="0"/>
              <w:bottom w:val="single" w:color="000000" w:sz="6" w:space="0"/>
              <w:right w:val="single" w:color="000000" w:sz="8" w:space="0"/>
            </w:tcBorders>
            <w:vAlign w:val="center"/>
          </w:tcPr>
          <w:p w14:paraId="667D5132">
            <w:pPr>
              <w:autoSpaceDE w:val="0"/>
              <w:autoSpaceDN w:val="0"/>
              <w:spacing w:line="240" w:lineRule="auto"/>
              <w:jc w:val="center"/>
              <w:rPr>
                <w:rFonts w:ascii="仿宋" w:hAnsi="仿宋" w:eastAsia="仿宋" w:cs="仿宋"/>
                <w:color w:val="000000"/>
                <w:kern w:val="0"/>
                <w:sz w:val="24"/>
                <w:szCs w:val="24"/>
                <w:lang w:val="zh-CN"/>
              </w:rPr>
            </w:pPr>
          </w:p>
        </w:tc>
      </w:tr>
      <w:tr w14:paraId="46E0462B">
        <w:tblPrEx>
          <w:tblCellMar>
            <w:top w:w="0" w:type="dxa"/>
            <w:left w:w="28" w:type="dxa"/>
            <w:bottom w:w="0" w:type="dxa"/>
            <w:right w:w="28" w:type="dxa"/>
          </w:tblCellMar>
        </w:tblPrEx>
        <w:trPr>
          <w:trHeight w:val="375" w:hRule="atLeast"/>
          <w:jc w:val="center"/>
        </w:trPr>
        <w:tc>
          <w:tcPr>
            <w:tcW w:w="713" w:type="dxa"/>
            <w:tcBorders>
              <w:top w:val="single" w:color="000000" w:sz="6" w:space="0"/>
              <w:left w:val="single" w:color="000000" w:sz="8" w:space="0"/>
              <w:bottom w:val="single" w:color="000000" w:sz="6" w:space="0"/>
              <w:right w:val="single" w:color="000000" w:sz="6" w:space="0"/>
            </w:tcBorders>
            <w:vAlign w:val="center"/>
          </w:tcPr>
          <w:p w14:paraId="08EEB57D">
            <w:pPr>
              <w:autoSpaceDE w:val="0"/>
              <w:autoSpaceDN w:val="0"/>
              <w:spacing w:line="240" w:lineRule="auto"/>
              <w:jc w:val="center"/>
              <w:rPr>
                <w:rFonts w:ascii="仿宋" w:hAnsi="仿宋" w:eastAsia="仿宋" w:cs="仿宋"/>
                <w:color w:val="000000"/>
                <w:kern w:val="0"/>
                <w:sz w:val="24"/>
                <w:szCs w:val="24"/>
                <w:lang w:val="zh-CN"/>
              </w:rPr>
            </w:pPr>
            <w:r>
              <w:rPr>
                <w:rFonts w:hint="eastAsia" w:ascii="仿宋" w:hAnsi="仿宋" w:eastAsia="仿宋" w:cs="仿宋"/>
                <w:color w:val="000000"/>
                <w:kern w:val="0"/>
                <w:sz w:val="24"/>
                <w:szCs w:val="24"/>
                <w:lang w:val="zh-CN"/>
              </w:rPr>
              <w:t>2</w:t>
            </w:r>
          </w:p>
        </w:tc>
        <w:tc>
          <w:tcPr>
            <w:tcW w:w="1250" w:type="dxa"/>
            <w:tcBorders>
              <w:top w:val="single" w:color="000000" w:sz="6" w:space="0"/>
              <w:left w:val="single" w:color="000000" w:sz="6" w:space="0"/>
              <w:bottom w:val="single" w:color="000000" w:sz="6" w:space="0"/>
              <w:right w:val="single" w:color="000000" w:sz="6" w:space="0"/>
            </w:tcBorders>
            <w:vAlign w:val="center"/>
          </w:tcPr>
          <w:p w14:paraId="3ED2D102">
            <w:pPr>
              <w:autoSpaceDE w:val="0"/>
              <w:autoSpaceDN w:val="0"/>
              <w:spacing w:line="240" w:lineRule="auto"/>
              <w:jc w:val="center"/>
              <w:rPr>
                <w:rFonts w:ascii="仿宋" w:hAnsi="仿宋" w:eastAsia="仿宋" w:cs="仿宋"/>
                <w:color w:val="000000"/>
                <w:kern w:val="0"/>
                <w:sz w:val="24"/>
                <w:szCs w:val="24"/>
                <w:lang w:val="zh-CN"/>
              </w:rPr>
            </w:pPr>
          </w:p>
        </w:tc>
        <w:tc>
          <w:tcPr>
            <w:tcW w:w="1162" w:type="dxa"/>
            <w:tcBorders>
              <w:top w:val="single" w:color="000000" w:sz="6" w:space="0"/>
              <w:left w:val="single" w:color="000000" w:sz="6" w:space="0"/>
              <w:bottom w:val="single" w:color="000000" w:sz="6" w:space="0"/>
              <w:right w:val="single" w:color="000000" w:sz="6" w:space="0"/>
            </w:tcBorders>
            <w:vAlign w:val="center"/>
          </w:tcPr>
          <w:p w14:paraId="2196130E">
            <w:pPr>
              <w:autoSpaceDE w:val="0"/>
              <w:autoSpaceDN w:val="0"/>
              <w:spacing w:line="240" w:lineRule="auto"/>
              <w:jc w:val="center"/>
              <w:rPr>
                <w:rFonts w:ascii="仿宋" w:hAnsi="仿宋" w:eastAsia="仿宋" w:cs="仿宋"/>
                <w:color w:val="000000"/>
                <w:kern w:val="0"/>
                <w:sz w:val="24"/>
                <w:szCs w:val="24"/>
              </w:rPr>
            </w:pPr>
          </w:p>
        </w:tc>
        <w:tc>
          <w:tcPr>
            <w:tcW w:w="1265" w:type="dxa"/>
            <w:tcBorders>
              <w:top w:val="single" w:color="000000" w:sz="6" w:space="0"/>
              <w:left w:val="single" w:color="000000" w:sz="6" w:space="0"/>
              <w:bottom w:val="single" w:color="000000" w:sz="6" w:space="0"/>
              <w:right w:val="single" w:color="000000" w:sz="6" w:space="0"/>
            </w:tcBorders>
            <w:vAlign w:val="center"/>
          </w:tcPr>
          <w:p w14:paraId="346C0059">
            <w:pPr>
              <w:autoSpaceDE w:val="0"/>
              <w:autoSpaceDN w:val="0"/>
              <w:spacing w:line="240" w:lineRule="auto"/>
              <w:jc w:val="center"/>
              <w:rPr>
                <w:rFonts w:ascii="仿宋" w:hAnsi="仿宋" w:eastAsia="仿宋" w:cs="仿宋"/>
                <w:color w:val="000000"/>
                <w:kern w:val="0"/>
                <w:sz w:val="24"/>
                <w:szCs w:val="24"/>
                <w:lang w:val="zh-CN"/>
              </w:rPr>
            </w:pPr>
          </w:p>
        </w:tc>
        <w:tc>
          <w:tcPr>
            <w:tcW w:w="1124" w:type="dxa"/>
            <w:tcBorders>
              <w:top w:val="single" w:color="000000" w:sz="6" w:space="0"/>
              <w:left w:val="single" w:color="000000" w:sz="6" w:space="0"/>
              <w:bottom w:val="single" w:color="000000" w:sz="6" w:space="0"/>
              <w:right w:val="single" w:color="auto" w:sz="4" w:space="0"/>
            </w:tcBorders>
            <w:vAlign w:val="center"/>
          </w:tcPr>
          <w:p w14:paraId="11A7C83E">
            <w:pPr>
              <w:autoSpaceDE w:val="0"/>
              <w:autoSpaceDN w:val="0"/>
              <w:spacing w:line="240" w:lineRule="auto"/>
              <w:jc w:val="center"/>
              <w:rPr>
                <w:rFonts w:ascii="仿宋" w:hAnsi="仿宋" w:eastAsia="仿宋" w:cs="仿宋"/>
                <w:color w:val="000000"/>
                <w:kern w:val="0"/>
                <w:sz w:val="24"/>
                <w:szCs w:val="24"/>
              </w:rPr>
            </w:pPr>
          </w:p>
        </w:tc>
        <w:tc>
          <w:tcPr>
            <w:tcW w:w="839" w:type="dxa"/>
            <w:tcBorders>
              <w:top w:val="single" w:color="000000" w:sz="6" w:space="0"/>
              <w:left w:val="single" w:color="auto" w:sz="4" w:space="0"/>
              <w:bottom w:val="single" w:color="000000" w:sz="6" w:space="0"/>
              <w:right w:val="single" w:color="auto" w:sz="4" w:space="0"/>
            </w:tcBorders>
            <w:vAlign w:val="center"/>
          </w:tcPr>
          <w:p w14:paraId="6C2AB897">
            <w:pPr>
              <w:autoSpaceDE w:val="0"/>
              <w:autoSpaceDN w:val="0"/>
              <w:spacing w:line="240" w:lineRule="auto"/>
              <w:jc w:val="center"/>
              <w:rPr>
                <w:rFonts w:ascii="仿宋" w:hAnsi="仿宋" w:eastAsia="仿宋" w:cs="仿宋"/>
                <w:color w:val="000000"/>
                <w:kern w:val="0"/>
                <w:sz w:val="24"/>
                <w:szCs w:val="24"/>
              </w:rPr>
            </w:pPr>
          </w:p>
        </w:tc>
        <w:tc>
          <w:tcPr>
            <w:tcW w:w="1735" w:type="dxa"/>
            <w:tcBorders>
              <w:top w:val="single" w:color="000000" w:sz="6" w:space="0"/>
              <w:left w:val="single" w:color="auto" w:sz="4" w:space="0"/>
              <w:bottom w:val="single" w:color="000000" w:sz="6" w:space="0"/>
              <w:right w:val="single" w:color="000000" w:sz="6" w:space="0"/>
            </w:tcBorders>
            <w:vAlign w:val="center"/>
          </w:tcPr>
          <w:p w14:paraId="6142D898">
            <w:pPr>
              <w:autoSpaceDE w:val="0"/>
              <w:autoSpaceDN w:val="0"/>
              <w:spacing w:line="240" w:lineRule="auto"/>
              <w:jc w:val="center"/>
              <w:rPr>
                <w:rFonts w:ascii="仿宋" w:hAnsi="仿宋" w:eastAsia="仿宋" w:cs="仿宋"/>
                <w:color w:val="000000"/>
                <w:kern w:val="0"/>
                <w:sz w:val="24"/>
                <w:szCs w:val="24"/>
              </w:rPr>
            </w:pPr>
          </w:p>
        </w:tc>
        <w:tc>
          <w:tcPr>
            <w:tcW w:w="921" w:type="dxa"/>
            <w:tcBorders>
              <w:top w:val="single" w:color="000000" w:sz="6" w:space="0"/>
              <w:left w:val="single" w:color="000000" w:sz="6" w:space="0"/>
              <w:bottom w:val="single" w:color="000000" w:sz="6" w:space="0"/>
              <w:right w:val="single" w:color="000000" w:sz="8" w:space="0"/>
            </w:tcBorders>
            <w:vAlign w:val="center"/>
          </w:tcPr>
          <w:p w14:paraId="7B95E8B4">
            <w:pPr>
              <w:autoSpaceDE w:val="0"/>
              <w:autoSpaceDN w:val="0"/>
              <w:spacing w:line="240" w:lineRule="auto"/>
              <w:jc w:val="center"/>
              <w:rPr>
                <w:rFonts w:ascii="仿宋" w:hAnsi="仿宋" w:eastAsia="仿宋" w:cs="仿宋"/>
                <w:color w:val="000000"/>
                <w:kern w:val="0"/>
                <w:sz w:val="24"/>
                <w:szCs w:val="24"/>
                <w:lang w:val="zh-CN"/>
              </w:rPr>
            </w:pPr>
          </w:p>
        </w:tc>
      </w:tr>
      <w:tr w14:paraId="324ECAE0">
        <w:tblPrEx>
          <w:tblCellMar>
            <w:top w:w="0" w:type="dxa"/>
            <w:left w:w="28" w:type="dxa"/>
            <w:bottom w:w="0" w:type="dxa"/>
            <w:right w:w="28" w:type="dxa"/>
          </w:tblCellMar>
        </w:tblPrEx>
        <w:trPr>
          <w:trHeight w:val="375" w:hRule="atLeast"/>
          <w:jc w:val="center"/>
        </w:trPr>
        <w:tc>
          <w:tcPr>
            <w:tcW w:w="713" w:type="dxa"/>
            <w:tcBorders>
              <w:top w:val="single" w:color="000000" w:sz="6" w:space="0"/>
              <w:left w:val="single" w:color="000000" w:sz="8" w:space="0"/>
              <w:bottom w:val="single" w:color="000000" w:sz="6" w:space="0"/>
              <w:right w:val="single" w:color="000000" w:sz="6" w:space="0"/>
            </w:tcBorders>
            <w:vAlign w:val="center"/>
          </w:tcPr>
          <w:p w14:paraId="0BBDDAAB">
            <w:pPr>
              <w:autoSpaceDE w:val="0"/>
              <w:autoSpaceDN w:val="0"/>
              <w:spacing w:line="240" w:lineRule="auto"/>
              <w:jc w:val="center"/>
              <w:rPr>
                <w:rFonts w:ascii="仿宋" w:hAnsi="仿宋" w:eastAsia="仿宋" w:cs="仿宋"/>
                <w:color w:val="000000"/>
                <w:kern w:val="0"/>
                <w:sz w:val="24"/>
                <w:szCs w:val="24"/>
              </w:rPr>
            </w:pPr>
            <w:r>
              <w:rPr>
                <w:rFonts w:hint="eastAsia" w:ascii="仿宋" w:hAnsi="仿宋" w:eastAsia="仿宋" w:cs="仿宋"/>
                <w:color w:val="000000"/>
                <w:kern w:val="0"/>
                <w:sz w:val="21"/>
                <w:szCs w:val="21"/>
                <w:lang w:val="zh-CN"/>
              </w:rPr>
              <w:t>…</w:t>
            </w:r>
          </w:p>
        </w:tc>
        <w:tc>
          <w:tcPr>
            <w:tcW w:w="1250" w:type="dxa"/>
            <w:tcBorders>
              <w:top w:val="single" w:color="000000" w:sz="6" w:space="0"/>
              <w:left w:val="single" w:color="000000" w:sz="6" w:space="0"/>
              <w:bottom w:val="single" w:color="000000" w:sz="6" w:space="0"/>
              <w:right w:val="single" w:color="000000" w:sz="6" w:space="0"/>
            </w:tcBorders>
            <w:vAlign w:val="center"/>
          </w:tcPr>
          <w:p w14:paraId="6F7EA933">
            <w:pPr>
              <w:autoSpaceDE w:val="0"/>
              <w:autoSpaceDN w:val="0"/>
              <w:spacing w:line="240" w:lineRule="auto"/>
              <w:jc w:val="center"/>
              <w:rPr>
                <w:rFonts w:ascii="仿宋" w:hAnsi="仿宋" w:eastAsia="仿宋" w:cs="仿宋"/>
                <w:color w:val="000000"/>
                <w:kern w:val="0"/>
                <w:sz w:val="24"/>
                <w:szCs w:val="24"/>
                <w:lang w:val="zh-CN"/>
              </w:rPr>
            </w:pPr>
          </w:p>
        </w:tc>
        <w:tc>
          <w:tcPr>
            <w:tcW w:w="1162" w:type="dxa"/>
            <w:tcBorders>
              <w:top w:val="single" w:color="000000" w:sz="6" w:space="0"/>
              <w:left w:val="single" w:color="000000" w:sz="6" w:space="0"/>
              <w:bottom w:val="single" w:color="000000" w:sz="6" w:space="0"/>
              <w:right w:val="single" w:color="000000" w:sz="6" w:space="0"/>
            </w:tcBorders>
            <w:vAlign w:val="center"/>
          </w:tcPr>
          <w:p w14:paraId="2BB8C756">
            <w:pPr>
              <w:autoSpaceDE w:val="0"/>
              <w:autoSpaceDN w:val="0"/>
              <w:spacing w:line="240" w:lineRule="auto"/>
              <w:jc w:val="center"/>
              <w:rPr>
                <w:rFonts w:ascii="仿宋" w:hAnsi="仿宋" w:eastAsia="仿宋" w:cs="仿宋"/>
                <w:color w:val="000000"/>
                <w:kern w:val="0"/>
                <w:sz w:val="24"/>
                <w:szCs w:val="24"/>
              </w:rPr>
            </w:pPr>
          </w:p>
        </w:tc>
        <w:tc>
          <w:tcPr>
            <w:tcW w:w="1265" w:type="dxa"/>
            <w:tcBorders>
              <w:top w:val="single" w:color="000000" w:sz="6" w:space="0"/>
              <w:left w:val="single" w:color="000000" w:sz="6" w:space="0"/>
              <w:bottom w:val="single" w:color="000000" w:sz="6" w:space="0"/>
              <w:right w:val="single" w:color="000000" w:sz="6" w:space="0"/>
            </w:tcBorders>
            <w:vAlign w:val="center"/>
          </w:tcPr>
          <w:p w14:paraId="69B03E99">
            <w:pPr>
              <w:autoSpaceDE w:val="0"/>
              <w:autoSpaceDN w:val="0"/>
              <w:spacing w:line="240" w:lineRule="auto"/>
              <w:jc w:val="center"/>
              <w:rPr>
                <w:rFonts w:ascii="仿宋" w:hAnsi="仿宋" w:eastAsia="仿宋" w:cs="仿宋"/>
                <w:color w:val="000000"/>
                <w:kern w:val="0"/>
                <w:sz w:val="24"/>
                <w:szCs w:val="24"/>
                <w:lang w:val="zh-CN"/>
              </w:rPr>
            </w:pPr>
          </w:p>
        </w:tc>
        <w:tc>
          <w:tcPr>
            <w:tcW w:w="1124" w:type="dxa"/>
            <w:tcBorders>
              <w:top w:val="single" w:color="000000" w:sz="6" w:space="0"/>
              <w:left w:val="single" w:color="000000" w:sz="6" w:space="0"/>
              <w:bottom w:val="single" w:color="000000" w:sz="6" w:space="0"/>
              <w:right w:val="single" w:color="auto" w:sz="4" w:space="0"/>
            </w:tcBorders>
            <w:vAlign w:val="center"/>
          </w:tcPr>
          <w:p w14:paraId="25C66895">
            <w:pPr>
              <w:autoSpaceDE w:val="0"/>
              <w:autoSpaceDN w:val="0"/>
              <w:spacing w:line="240" w:lineRule="auto"/>
              <w:jc w:val="center"/>
              <w:rPr>
                <w:rFonts w:ascii="仿宋" w:hAnsi="仿宋" w:eastAsia="仿宋" w:cs="仿宋"/>
                <w:color w:val="000000"/>
                <w:kern w:val="0"/>
                <w:sz w:val="24"/>
                <w:szCs w:val="24"/>
              </w:rPr>
            </w:pPr>
          </w:p>
        </w:tc>
        <w:tc>
          <w:tcPr>
            <w:tcW w:w="839" w:type="dxa"/>
            <w:tcBorders>
              <w:top w:val="single" w:color="000000" w:sz="6" w:space="0"/>
              <w:left w:val="single" w:color="auto" w:sz="4" w:space="0"/>
              <w:bottom w:val="single" w:color="000000" w:sz="6" w:space="0"/>
              <w:right w:val="single" w:color="auto" w:sz="4" w:space="0"/>
            </w:tcBorders>
            <w:vAlign w:val="center"/>
          </w:tcPr>
          <w:p w14:paraId="0E6202CD">
            <w:pPr>
              <w:autoSpaceDE w:val="0"/>
              <w:autoSpaceDN w:val="0"/>
              <w:spacing w:line="240" w:lineRule="auto"/>
              <w:jc w:val="center"/>
              <w:rPr>
                <w:rFonts w:ascii="仿宋" w:hAnsi="仿宋" w:eastAsia="仿宋" w:cs="仿宋"/>
                <w:color w:val="000000"/>
                <w:kern w:val="0"/>
                <w:sz w:val="24"/>
                <w:szCs w:val="24"/>
              </w:rPr>
            </w:pPr>
          </w:p>
        </w:tc>
        <w:tc>
          <w:tcPr>
            <w:tcW w:w="1735" w:type="dxa"/>
            <w:tcBorders>
              <w:top w:val="single" w:color="000000" w:sz="6" w:space="0"/>
              <w:left w:val="single" w:color="auto" w:sz="4" w:space="0"/>
              <w:bottom w:val="single" w:color="000000" w:sz="6" w:space="0"/>
              <w:right w:val="single" w:color="000000" w:sz="6" w:space="0"/>
            </w:tcBorders>
            <w:vAlign w:val="center"/>
          </w:tcPr>
          <w:p w14:paraId="5569A1E9">
            <w:pPr>
              <w:autoSpaceDE w:val="0"/>
              <w:autoSpaceDN w:val="0"/>
              <w:spacing w:line="240" w:lineRule="auto"/>
              <w:jc w:val="center"/>
              <w:rPr>
                <w:rFonts w:ascii="仿宋" w:hAnsi="仿宋" w:eastAsia="仿宋" w:cs="仿宋"/>
                <w:color w:val="000000"/>
                <w:kern w:val="0"/>
                <w:sz w:val="24"/>
                <w:szCs w:val="24"/>
              </w:rPr>
            </w:pPr>
          </w:p>
        </w:tc>
        <w:tc>
          <w:tcPr>
            <w:tcW w:w="921" w:type="dxa"/>
            <w:tcBorders>
              <w:top w:val="single" w:color="000000" w:sz="6" w:space="0"/>
              <w:left w:val="single" w:color="000000" w:sz="6" w:space="0"/>
              <w:bottom w:val="single" w:color="000000" w:sz="6" w:space="0"/>
              <w:right w:val="single" w:color="000000" w:sz="8" w:space="0"/>
            </w:tcBorders>
            <w:vAlign w:val="center"/>
          </w:tcPr>
          <w:p w14:paraId="3BE8D9FA">
            <w:pPr>
              <w:autoSpaceDE w:val="0"/>
              <w:autoSpaceDN w:val="0"/>
              <w:spacing w:line="240" w:lineRule="auto"/>
              <w:jc w:val="center"/>
              <w:rPr>
                <w:rFonts w:ascii="仿宋" w:hAnsi="仿宋" w:eastAsia="仿宋" w:cs="仿宋"/>
                <w:color w:val="000000"/>
                <w:kern w:val="0"/>
                <w:sz w:val="24"/>
                <w:szCs w:val="24"/>
                <w:lang w:val="zh-CN"/>
              </w:rPr>
            </w:pPr>
          </w:p>
        </w:tc>
      </w:tr>
      <w:tr w14:paraId="048D6EAA">
        <w:tblPrEx>
          <w:tblCellMar>
            <w:top w:w="0" w:type="dxa"/>
            <w:left w:w="28" w:type="dxa"/>
            <w:bottom w:w="0" w:type="dxa"/>
            <w:right w:w="28" w:type="dxa"/>
          </w:tblCellMar>
        </w:tblPrEx>
        <w:trPr>
          <w:trHeight w:val="801" w:hRule="atLeast"/>
          <w:jc w:val="center"/>
        </w:trPr>
        <w:tc>
          <w:tcPr>
            <w:tcW w:w="9009" w:type="dxa"/>
            <w:gridSpan w:val="8"/>
            <w:tcBorders>
              <w:top w:val="single" w:color="000000" w:sz="6" w:space="0"/>
              <w:left w:val="single" w:color="000000" w:sz="8" w:space="0"/>
              <w:bottom w:val="single" w:color="000000" w:sz="6" w:space="0"/>
              <w:right w:val="single" w:color="000000" w:sz="8" w:space="0"/>
            </w:tcBorders>
            <w:vAlign w:val="center"/>
          </w:tcPr>
          <w:p w14:paraId="701613E0">
            <w:pPr>
              <w:autoSpaceDE w:val="0"/>
              <w:autoSpaceDN w:val="0"/>
              <w:spacing w:line="240" w:lineRule="auto"/>
              <w:jc w:val="left"/>
              <w:rPr>
                <w:rFonts w:ascii="仿宋" w:hAnsi="仿宋" w:eastAsia="仿宋" w:cs="仿宋"/>
                <w:color w:val="000000"/>
                <w:kern w:val="0"/>
                <w:sz w:val="24"/>
                <w:szCs w:val="24"/>
              </w:rPr>
            </w:pPr>
            <w:r>
              <w:rPr>
                <w:rFonts w:hint="eastAsia" w:ascii="仿宋" w:hAnsi="仿宋" w:eastAsia="仿宋" w:cs="仿宋"/>
                <w:b/>
                <w:bCs/>
                <w:color w:val="000000"/>
                <w:kern w:val="0"/>
                <w:sz w:val="24"/>
                <w:szCs w:val="24"/>
              </w:rPr>
              <w:t>合计（元）：</w:t>
            </w:r>
          </w:p>
        </w:tc>
      </w:tr>
      <w:tr w14:paraId="3E9B1FA6">
        <w:tblPrEx>
          <w:tblCellMar>
            <w:top w:w="0" w:type="dxa"/>
            <w:left w:w="28" w:type="dxa"/>
            <w:bottom w:w="0" w:type="dxa"/>
            <w:right w:w="28" w:type="dxa"/>
          </w:tblCellMar>
        </w:tblPrEx>
        <w:trPr>
          <w:trHeight w:val="1570" w:hRule="atLeast"/>
          <w:jc w:val="center"/>
        </w:trPr>
        <w:tc>
          <w:tcPr>
            <w:tcW w:w="1963" w:type="dxa"/>
            <w:gridSpan w:val="2"/>
            <w:tcBorders>
              <w:top w:val="single" w:color="000000" w:sz="6" w:space="0"/>
              <w:left w:val="single" w:color="000000" w:sz="8" w:space="0"/>
              <w:bottom w:val="single" w:color="000000" w:sz="6" w:space="0"/>
              <w:right w:val="single" w:color="000000" w:sz="6" w:space="0"/>
            </w:tcBorders>
            <w:vAlign w:val="center"/>
          </w:tcPr>
          <w:p w14:paraId="01ECCDC6">
            <w:pPr>
              <w:autoSpaceDE w:val="0"/>
              <w:autoSpaceDN w:val="0"/>
              <w:spacing w:line="240" w:lineRule="auto"/>
              <w:jc w:val="center"/>
              <w:rPr>
                <w:rFonts w:ascii="仿宋" w:hAnsi="仿宋" w:eastAsia="仿宋" w:cs="仿宋"/>
                <w:color w:val="000000"/>
                <w:kern w:val="0"/>
                <w:sz w:val="24"/>
                <w:szCs w:val="24"/>
                <w:lang w:val="zh-CN"/>
              </w:rPr>
            </w:pPr>
            <w:r>
              <w:rPr>
                <w:rFonts w:hint="eastAsia" w:ascii="仿宋" w:hAnsi="仿宋" w:eastAsia="仿宋" w:cs="仿宋"/>
                <w:kern w:val="0"/>
                <w:sz w:val="24"/>
                <w:szCs w:val="24"/>
                <w:lang w:val="en-US" w:eastAsia="zh-CN"/>
              </w:rPr>
              <w:t>投标</w:t>
            </w:r>
            <w:r>
              <w:rPr>
                <w:rFonts w:hint="eastAsia" w:ascii="仿宋" w:hAnsi="仿宋" w:eastAsia="仿宋" w:cs="仿宋"/>
                <w:kern w:val="0"/>
                <w:sz w:val="24"/>
                <w:szCs w:val="24"/>
                <w:lang w:val="zh-CN"/>
              </w:rPr>
              <w:t>报价</w:t>
            </w:r>
          </w:p>
        </w:tc>
        <w:tc>
          <w:tcPr>
            <w:tcW w:w="7046" w:type="dxa"/>
            <w:gridSpan w:val="6"/>
            <w:tcBorders>
              <w:top w:val="single" w:color="000000" w:sz="6" w:space="0"/>
              <w:left w:val="single" w:color="000000" w:sz="6" w:space="0"/>
              <w:bottom w:val="single" w:color="000000" w:sz="6" w:space="0"/>
              <w:right w:val="single" w:color="000000" w:sz="8" w:space="0"/>
            </w:tcBorders>
            <w:vAlign w:val="center"/>
          </w:tcPr>
          <w:p w14:paraId="6EB00034">
            <w:pPr>
              <w:autoSpaceDE w:val="0"/>
              <w:autoSpaceDN w:val="0"/>
              <w:spacing w:before="190" w:beforeLines="50" w:line="240" w:lineRule="auto"/>
              <w:rPr>
                <w:rFonts w:hint="eastAsia" w:ascii="仿宋" w:hAnsi="仿宋" w:eastAsia="仿宋" w:cs="仿宋"/>
                <w:color w:val="000000"/>
                <w:kern w:val="0"/>
                <w:sz w:val="24"/>
                <w:szCs w:val="24"/>
                <w:lang w:val="zh-CN"/>
              </w:rPr>
            </w:pPr>
            <w:r>
              <w:rPr>
                <w:rFonts w:hint="eastAsia" w:ascii="仿宋" w:hAnsi="仿宋" w:eastAsia="仿宋" w:cs="仿宋"/>
                <w:color w:val="000000"/>
                <w:kern w:val="0"/>
                <w:sz w:val="24"/>
                <w:szCs w:val="24"/>
                <w:lang w:val="zh-CN"/>
              </w:rPr>
              <w:t>小写：</w:t>
            </w:r>
          </w:p>
          <w:p w14:paraId="00D817EC">
            <w:pPr>
              <w:pStyle w:val="17"/>
              <w:rPr>
                <w:rFonts w:hint="eastAsia" w:eastAsia="仿宋"/>
                <w:lang w:val="en-US" w:eastAsia="zh-CN"/>
              </w:rPr>
            </w:pPr>
            <w:r>
              <w:rPr>
                <w:rFonts w:hint="eastAsia" w:ascii="仿宋" w:hAnsi="仿宋" w:eastAsia="仿宋" w:cs="仿宋"/>
                <w:color w:val="000000"/>
                <w:kern w:val="0"/>
                <w:sz w:val="24"/>
                <w:szCs w:val="24"/>
                <w:lang w:val="en-US" w:eastAsia="zh-CN"/>
              </w:rPr>
              <w:t>大写：</w:t>
            </w:r>
          </w:p>
          <w:p w14:paraId="3C224DE7">
            <w:pPr>
              <w:autoSpaceDE w:val="0"/>
              <w:autoSpaceDN w:val="0"/>
              <w:spacing w:line="240" w:lineRule="auto"/>
              <w:jc w:val="right"/>
              <w:rPr>
                <w:rFonts w:ascii="仿宋" w:hAnsi="仿宋" w:eastAsia="仿宋" w:cs="仿宋"/>
                <w:color w:val="000000"/>
                <w:kern w:val="0"/>
                <w:sz w:val="24"/>
                <w:szCs w:val="24"/>
              </w:rPr>
            </w:pPr>
            <w:r>
              <w:rPr>
                <w:rFonts w:hint="eastAsia" w:ascii="仿宋" w:hAnsi="仿宋" w:eastAsia="仿宋" w:cs="仿宋"/>
                <w:color w:val="000000"/>
                <w:sz w:val="24"/>
                <w:szCs w:val="24"/>
              </w:rPr>
              <w:t>单位：元</w:t>
            </w:r>
          </w:p>
        </w:tc>
      </w:tr>
    </w:tbl>
    <w:p w14:paraId="380D344F">
      <w:pPr>
        <w:tabs>
          <w:tab w:val="right" w:pos="9072"/>
        </w:tabs>
        <w:ind w:firstLine="426" w:firstLineChars="200"/>
        <w:rPr>
          <w:rFonts w:ascii="华文仿宋" w:cs="Times New Roman"/>
          <w:color w:val="000000"/>
          <w:sz w:val="24"/>
          <w:szCs w:val="24"/>
        </w:rPr>
      </w:pPr>
      <w:r>
        <w:rPr>
          <w:rFonts w:hint="eastAsia" w:ascii="宋体" w:hAnsi="宋体" w:eastAsia="宋体" w:cs="宋体"/>
          <w:color w:val="000000"/>
          <w:sz w:val="21"/>
          <w:szCs w:val="21"/>
        </w:rPr>
        <w:t>备注：本表为样表，仅供参考，</w:t>
      </w:r>
      <w:r>
        <w:rPr>
          <w:rFonts w:hint="eastAsia" w:ascii="宋体" w:hAnsi="宋体" w:eastAsia="宋体" w:cs="宋体"/>
          <w:color w:val="000000"/>
          <w:sz w:val="21"/>
          <w:szCs w:val="21"/>
          <w:lang w:eastAsia="zh-CN"/>
        </w:rPr>
        <w:t>供应商</w:t>
      </w:r>
      <w:r>
        <w:rPr>
          <w:rFonts w:hint="eastAsia" w:ascii="宋体" w:hAnsi="宋体" w:eastAsia="宋体" w:cs="宋体"/>
          <w:color w:val="000000"/>
          <w:sz w:val="21"/>
          <w:szCs w:val="21"/>
        </w:rPr>
        <w:t>根据项目实际需求进行填写。</w:t>
      </w:r>
    </w:p>
    <w:p w14:paraId="604F5A02">
      <w:pPr>
        <w:pStyle w:val="12"/>
        <w:spacing w:after="190"/>
        <w:rPr>
          <w:rFonts w:eastAsia="宋体"/>
          <w:color w:val="000000"/>
        </w:rPr>
      </w:pPr>
    </w:p>
    <w:p w14:paraId="78F87A70">
      <w:pPr>
        <w:keepNext/>
        <w:keepLines w:val="0"/>
        <w:pageBreakBefore w:val="0"/>
        <w:widowControl w:val="0"/>
        <w:kinsoku w:val="0"/>
        <w:wordWrap/>
        <w:overflowPunct w:val="0"/>
        <w:topLinePunct w:val="0"/>
        <w:autoSpaceDE w:val="0"/>
        <w:autoSpaceDN w:val="0"/>
        <w:bidi w:val="0"/>
        <w:adjustRightInd/>
        <w:snapToGrid/>
        <w:spacing w:line="320" w:lineRule="exact"/>
        <w:ind w:firstLine="319" w:firstLineChars="150"/>
        <w:rPr>
          <w:rFonts w:hint="eastAsia" w:ascii="CESI仿宋-GB13000" w:hAnsi="CESI仿宋-GB13000" w:eastAsia="CESI仿宋-GB13000" w:cs="CESI仿宋-GB13000"/>
          <w:color w:val="000000"/>
          <w:sz w:val="21"/>
          <w:szCs w:val="21"/>
        </w:rPr>
      </w:pPr>
    </w:p>
    <w:p w14:paraId="220D09C8">
      <w:pPr>
        <w:pStyle w:val="12"/>
        <w:keepNext/>
        <w:keepLines w:val="0"/>
        <w:pageBreakBefore w:val="0"/>
        <w:widowControl w:val="0"/>
        <w:kinsoku w:val="0"/>
        <w:wordWrap/>
        <w:overflowPunct w:val="0"/>
        <w:topLinePunct w:val="0"/>
        <w:autoSpaceDE w:val="0"/>
        <w:autoSpaceDN w:val="0"/>
        <w:bidi w:val="0"/>
        <w:adjustRightInd/>
        <w:snapToGrid/>
        <w:spacing w:line="500" w:lineRule="exact"/>
        <w:ind w:firstLine="5589" w:firstLineChars="2300"/>
        <w:rPr>
          <w:rFonts w:hint="eastAsia" w:ascii="CESI仿宋-GB13000" w:hAnsi="CESI仿宋-GB13000" w:eastAsia="CESI仿宋-GB13000" w:cs="CESI仿宋-GB13000"/>
          <w:bCs/>
          <w:color w:val="000000"/>
          <w:sz w:val="24"/>
          <w:szCs w:val="24"/>
        </w:rPr>
      </w:pPr>
      <w:r>
        <w:rPr>
          <w:rFonts w:hint="eastAsia" w:ascii="CESI仿宋-GB13000" w:hAnsi="CESI仿宋-GB13000" w:eastAsia="CESI仿宋-GB13000" w:cs="CESI仿宋-GB13000"/>
          <w:bCs/>
          <w:color w:val="000000"/>
          <w:sz w:val="24"/>
          <w:szCs w:val="24"/>
        </w:rPr>
        <w:t>供应商：</w:t>
      </w:r>
      <w:r>
        <w:rPr>
          <w:rFonts w:hint="eastAsia" w:ascii="CESI仿宋-GB13000" w:hAnsi="CESI仿宋-GB13000" w:eastAsia="CESI仿宋-GB13000" w:cs="CESI仿宋-GB13000"/>
          <w:color w:val="000000"/>
          <w:sz w:val="24"/>
          <w:szCs w:val="24"/>
          <w:u w:val="single"/>
        </w:rPr>
        <w:t>名称</w:t>
      </w:r>
      <w:r>
        <w:rPr>
          <w:rFonts w:hint="eastAsia" w:ascii="CESI仿宋-GB13000" w:hAnsi="CESI仿宋-GB13000" w:eastAsia="CESI仿宋-GB13000" w:cs="CESI仿宋-GB13000"/>
          <w:bCs/>
          <w:color w:val="000000"/>
          <w:sz w:val="24"/>
          <w:szCs w:val="24"/>
        </w:rPr>
        <w:t>（加盖公章）</w:t>
      </w:r>
      <w:r>
        <w:rPr>
          <w:rFonts w:hint="eastAsia" w:ascii="CESI仿宋-GB13000" w:hAnsi="CESI仿宋-GB13000" w:eastAsia="CESI仿宋-GB13000" w:cs="CESI仿宋-GB13000"/>
          <w:bCs/>
          <w:color w:val="000000"/>
          <w:sz w:val="24"/>
          <w:szCs w:val="24"/>
        </w:rPr>
        <w:tab/>
      </w:r>
    </w:p>
    <w:p w14:paraId="5207EEB7">
      <w:pPr>
        <w:pStyle w:val="15"/>
        <w:keepNext/>
        <w:keepLines w:val="0"/>
        <w:pageBreakBefore w:val="0"/>
        <w:widowControl w:val="0"/>
        <w:kinsoku w:val="0"/>
        <w:wordWrap/>
        <w:overflowPunct w:val="0"/>
        <w:topLinePunct w:val="0"/>
        <w:autoSpaceDE w:val="0"/>
        <w:autoSpaceDN w:val="0"/>
        <w:bidi w:val="0"/>
        <w:adjustRightInd/>
        <w:snapToGrid/>
        <w:spacing w:line="440" w:lineRule="exact"/>
        <w:ind w:firstLine="6075" w:firstLineChars="2500"/>
        <w:rPr>
          <w:rFonts w:hint="default" w:ascii="CESI仿宋-GB13000" w:hAnsi="CESI仿宋-GB13000" w:eastAsia="CESI仿宋-GB13000" w:cs="CESI仿宋-GB13000"/>
          <w:color w:val="000000"/>
          <w:sz w:val="24"/>
          <w:szCs w:val="24"/>
          <w:lang w:val="en-US" w:eastAsia="zh-CN"/>
        </w:rPr>
        <w:sectPr>
          <w:headerReference r:id="rId13" w:type="default"/>
          <w:footerReference r:id="rId14" w:type="default"/>
          <w:pgSz w:w="11906" w:h="16838"/>
          <w:pgMar w:top="1417" w:right="1417" w:bottom="1417" w:left="1417" w:header="850" w:footer="992" w:gutter="0"/>
          <w:pgNumType w:fmt="decimal"/>
          <w:cols w:space="720" w:num="1"/>
          <w:docGrid w:type="linesAndChars" w:linePitch="381" w:charSpace="704"/>
        </w:sectPr>
      </w:pPr>
      <w:r>
        <w:rPr>
          <w:rFonts w:hint="eastAsia" w:ascii="CESI仿宋-GB13000" w:hAnsi="CESI仿宋-GB13000" w:eastAsia="CESI仿宋-GB13000" w:cs="CESI仿宋-GB13000"/>
          <w:color w:val="000000"/>
          <w:sz w:val="24"/>
          <w:szCs w:val="24"/>
          <w:lang w:eastAsia="zh-CN"/>
        </w:rPr>
        <w:t xml:space="preserve">日期：　年　月　 </w:t>
      </w:r>
      <w:r>
        <w:rPr>
          <w:rFonts w:hint="eastAsia" w:ascii="CESI仿宋-GB13000" w:hAnsi="CESI仿宋-GB13000" w:eastAsia="CESI仿宋-GB13000" w:cs="CESI仿宋-GB13000"/>
          <w:color w:val="000000"/>
          <w:sz w:val="24"/>
          <w:szCs w:val="24"/>
          <w:lang w:val="en-US" w:eastAsia="zh-CN"/>
        </w:rPr>
        <w:t>日</w:t>
      </w:r>
    </w:p>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p w14:paraId="6B0BA8AD">
      <w:pPr>
        <w:pStyle w:val="62"/>
        <w:spacing w:line="500" w:lineRule="exact"/>
        <w:jc w:val="left"/>
        <w:outlineLvl w:val="2"/>
        <w:rPr>
          <w:rFonts w:ascii="仿宋" w:hAnsi="仿宋" w:eastAsia="仿宋" w:cs="Times New Roman"/>
          <w:color w:val="auto"/>
        </w:rPr>
      </w:pPr>
      <w:bookmarkStart w:id="745" w:name="_Toc30708"/>
      <w:bookmarkEnd w:id="745"/>
      <w:bookmarkStart w:id="746" w:name="_Toc27481"/>
      <w:bookmarkEnd w:id="746"/>
      <w:bookmarkStart w:id="747" w:name="_Toc29248"/>
      <w:bookmarkEnd w:id="747"/>
      <w:bookmarkStart w:id="748" w:name="_Toc9028"/>
      <w:bookmarkEnd w:id="748"/>
      <w:bookmarkStart w:id="749" w:name="_Toc27127"/>
      <w:bookmarkEnd w:id="749"/>
      <w:bookmarkStart w:id="750" w:name="_Toc6005"/>
      <w:bookmarkEnd w:id="750"/>
      <w:bookmarkStart w:id="751" w:name="_Toc28430"/>
      <w:bookmarkEnd w:id="751"/>
      <w:bookmarkStart w:id="752" w:name="_Toc25612"/>
      <w:bookmarkEnd w:id="752"/>
      <w:bookmarkStart w:id="753" w:name="_Toc12032"/>
      <w:bookmarkEnd w:id="753"/>
      <w:bookmarkStart w:id="754" w:name="_Toc20450"/>
      <w:bookmarkEnd w:id="754"/>
      <w:bookmarkStart w:id="755" w:name="_Toc26656"/>
      <w:bookmarkEnd w:id="755"/>
      <w:bookmarkStart w:id="756" w:name="_Toc21044"/>
      <w:bookmarkEnd w:id="756"/>
      <w:bookmarkStart w:id="757" w:name="_Toc32030"/>
      <w:bookmarkEnd w:id="757"/>
      <w:bookmarkStart w:id="758" w:name="_Toc10991"/>
      <w:bookmarkEnd w:id="758"/>
      <w:r>
        <w:rPr>
          <w:rFonts w:hint="eastAsia" w:ascii="仿宋" w:hAnsi="仿宋" w:eastAsia="仿宋" w:cs="仿宋"/>
          <w:color w:val="auto"/>
        </w:rPr>
        <w:t>三、供应商承诺书</w:t>
      </w:r>
    </w:p>
    <w:p w14:paraId="34E7CDB3">
      <w:pPr>
        <w:spacing w:line="500" w:lineRule="exact"/>
        <w:ind w:firstLine="566" w:firstLineChars="200"/>
        <w:rPr>
          <w:rFonts w:cs="Times New Roman"/>
          <w:color w:val="auto"/>
        </w:rPr>
      </w:pPr>
      <w:r>
        <w:rPr>
          <w:rFonts w:hint="eastAsia" w:cs="华文仿宋"/>
          <w:color w:val="auto"/>
        </w:rPr>
        <w:t>未签署下列承诺书的，其责任由投标人自行承担。</w:t>
      </w:r>
    </w:p>
    <w:p w14:paraId="730DEF04">
      <w:pPr>
        <w:spacing w:line="500" w:lineRule="exact"/>
        <w:ind w:firstLine="566" w:firstLineChars="200"/>
        <w:rPr>
          <w:rFonts w:cs="Times New Roman"/>
          <w:b/>
          <w:bCs/>
          <w:color w:val="auto"/>
        </w:rPr>
      </w:pPr>
      <w:r>
        <w:rPr>
          <w:rFonts w:hint="eastAsia" w:cs="华文仿宋"/>
          <w:b/>
          <w:bCs/>
          <w:color w:val="auto"/>
        </w:rPr>
        <w:t>（一）质量安全责任承诺书</w:t>
      </w:r>
    </w:p>
    <w:p w14:paraId="123CDA95">
      <w:pPr>
        <w:spacing w:line="500" w:lineRule="exact"/>
        <w:ind w:firstLine="566" w:firstLineChars="200"/>
        <w:rPr>
          <w:rFonts w:cs="Times New Roman"/>
          <w:color w:val="auto"/>
        </w:rPr>
      </w:pPr>
      <w:r>
        <w:rPr>
          <w:rFonts w:hint="eastAsia" w:cs="华文仿宋"/>
          <w:color w:val="auto"/>
        </w:rPr>
        <w:t>为保证本采购项目顺利进行，作为投标人，现郑重承诺：</w:t>
      </w:r>
    </w:p>
    <w:p w14:paraId="3A1F0AB2">
      <w:pPr>
        <w:spacing w:line="500" w:lineRule="exact"/>
        <w:ind w:firstLine="566" w:firstLineChars="200"/>
        <w:rPr>
          <w:rFonts w:cs="Times New Roman"/>
          <w:color w:val="auto"/>
        </w:rPr>
      </w:pPr>
      <w:r>
        <w:rPr>
          <w:rFonts w:hint="eastAsia" w:ascii="仿宋" w:hAnsi="仿宋" w:eastAsia="仿宋" w:cs="仿宋"/>
          <w:color w:val="auto"/>
        </w:rPr>
        <w:t>1</w:t>
      </w:r>
      <w:r>
        <w:rPr>
          <w:rFonts w:hint="eastAsia" w:ascii="仿宋" w:hAnsi="仿宋" w:eastAsia="仿宋" w:cs="仿宋"/>
          <w:color w:val="auto"/>
          <w:lang w:val="en-US" w:eastAsia="zh-CN"/>
        </w:rPr>
        <w:t>.</w:t>
      </w:r>
      <w:r>
        <w:rPr>
          <w:rFonts w:hint="eastAsia" w:cs="华文仿宋"/>
          <w:color w:val="auto"/>
        </w:rPr>
        <w:t>我方投标产品的生产（包括设计、制造、安装、改造、维修等）、投入使用的材料等均完全符合国家现行质量、安全、环保标准和要求。</w:t>
      </w:r>
    </w:p>
    <w:p w14:paraId="5D2BC97A">
      <w:pPr>
        <w:spacing w:line="500" w:lineRule="exact"/>
        <w:ind w:firstLine="566" w:firstLineChars="200"/>
        <w:rPr>
          <w:rFonts w:cs="Times New Roman"/>
          <w:color w:val="auto"/>
        </w:rPr>
      </w:pPr>
      <w:r>
        <w:rPr>
          <w:rFonts w:hint="eastAsia" w:ascii="仿宋" w:hAnsi="仿宋" w:eastAsia="仿宋" w:cs="仿宋"/>
          <w:color w:val="auto"/>
        </w:rPr>
        <w:t>2</w:t>
      </w:r>
      <w:r>
        <w:rPr>
          <w:rFonts w:hint="eastAsia" w:ascii="仿宋" w:hAnsi="仿宋" w:eastAsia="仿宋" w:cs="仿宋"/>
          <w:color w:val="auto"/>
          <w:lang w:val="en-US" w:eastAsia="zh-CN"/>
        </w:rPr>
        <w:t>.</w:t>
      </w:r>
      <w:r>
        <w:rPr>
          <w:rFonts w:hint="eastAsia" w:cs="华文仿宋"/>
          <w:color w:val="auto"/>
        </w:rPr>
        <w:t>我方将严格按照国家现行相关储存、运输、安装调试技术标准及规范、服务标准及规范、施工标准及规范，在规定的时限内，保质、保量完成项目全部内容，并向采购人交付合格产品。</w:t>
      </w:r>
    </w:p>
    <w:p w14:paraId="7C91A956">
      <w:pPr>
        <w:spacing w:line="500" w:lineRule="exact"/>
        <w:ind w:firstLine="566" w:firstLineChars="200"/>
        <w:rPr>
          <w:rFonts w:cs="Times New Roman"/>
          <w:color w:val="auto"/>
        </w:rPr>
      </w:pPr>
      <w:r>
        <w:rPr>
          <w:rFonts w:hint="eastAsia" w:ascii="仿宋" w:hAnsi="仿宋" w:eastAsia="仿宋" w:cs="仿宋"/>
          <w:color w:val="auto"/>
        </w:rPr>
        <w:t>3</w:t>
      </w:r>
      <w:r>
        <w:rPr>
          <w:rFonts w:hint="eastAsia" w:ascii="仿宋" w:hAnsi="仿宋" w:eastAsia="仿宋" w:cs="仿宋"/>
          <w:color w:val="auto"/>
          <w:lang w:val="en-US" w:eastAsia="zh-CN"/>
        </w:rPr>
        <w:t>.</w:t>
      </w:r>
      <w:r>
        <w:rPr>
          <w:rFonts w:hint="eastAsia" w:cs="华文仿宋"/>
          <w:color w:val="auto"/>
        </w:rPr>
        <w:t>对于因产品生产质量以及储存、运输、安装调试、服务、施工等过程中产生的任何安全事故，我方承担全部责任。</w:t>
      </w:r>
    </w:p>
    <w:p w14:paraId="45AFDA2C">
      <w:pPr>
        <w:spacing w:line="500" w:lineRule="exact"/>
        <w:ind w:firstLine="566" w:firstLineChars="200"/>
        <w:rPr>
          <w:rFonts w:cs="Times New Roman"/>
          <w:color w:val="auto"/>
        </w:rPr>
      </w:pPr>
      <w:r>
        <w:rPr>
          <w:rFonts w:hint="eastAsia" w:ascii="仿宋" w:hAnsi="仿宋" w:eastAsia="仿宋" w:cs="仿宋"/>
          <w:color w:val="auto"/>
        </w:rPr>
        <w:t>4</w:t>
      </w:r>
      <w:r>
        <w:rPr>
          <w:rFonts w:hint="eastAsia" w:ascii="仿宋" w:hAnsi="仿宋" w:eastAsia="仿宋" w:cs="仿宋"/>
          <w:color w:val="auto"/>
          <w:lang w:val="en-US" w:eastAsia="zh-CN"/>
        </w:rPr>
        <w:t>.</w:t>
      </w:r>
      <w:r>
        <w:rPr>
          <w:rFonts w:hint="eastAsia" w:cs="华文仿宋"/>
          <w:color w:val="auto"/>
        </w:rPr>
        <w:t>我方提供的货物、工程、服务等符合现行的国家、行业、地区、企业标准及要求，标准不一致的，以更为严格的为准，我方对提供的货物、工程、服务等的质量、安全、环保等承担全部责任。</w:t>
      </w:r>
    </w:p>
    <w:p w14:paraId="6C4DBA78">
      <w:pPr>
        <w:spacing w:line="500" w:lineRule="exact"/>
        <w:ind w:firstLine="566" w:firstLineChars="200"/>
        <w:rPr>
          <w:rFonts w:cs="Times New Roman"/>
          <w:color w:val="auto"/>
        </w:rPr>
      </w:pPr>
    </w:p>
    <w:p w14:paraId="27E45F55">
      <w:pPr>
        <w:spacing w:line="500" w:lineRule="exact"/>
        <w:ind w:firstLine="5094" w:firstLineChars="1800"/>
        <w:rPr>
          <w:rFonts w:cs="Times New Roman"/>
          <w:color w:val="auto"/>
        </w:rPr>
      </w:pPr>
      <w:r>
        <w:rPr>
          <w:rFonts w:hint="eastAsia" w:cs="华文仿宋"/>
          <w:color w:val="auto"/>
        </w:rPr>
        <w:t>投标人：</w:t>
      </w:r>
      <w:r>
        <w:rPr>
          <w:rFonts w:hint="eastAsia" w:cs="华文仿宋"/>
          <w:color w:val="auto"/>
          <w:u w:val="single"/>
        </w:rPr>
        <w:t>名称</w:t>
      </w:r>
      <w:r>
        <w:rPr>
          <w:rFonts w:hint="eastAsia" w:cs="华文仿宋"/>
          <w:color w:val="auto"/>
        </w:rPr>
        <w:t>（加盖公章）</w:t>
      </w:r>
    </w:p>
    <w:p w14:paraId="103C4C5D">
      <w:pPr>
        <w:spacing w:line="500" w:lineRule="exact"/>
        <w:ind w:firstLine="5377" w:firstLineChars="1900"/>
        <w:rPr>
          <w:rFonts w:cs="Times New Roman"/>
          <w:color w:val="auto"/>
        </w:rPr>
      </w:pPr>
      <w:r>
        <w:rPr>
          <w:rFonts w:hint="eastAsia" w:cs="华文仿宋"/>
          <w:color w:val="auto"/>
        </w:rPr>
        <w:t>日期：　年　月　日</w:t>
      </w:r>
    </w:p>
    <w:p w14:paraId="48B52A40">
      <w:pPr>
        <w:spacing w:line="500" w:lineRule="exact"/>
        <w:rPr>
          <w:rFonts w:cs="Times New Roman"/>
          <w:color w:val="auto"/>
        </w:rPr>
      </w:pPr>
    </w:p>
    <w:p w14:paraId="7913455E">
      <w:pPr>
        <w:spacing w:line="500" w:lineRule="exact"/>
        <w:rPr>
          <w:rFonts w:cs="Times New Roman"/>
          <w:color w:val="auto"/>
        </w:rPr>
      </w:pPr>
    </w:p>
    <w:p w14:paraId="18806B45">
      <w:pPr>
        <w:spacing w:line="500" w:lineRule="exact"/>
        <w:rPr>
          <w:rFonts w:cs="Times New Roman"/>
          <w:color w:val="auto"/>
        </w:rPr>
      </w:pPr>
    </w:p>
    <w:p w14:paraId="66C2FDDF">
      <w:pPr>
        <w:spacing w:line="500" w:lineRule="exact"/>
        <w:rPr>
          <w:rFonts w:cs="Times New Roman"/>
          <w:color w:val="auto"/>
        </w:rPr>
      </w:pPr>
    </w:p>
    <w:p w14:paraId="50475D6C">
      <w:pPr>
        <w:spacing w:line="500" w:lineRule="exact"/>
        <w:rPr>
          <w:rFonts w:cs="Times New Roman"/>
          <w:color w:val="auto"/>
        </w:rPr>
      </w:pPr>
    </w:p>
    <w:p w14:paraId="618B5FF9">
      <w:pPr>
        <w:pStyle w:val="27"/>
        <w:spacing w:after="190"/>
        <w:ind w:firstLine="183"/>
        <w:rPr>
          <w:color w:val="auto"/>
        </w:rPr>
      </w:pPr>
    </w:p>
    <w:p w14:paraId="796B6F29">
      <w:pPr>
        <w:pStyle w:val="27"/>
        <w:spacing w:after="190"/>
        <w:ind w:firstLine="183"/>
        <w:rPr>
          <w:color w:val="auto"/>
        </w:rPr>
      </w:pPr>
    </w:p>
    <w:p w14:paraId="45E755B5">
      <w:pPr>
        <w:spacing w:line="500" w:lineRule="exact"/>
        <w:rPr>
          <w:rFonts w:cs="Times New Roman"/>
          <w:color w:val="auto"/>
        </w:rPr>
      </w:pPr>
    </w:p>
    <w:p w14:paraId="0ECDA7B8">
      <w:pPr>
        <w:pStyle w:val="27"/>
        <w:spacing w:after="190"/>
        <w:ind w:firstLine="183"/>
        <w:rPr>
          <w:color w:val="auto"/>
        </w:rPr>
      </w:pPr>
    </w:p>
    <w:p w14:paraId="4232EB44">
      <w:pPr>
        <w:spacing w:before="190" w:beforeLines="50" w:line="500" w:lineRule="exact"/>
        <w:ind w:firstLine="566" w:firstLineChars="200"/>
        <w:rPr>
          <w:rFonts w:cs="Times New Roman"/>
          <w:b/>
          <w:bCs/>
          <w:color w:val="auto"/>
        </w:rPr>
      </w:pPr>
    </w:p>
    <w:p w14:paraId="385374D5">
      <w:pPr>
        <w:spacing w:before="190" w:beforeLines="50" w:line="500" w:lineRule="exact"/>
        <w:ind w:firstLine="566" w:firstLineChars="200"/>
        <w:rPr>
          <w:rFonts w:cs="Times New Roman"/>
          <w:b/>
          <w:bCs/>
          <w:color w:val="auto"/>
        </w:rPr>
      </w:pPr>
      <w:r>
        <w:rPr>
          <w:rFonts w:hint="eastAsia" w:cs="华文仿宋"/>
          <w:b/>
          <w:bCs/>
          <w:color w:val="auto"/>
        </w:rPr>
        <w:t>（二）拒绝政府采购领域商业贿赂承诺书Ⅰ</w:t>
      </w:r>
    </w:p>
    <w:p w14:paraId="483FC750">
      <w:pPr>
        <w:overflowPunct w:val="0"/>
        <w:topLinePunct/>
        <w:spacing w:line="440" w:lineRule="exact"/>
        <w:jc w:val="center"/>
        <w:rPr>
          <w:rFonts w:cs="Times New Roman"/>
          <w:color w:val="auto"/>
        </w:rPr>
      </w:pPr>
      <w:r>
        <w:rPr>
          <w:rFonts w:hint="eastAsia" w:cs="华文仿宋"/>
          <w:color w:val="auto"/>
        </w:rPr>
        <w:t>（执行陕财办采管</w:t>
      </w:r>
      <w:r>
        <w:rPr>
          <w:rFonts w:hint="eastAsia" w:ascii="仿宋" w:hAnsi="仿宋" w:eastAsia="仿宋" w:cs="仿宋"/>
          <w:color w:val="auto"/>
        </w:rPr>
        <w:t>〔</w:t>
      </w:r>
      <w:r>
        <w:rPr>
          <w:rFonts w:ascii="仿宋" w:hAnsi="仿宋" w:eastAsia="仿宋" w:cs="仿宋"/>
          <w:color w:val="auto"/>
        </w:rPr>
        <w:t>200</w:t>
      </w:r>
      <w:r>
        <w:rPr>
          <w:rFonts w:hint="eastAsia" w:ascii="仿宋" w:hAnsi="仿宋" w:eastAsia="仿宋" w:cs="仿宋"/>
          <w:color w:val="auto"/>
          <w:lang w:val="en-US" w:eastAsia="zh-CN"/>
        </w:rPr>
        <w:t>6</w:t>
      </w:r>
      <w:r>
        <w:rPr>
          <w:rFonts w:hint="eastAsia" w:ascii="仿宋" w:hAnsi="仿宋" w:eastAsia="仿宋" w:cs="仿宋"/>
          <w:color w:val="auto"/>
        </w:rPr>
        <w:t>〕</w:t>
      </w:r>
      <w:r>
        <w:rPr>
          <w:rFonts w:ascii="仿宋" w:hAnsi="仿宋" w:eastAsia="仿宋" w:cs="仿宋"/>
          <w:color w:val="auto"/>
        </w:rPr>
        <w:t>21</w:t>
      </w:r>
      <w:r>
        <w:rPr>
          <w:rFonts w:hint="eastAsia" w:cs="华文仿宋"/>
          <w:color w:val="auto"/>
        </w:rPr>
        <w:t>号文件）</w:t>
      </w:r>
    </w:p>
    <w:p w14:paraId="53D21DB2">
      <w:pPr>
        <w:spacing w:line="500" w:lineRule="exact"/>
        <w:ind w:firstLine="566" w:firstLineChars="200"/>
        <w:rPr>
          <w:rFonts w:cs="Times New Roman"/>
          <w:color w:val="auto"/>
        </w:rPr>
      </w:pPr>
      <w:r>
        <w:rPr>
          <w:rFonts w:hint="eastAsia" w:cs="华文仿宋"/>
          <w:color w:val="auto"/>
        </w:rPr>
        <w:t>为响应党中央、国务院关于治理政府采购领域商业贿赂行为的号召，我公司在此庄严承诺：</w:t>
      </w:r>
    </w:p>
    <w:p w14:paraId="4E3DC35C">
      <w:pPr>
        <w:spacing w:line="500" w:lineRule="exact"/>
        <w:ind w:firstLine="566" w:firstLineChars="200"/>
        <w:rPr>
          <w:rFonts w:cs="Times New Roman"/>
          <w:color w:val="auto"/>
        </w:rPr>
      </w:pPr>
      <w:r>
        <w:rPr>
          <w:rFonts w:hint="eastAsia" w:ascii="仿宋" w:hAnsi="仿宋" w:eastAsia="仿宋" w:cs="仿宋"/>
          <w:color w:val="auto"/>
        </w:rPr>
        <w:t>1</w:t>
      </w:r>
      <w:r>
        <w:rPr>
          <w:rFonts w:hint="eastAsia" w:ascii="仿宋" w:hAnsi="仿宋" w:eastAsia="仿宋" w:cs="仿宋"/>
          <w:color w:val="auto"/>
          <w:lang w:val="en-US" w:eastAsia="zh-CN"/>
        </w:rPr>
        <w:t>.</w:t>
      </w:r>
      <w:r>
        <w:rPr>
          <w:rFonts w:hint="eastAsia" w:cs="华文仿宋"/>
          <w:color w:val="auto"/>
        </w:rPr>
        <w:t>在参与政府采购活动中遵纪守法、诚信经营、公平竞标。</w:t>
      </w:r>
    </w:p>
    <w:p w14:paraId="07E2D9E4">
      <w:pPr>
        <w:spacing w:line="500" w:lineRule="exact"/>
        <w:ind w:firstLine="566" w:firstLineChars="200"/>
        <w:rPr>
          <w:rFonts w:cs="Times New Roman"/>
          <w:color w:val="auto"/>
        </w:rPr>
      </w:pPr>
      <w:r>
        <w:rPr>
          <w:rFonts w:hint="eastAsia" w:ascii="仿宋" w:hAnsi="仿宋" w:eastAsia="仿宋" w:cs="仿宋"/>
          <w:color w:val="auto"/>
        </w:rPr>
        <w:t>2</w:t>
      </w:r>
      <w:r>
        <w:rPr>
          <w:rFonts w:hint="eastAsia" w:ascii="仿宋" w:hAnsi="仿宋" w:eastAsia="仿宋" w:cs="仿宋"/>
          <w:color w:val="auto"/>
          <w:lang w:val="en-US" w:eastAsia="zh-CN"/>
        </w:rPr>
        <w:t>.</w:t>
      </w:r>
      <w:r>
        <w:rPr>
          <w:rFonts w:hint="eastAsia" w:cs="华文仿宋"/>
          <w:color w:val="auto"/>
        </w:rPr>
        <w:t>不向政府采购人、采购代理机构和政府采购评审专家进行任何形式的商业贿赂以谋取交易机会。</w:t>
      </w:r>
    </w:p>
    <w:p w14:paraId="33C02019">
      <w:pPr>
        <w:spacing w:line="500" w:lineRule="exact"/>
        <w:ind w:firstLine="566" w:firstLineChars="200"/>
        <w:rPr>
          <w:rFonts w:cs="Times New Roman"/>
          <w:color w:val="auto"/>
        </w:rPr>
      </w:pPr>
      <w:r>
        <w:rPr>
          <w:rFonts w:hint="eastAsia" w:ascii="仿宋" w:hAnsi="仿宋" w:eastAsia="仿宋" w:cs="仿宋"/>
          <w:color w:val="auto"/>
        </w:rPr>
        <w:t>3</w:t>
      </w:r>
      <w:r>
        <w:rPr>
          <w:rFonts w:hint="eastAsia" w:ascii="仿宋" w:hAnsi="仿宋" w:eastAsia="仿宋" w:cs="仿宋"/>
          <w:color w:val="auto"/>
          <w:lang w:val="en-US" w:eastAsia="zh-CN"/>
        </w:rPr>
        <w:t>.</w:t>
      </w:r>
      <w:r>
        <w:rPr>
          <w:rFonts w:hint="eastAsia" w:cs="华文仿宋"/>
          <w:color w:val="auto"/>
        </w:rPr>
        <w:t>不向政府采购代理机构和采购人提供虚假资质文件或采用虚假应标方式参与政府采购市场竞争并谋取中标、成交。</w:t>
      </w:r>
    </w:p>
    <w:p w14:paraId="349DF258">
      <w:pPr>
        <w:spacing w:line="500" w:lineRule="exact"/>
        <w:ind w:firstLine="566" w:firstLineChars="200"/>
        <w:rPr>
          <w:rFonts w:cs="Times New Roman"/>
          <w:color w:val="auto"/>
        </w:rPr>
      </w:pPr>
      <w:r>
        <w:rPr>
          <w:rFonts w:hint="eastAsia" w:ascii="仿宋" w:hAnsi="仿宋" w:eastAsia="仿宋" w:cs="仿宋"/>
          <w:color w:val="auto"/>
        </w:rPr>
        <w:t>4</w:t>
      </w:r>
      <w:r>
        <w:rPr>
          <w:rFonts w:hint="eastAsia" w:ascii="仿宋" w:hAnsi="仿宋" w:eastAsia="仿宋" w:cs="仿宋"/>
          <w:color w:val="auto"/>
          <w:lang w:val="en-US" w:eastAsia="zh-CN"/>
        </w:rPr>
        <w:t>.</w:t>
      </w:r>
      <w:r>
        <w:rPr>
          <w:rFonts w:hint="eastAsia" w:cs="华文仿宋"/>
          <w:color w:val="auto"/>
        </w:rPr>
        <w:t>不采取“围标、陪标”等商业欺诈手段获得政府采购</w:t>
      </w:r>
      <w:r>
        <w:rPr>
          <w:rFonts w:hint="eastAsia" w:cs="华文仿宋"/>
          <w:color w:val="auto"/>
          <w:lang w:val="en-US" w:eastAsia="zh-CN"/>
        </w:rPr>
        <w:t>定</w:t>
      </w:r>
      <w:r>
        <w:rPr>
          <w:rFonts w:hint="eastAsia" w:cs="华文仿宋"/>
          <w:color w:val="auto"/>
        </w:rPr>
        <w:t>单。</w:t>
      </w:r>
    </w:p>
    <w:p w14:paraId="14F2F718">
      <w:pPr>
        <w:spacing w:line="500" w:lineRule="exact"/>
        <w:ind w:firstLine="566" w:firstLineChars="200"/>
        <w:rPr>
          <w:rFonts w:cs="Times New Roman"/>
          <w:color w:val="auto"/>
        </w:rPr>
      </w:pPr>
      <w:r>
        <w:rPr>
          <w:rFonts w:hint="eastAsia" w:ascii="仿宋" w:hAnsi="仿宋" w:eastAsia="仿宋" w:cs="仿宋"/>
          <w:color w:val="auto"/>
        </w:rPr>
        <w:t>5</w:t>
      </w:r>
      <w:r>
        <w:rPr>
          <w:rFonts w:hint="eastAsia" w:ascii="仿宋" w:hAnsi="仿宋" w:eastAsia="仿宋" w:cs="仿宋"/>
          <w:color w:val="auto"/>
          <w:lang w:val="en-US" w:eastAsia="zh-CN"/>
        </w:rPr>
        <w:t>.</w:t>
      </w:r>
      <w:r>
        <w:rPr>
          <w:rFonts w:hint="eastAsia" w:cs="华文仿宋"/>
          <w:color w:val="auto"/>
        </w:rPr>
        <w:t>不采取不正当手段诋毁、排挤其他投标人。</w:t>
      </w:r>
    </w:p>
    <w:p w14:paraId="3CD8FA75">
      <w:pPr>
        <w:spacing w:line="500" w:lineRule="exact"/>
        <w:ind w:firstLine="566" w:firstLineChars="200"/>
        <w:rPr>
          <w:rFonts w:cs="Times New Roman"/>
          <w:color w:val="auto"/>
        </w:rPr>
      </w:pPr>
      <w:r>
        <w:rPr>
          <w:rFonts w:hint="eastAsia" w:ascii="仿宋" w:hAnsi="仿宋" w:eastAsia="仿宋" w:cs="仿宋"/>
          <w:color w:val="auto"/>
        </w:rPr>
        <w:t>6</w:t>
      </w:r>
      <w:r>
        <w:rPr>
          <w:rFonts w:hint="eastAsia" w:ascii="仿宋" w:hAnsi="仿宋" w:eastAsia="仿宋" w:cs="仿宋"/>
          <w:color w:val="auto"/>
          <w:lang w:val="en-US" w:eastAsia="zh-CN"/>
        </w:rPr>
        <w:t>.</w:t>
      </w:r>
      <w:r>
        <w:rPr>
          <w:rFonts w:hint="eastAsia" w:cs="华文仿宋"/>
          <w:color w:val="auto"/>
        </w:rPr>
        <w:t>不在提供服务时损害采购人的合法权益。</w:t>
      </w:r>
    </w:p>
    <w:p w14:paraId="713D5F73">
      <w:pPr>
        <w:spacing w:line="500" w:lineRule="exact"/>
        <w:ind w:firstLine="566" w:firstLineChars="200"/>
        <w:rPr>
          <w:rFonts w:cs="Times New Roman"/>
          <w:color w:val="auto"/>
        </w:rPr>
      </w:pPr>
      <w:r>
        <w:rPr>
          <w:rFonts w:hint="eastAsia" w:ascii="仿宋" w:hAnsi="仿宋" w:eastAsia="仿宋" w:cs="仿宋"/>
          <w:color w:val="auto"/>
        </w:rPr>
        <w:t>7</w:t>
      </w:r>
      <w:r>
        <w:rPr>
          <w:rFonts w:hint="eastAsia" w:ascii="仿宋" w:hAnsi="仿宋" w:eastAsia="仿宋" w:cs="仿宋"/>
          <w:color w:val="auto"/>
          <w:lang w:val="en-US" w:eastAsia="zh-CN"/>
        </w:rPr>
        <w:t>.</w:t>
      </w:r>
      <w:r>
        <w:rPr>
          <w:rFonts w:hint="eastAsia" w:cs="华文仿宋"/>
          <w:color w:val="auto"/>
        </w:rPr>
        <w:t>不与采购人、采购代理机构政府采购评审专家或其它投标人恶意串通，进行质疑和投诉，维护政府采购市场秩序。</w:t>
      </w:r>
    </w:p>
    <w:p w14:paraId="25E0BB9B">
      <w:pPr>
        <w:spacing w:line="500" w:lineRule="exact"/>
        <w:ind w:firstLine="566" w:firstLineChars="200"/>
        <w:rPr>
          <w:rFonts w:cs="Times New Roman"/>
          <w:color w:val="auto"/>
        </w:rPr>
      </w:pPr>
      <w:r>
        <w:rPr>
          <w:rFonts w:hint="eastAsia" w:ascii="仿宋" w:hAnsi="仿宋" w:eastAsia="仿宋" w:cs="仿宋"/>
          <w:color w:val="auto"/>
        </w:rPr>
        <w:t>8</w:t>
      </w:r>
      <w:r>
        <w:rPr>
          <w:rFonts w:hint="eastAsia" w:ascii="仿宋" w:hAnsi="仿宋" w:eastAsia="仿宋" w:cs="仿宋"/>
          <w:color w:val="auto"/>
          <w:lang w:val="en-US" w:eastAsia="zh-CN"/>
        </w:rPr>
        <w:t>.</w:t>
      </w:r>
      <w:r>
        <w:rPr>
          <w:rFonts w:hint="eastAsia" w:cs="华文仿宋"/>
          <w:color w:val="auto"/>
        </w:rPr>
        <w:t>尊重和接受政府采购监督管理部门的监督和政府采购代理机构招标采购要求，承担因违约行为给采购人造成的损失。</w:t>
      </w:r>
    </w:p>
    <w:p w14:paraId="0E03CB01">
      <w:pPr>
        <w:spacing w:line="500" w:lineRule="exact"/>
        <w:ind w:firstLine="566" w:firstLineChars="200"/>
        <w:rPr>
          <w:rFonts w:cs="Times New Roman"/>
          <w:color w:val="auto"/>
        </w:rPr>
      </w:pPr>
      <w:r>
        <w:rPr>
          <w:rFonts w:hint="eastAsia" w:ascii="仿宋" w:hAnsi="仿宋" w:eastAsia="仿宋" w:cs="仿宋"/>
          <w:color w:val="auto"/>
        </w:rPr>
        <w:t>9</w:t>
      </w:r>
      <w:r>
        <w:rPr>
          <w:rFonts w:hint="eastAsia" w:ascii="仿宋" w:hAnsi="仿宋" w:eastAsia="仿宋" w:cs="仿宋"/>
          <w:color w:val="auto"/>
          <w:lang w:val="en-US" w:eastAsia="zh-CN"/>
        </w:rPr>
        <w:t>.</w:t>
      </w:r>
      <w:r>
        <w:rPr>
          <w:rFonts w:hint="eastAsia" w:cs="华文仿宋"/>
          <w:color w:val="auto"/>
        </w:rPr>
        <w:t>不发生其他有悖于政府采购公开、公平、公正和诚信原则的行为。</w:t>
      </w:r>
    </w:p>
    <w:p w14:paraId="4E358BC2">
      <w:pPr>
        <w:spacing w:line="500" w:lineRule="exact"/>
        <w:rPr>
          <w:rFonts w:cs="Times New Roman"/>
          <w:color w:val="auto"/>
        </w:rPr>
      </w:pPr>
    </w:p>
    <w:p w14:paraId="2CE79DBC">
      <w:pPr>
        <w:spacing w:line="500" w:lineRule="exact"/>
        <w:ind w:firstLine="5094" w:firstLineChars="1800"/>
        <w:rPr>
          <w:rFonts w:cs="Times New Roman"/>
          <w:color w:val="auto"/>
        </w:rPr>
      </w:pPr>
      <w:r>
        <w:rPr>
          <w:rFonts w:hint="eastAsia" w:cs="华文仿宋"/>
          <w:color w:val="auto"/>
        </w:rPr>
        <w:t>投标人：</w:t>
      </w:r>
      <w:r>
        <w:rPr>
          <w:rFonts w:hint="eastAsia" w:cs="华文仿宋"/>
          <w:color w:val="auto"/>
          <w:u w:val="single"/>
        </w:rPr>
        <w:t>名称</w:t>
      </w:r>
      <w:r>
        <w:rPr>
          <w:rFonts w:hint="eastAsia" w:cs="华文仿宋"/>
          <w:color w:val="auto"/>
        </w:rPr>
        <w:t>（加盖公章）</w:t>
      </w:r>
    </w:p>
    <w:p w14:paraId="096EE224">
      <w:pPr>
        <w:spacing w:line="500" w:lineRule="exact"/>
        <w:ind w:firstLine="5377" w:firstLineChars="1900"/>
        <w:rPr>
          <w:rFonts w:cs="Times New Roman"/>
          <w:color w:val="auto"/>
        </w:rPr>
      </w:pPr>
      <w:r>
        <w:rPr>
          <w:rFonts w:hint="eastAsia" w:cs="华文仿宋"/>
          <w:color w:val="auto"/>
        </w:rPr>
        <w:t>日期：　年　月　日</w:t>
      </w:r>
    </w:p>
    <w:p w14:paraId="059AF2B7">
      <w:pPr>
        <w:spacing w:line="500" w:lineRule="exact"/>
        <w:jc w:val="left"/>
        <w:outlineLvl w:val="2"/>
        <w:rPr>
          <w:rFonts w:cs="Times New Roman"/>
          <w:color w:val="auto"/>
        </w:rPr>
      </w:pPr>
    </w:p>
    <w:p w14:paraId="660E2D91">
      <w:pPr>
        <w:spacing w:line="500" w:lineRule="exact"/>
        <w:jc w:val="left"/>
        <w:outlineLvl w:val="2"/>
        <w:rPr>
          <w:rFonts w:cs="Times New Roman"/>
          <w:color w:val="auto"/>
        </w:rPr>
      </w:pPr>
    </w:p>
    <w:p w14:paraId="26B989A8">
      <w:pPr>
        <w:spacing w:line="500" w:lineRule="exact"/>
        <w:jc w:val="left"/>
        <w:outlineLvl w:val="2"/>
        <w:rPr>
          <w:rFonts w:cs="Times New Roman"/>
          <w:color w:val="auto"/>
        </w:rPr>
      </w:pPr>
    </w:p>
    <w:p w14:paraId="2B2E16E0">
      <w:pPr>
        <w:spacing w:line="500" w:lineRule="exact"/>
        <w:jc w:val="left"/>
        <w:outlineLvl w:val="2"/>
        <w:rPr>
          <w:rFonts w:cs="Times New Roman"/>
          <w:color w:val="auto"/>
        </w:rPr>
      </w:pPr>
    </w:p>
    <w:p w14:paraId="06DCD9A3">
      <w:pPr>
        <w:spacing w:line="500" w:lineRule="exact"/>
        <w:jc w:val="left"/>
        <w:outlineLvl w:val="2"/>
        <w:rPr>
          <w:rFonts w:cs="Times New Roman"/>
          <w:color w:val="auto"/>
        </w:rPr>
      </w:pPr>
    </w:p>
    <w:p w14:paraId="359D4C82">
      <w:pPr>
        <w:spacing w:line="500" w:lineRule="exact"/>
        <w:jc w:val="left"/>
        <w:outlineLvl w:val="2"/>
        <w:rPr>
          <w:rFonts w:cs="Times New Roman"/>
          <w:color w:val="auto"/>
        </w:rPr>
      </w:pPr>
    </w:p>
    <w:p w14:paraId="2EE4A57A">
      <w:pPr>
        <w:spacing w:line="500" w:lineRule="exact"/>
        <w:jc w:val="left"/>
        <w:outlineLvl w:val="2"/>
        <w:rPr>
          <w:rFonts w:cs="Times New Roman"/>
          <w:color w:val="auto"/>
        </w:rPr>
      </w:pPr>
    </w:p>
    <w:p w14:paraId="644E362B">
      <w:pPr>
        <w:spacing w:before="190" w:beforeLines="50" w:line="500" w:lineRule="exact"/>
        <w:ind w:firstLine="566" w:firstLineChars="200"/>
        <w:jc w:val="left"/>
        <w:rPr>
          <w:rFonts w:hint="eastAsia" w:cs="华文仿宋"/>
          <w:b/>
          <w:bCs/>
          <w:color w:val="auto"/>
        </w:rPr>
      </w:pPr>
    </w:p>
    <w:p w14:paraId="12F28F6A">
      <w:pPr>
        <w:spacing w:before="190" w:beforeLines="50" w:line="500" w:lineRule="exact"/>
        <w:ind w:firstLine="566" w:firstLineChars="200"/>
        <w:jc w:val="left"/>
        <w:rPr>
          <w:rFonts w:hint="eastAsia" w:cs="华文仿宋"/>
          <w:b/>
          <w:bCs/>
          <w:color w:val="auto"/>
        </w:rPr>
      </w:pPr>
      <w:r>
        <w:rPr>
          <w:rFonts w:hint="eastAsia" w:cs="华文仿宋"/>
          <w:b/>
          <w:bCs/>
          <w:color w:val="auto"/>
        </w:rPr>
        <w:t>承诺书Ⅱ</w:t>
      </w:r>
    </w:p>
    <w:tbl>
      <w:tblPr>
        <w:tblStyle w:val="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703EE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5B70D369">
            <w:pPr>
              <w:spacing w:line="360" w:lineRule="atLeast"/>
              <w:rPr>
                <w:rFonts w:hint="eastAsia" w:ascii="仿宋" w:hAnsi="仿宋" w:eastAsia="仿宋" w:cs="仿宋"/>
                <w:sz w:val="28"/>
                <w:szCs w:val="28"/>
                <w:lang w:eastAsia="zh-CN"/>
              </w:rPr>
            </w:pPr>
            <w:r>
              <w:rPr>
                <w:rFonts w:hint="eastAsia" w:ascii="仿宋" w:hAnsi="仿宋" w:eastAsia="仿宋" w:cs="仿宋"/>
                <w:sz w:val="28"/>
                <w:szCs w:val="28"/>
              </w:rPr>
              <w:t>致：</w:t>
            </w:r>
            <w:r>
              <w:rPr>
                <w:rFonts w:hint="eastAsia" w:ascii="仿宋" w:hAnsi="仿宋" w:eastAsia="仿宋" w:cs="仿宋"/>
                <w:spacing w:val="-6"/>
                <w:sz w:val="28"/>
                <w:szCs w:val="28"/>
                <w:lang w:eastAsia="zh-CN"/>
              </w:rPr>
              <w:t>延安市公共资源交易中心（延安市市直单位政府采购中心）</w:t>
            </w:r>
          </w:p>
        </w:tc>
      </w:tr>
      <w:tr w14:paraId="139E1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067B4664">
            <w:pPr>
              <w:spacing w:line="360" w:lineRule="atLeast"/>
              <w:ind w:firstLine="566" w:firstLineChars="200"/>
              <w:rPr>
                <w:rFonts w:hint="eastAsia" w:ascii="仿宋" w:hAnsi="仿宋" w:eastAsia="仿宋" w:cs="仿宋"/>
                <w:sz w:val="28"/>
                <w:szCs w:val="28"/>
              </w:rPr>
            </w:pPr>
            <w:r>
              <w:rPr>
                <w:rFonts w:hint="eastAsia" w:ascii="仿宋" w:hAnsi="仿宋" w:eastAsia="仿宋" w:cs="仿宋"/>
                <w:sz w:val="28"/>
                <w:szCs w:val="28"/>
              </w:rPr>
              <w:t>作为参加贵单位组织的招标采购项目的投标人，本公司承诺：在参加本项目招标之前不存在被依法禁止经营行为、财产被接管或冻结的情况，如有隐瞒实情，愿承担一切责任及后果。</w:t>
            </w:r>
          </w:p>
        </w:tc>
      </w:tr>
      <w:tr w14:paraId="7EB994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10969137">
            <w:pPr>
              <w:spacing w:line="360" w:lineRule="atLeast"/>
              <w:jc w:val="center"/>
              <w:rPr>
                <w:rFonts w:hint="eastAsia" w:ascii="仿宋" w:hAnsi="仿宋" w:eastAsia="仿宋" w:cs="仿宋"/>
                <w:sz w:val="28"/>
                <w:szCs w:val="28"/>
              </w:rPr>
            </w:pPr>
            <w:r>
              <w:rPr>
                <w:rFonts w:hint="eastAsia" w:ascii="仿宋" w:hAnsi="仿宋" w:eastAsia="仿宋" w:cs="仿宋"/>
                <w:sz w:val="28"/>
                <w:szCs w:val="28"/>
              </w:rPr>
              <w:t>投标人</w:t>
            </w:r>
          </w:p>
        </w:tc>
        <w:tc>
          <w:tcPr>
            <w:tcW w:w="3420" w:type="dxa"/>
            <w:noWrap w:val="0"/>
            <w:vAlign w:val="center"/>
          </w:tcPr>
          <w:p w14:paraId="5B310EC8">
            <w:pPr>
              <w:spacing w:line="360" w:lineRule="atLeast"/>
              <w:jc w:val="center"/>
              <w:rPr>
                <w:rFonts w:hint="eastAsia" w:ascii="仿宋" w:hAnsi="仿宋" w:eastAsia="仿宋" w:cs="仿宋"/>
                <w:sz w:val="28"/>
                <w:szCs w:val="28"/>
              </w:rPr>
            </w:pPr>
            <w:r>
              <w:rPr>
                <w:rFonts w:hint="eastAsia" w:ascii="仿宋" w:hAnsi="仿宋" w:eastAsia="仿宋" w:cs="仿宋"/>
                <w:sz w:val="28"/>
                <w:szCs w:val="28"/>
              </w:rPr>
              <w:t>法定代表人</w:t>
            </w:r>
          </w:p>
        </w:tc>
        <w:tc>
          <w:tcPr>
            <w:tcW w:w="2340" w:type="dxa"/>
            <w:noWrap w:val="0"/>
            <w:vAlign w:val="center"/>
          </w:tcPr>
          <w:p w14:paraId="36195CCB">
            <w:pPr>
              <w:spacing w:line="360" w:lineRule="atLeast"/>
              <w:jc w:val="center"/>
              <w:rPr>
                <w:rFonts w:hint="eastAsia" w:ascii="仿宋" w:hAnsi="仿宋" w:eastAsia="仿宋" w:cs="仿宋"/>
                <w:sz w:val="28"/>
                <w:szCs w:val="28"/>
              </w:rPr>
            </w:pPr>
            <w:r>
              <w:rPr>
                <w:rFonts w:hint="eastAsia" w:ascii="仿宋" w:hAnsi="仿宋" w:eastAsia="仿宋" w:cs="仿宋"/>
                <w:sz w:val="28"/>
                <w:szCs w:val="28"/>
              </w:rPr>
              <w:t>日  期</w:t>
            </w:r>
          </w:p>
        </w:tc>
      </w:tr>
      <w:tr w14:paraId="3D5DB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49CAECB6">
            <w:pPr>
              <w:spacing w:line="360" w:lineRule="atLeast"/>
              <w:jc w:val="center"/>
              <w:rPr>
                <w:rFonts w:hint="eastAsia" w:ascii="仿宋" w:hAnsi="仿宋" w:eastAsia="仿宋" w:cs="仿宋"/>
                <w:sz w:val="28"/>
                <w:szCs w:val="28"/>
              </w:rPr>
            </w:pPr>
            <w:r>
              <w:rPr>
                <w:rFonts w:hint="eastAsia" w:ascii="仿宋" w:hAnsi="仿宋" w:eastAsia="仿宋" w:cs="仿宋"/>
                <w:sz w:val="28"/>
                <w:szCs w:val="28"/>
              </w:rPr>
              <w:t>（公章）</w:t>
            </w:r>
          </w:p>
        </w:tc>
        <w:tc>
          <w:tcPr>
            <w:tcW w:w="3420" w:type="dxa"/>
            <w:noWrap w:val="0"/>
            <w:vAlign w:val="center"/>
          </w:tcPr>
          <w:p w14:paraId="07A1BEE5">
            <w:pPr>
              <w:spacing w:line="360" w:lineRule="atLeast"/>
              <w:jc w:val="center"/>
              <w:rPr>
                <w:rFonts w:hint="eastAsia" w:ascii="仿宋" w:hAnsi="仿宋" w:eastAsia="仿宋" w:cs="仿宋"/>
                <w:sz w:val="28"/>
                <w:szCs w:val="28"/>
              </w:rPr>
            </w:pPr>
            <w:r>
              <w:rPr>
                <w:rFonts w:hint="eastAsia" w:ascii="仿宋" w:hAnsi="仿宋" w:eastAsia="仿宋" w:cs="仿宋"/>
                <w:sz w:val="28"/>
                <w:szCs w:val="28"/>
              </w:rPr>
              <w:t>（签字或盖章）</w:t>
            </w:r>
          </w:p>
        </w:tc>
        <w:tc>
          <w:tcPr>
            <w:tcW w:w="2340" w:type="dxa"/>
            <w:noWrap w:val="0"/>
            <w:vAlign w:val="center"/>
          </w:tcPr>
          <w:p w14:paraId="7588B84A">
            <w:pPr>
              <w:spacing w:line="360" w:lineRule="atLeast"/>
              <w:ind w:firstLine="283" w:firstLineChars="100"/>
              <w:jc w:val="center"/>
              <w:rPr>
                <w:rFonts w:hint="eastAsia" w:ascii="仿宋" w:hAnsi="仿宋" w:eastAsia="仿宋" w:cs="仿宋"/>
                <w:sz w:val="28"/>
                <w:szCs w:val="28"/>
              </w:rPr>
            </w:pPr>
            <w:r>
              <w:rPr>
                <w:rFonts w:hint="eastAsia" w:ascii="仿宋" w:hAnsi="仿宋" w:eastAsia="仿宋" w:cs="仿宋"/>
                <w:sz w:val="28"/>
                <w:szCs w:val="28"/>
              </w:rPr>
              <w:t>年  月  日</w:t>
            </w:r>
          </w:p>
        </w:tc>
      </w:tr>
    </w:tbl>
    <w:p w14:paraId="6B655A9D">
      <w:pPr>
        <w:spacing w:line="360" w:lineRule="atLeast"/>
        <w:rPr>
          <w:rFonts w:hint="eastAsia" w:ascii="宋体" w:hAnsi="宋体"/>
          <w:b/>
          <w:sz w:val="42"/>
          <w:szCs w:val="42"/>
        </w:rPr>
      </w:pPr>
    </w:p>
    <w:p w14:paraId="79F21527">
      <w:pPr>
        <w:spacing w:before="190" w:beforeLines="50" w:line="500" w:lineRule="exact"/>
        <w:ind w:firstLine="566" w:firstLineChars="200"/>
        <w:jc w:val="left"/>
        <w:rPr>
          <w:rFonts w:hint="eastAsia" w:cs="华文仿宋"/>
          <w:b/>
          <w:bCs/>
          <w:color w:val="auto"/>
        </w:rPr>
      </w:pPr>
      <w:r>
        <w:rPr>
          <w:rFonts w:hint="eastAsia" w:cs="华文仿宋"/>
          <w:b/>
          <w:bCs/>
          <w:color w:val="auto"/>
        </w:rPr>
        <w:t>承诺书Ⅲ</w:t>
      </w:r>
    </w:p>
    <w:tbl>
      <w:tblPr>
        <w:tblStyle w:val="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07DE6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70" w:hRule="atLeast"/>
          <w:jc w:val="center"/>
        </w:trPr>
        <w:tc>
          <w:tcPr>
            <w:tcW w:w="9000" w:type="dxa"/>
            <w:gridSpan w:val="3"/>
            <w:noWrap w:val="0"/>
            <w:vAlign w:val="center"/>
          </w:tcPr>
          <w:p w14:paraId="137438FD">
            <w:pPr>
              <w:spacing w:line="360" w:lineRule="atLeast"/>
              <w:rPr>
                <w:rFonts w:hint="eastAsia" w:ascii="仿宋" w:hAnsi="仿宋" w:eastAsia="仿宋" w:cs="仿宋"/>
                <w:sz w:val="28"/>
                <w:szCs w:val="28"/>
                <w:lang w:eastAsia="zh-CN"/>
              </w:rPr>
            </w:pPr>
            <w:r>
              <w:rPr>
                <w:rFonts w:hint="eastAsia" w:ascii="仿宋" w:hAnsi="仿宋" w:eastAsia="仿宋" w:cs="仿宋"/>
                <w:sz w:val="28"/>
                <w:szCs w:val="28"/>
              </w:rPr>
              <w:t>致：</w:t>
            </w:r>
            <w:r>
              <w:rPr>
                <w:rFonts w:hint="eastAsia" w:ascii="仿宋" w:hAnsi="仿宋" w:eastAsia="仿宋" w:cs="仿宋"/>
                <w:sz w:val="28"/>
                <w:szCs w:val="28"/>
                <w:lang w:eastAsia="zh-CN"/>
              </w:rPr>
              <w:t>延安市公共资源交易中心（延安市市直单位政府采购中心）</w:t>
            </w:r>
          </w:p>
        </w:tc>
      </w:tr>
      <w:tr w14:paraId="518E9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19B11CBF">
            <w:pPr>
              <w:spacing w:line="360" w:lineRule="atLeast"/>
              <w:ind w:firstLine="566" w:firstLineChars="200"/>
              <w:rPr>
                <w:rFonts w:hint="eastAsia" w:ascii="仿宋" w:hAnsi="仿宋" w:eastAsia="仿宋" w:cs="仿宋"/>
                <w:sz w:val="28"/>
                <w:szCs w:val="28"/>
              </w:rPr>
            </w:pPr>
            <w:r>
              <w:rPr>
                <w:rFonts w:hint="eastAsia" w:ascii="仿宋" w:hAnsi="仿宋" w:eastAsia="仿宋" w:cs="仿宋"/>
                <w:sz w:val="28"/>
                <w:szCs w:val="28"/>
              </w:rPr>
              <w:t>作为参加贵单位组织的招标采购项目的投标人，本公司郑重申告并承诺：近三年受到有关行政主管部门的行政处理、不良行为记录为    次（没有填零），如有隐瞒实情，愿承担一切责任及后果。</w:t>
            </w:r>
          </w:p>
        </w:tc>
      </w:tr>
      <w:tr w14:paraId="6395F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7EE22183">
            <w:pPr>
              <w:spacing w:line="360" w:lineRule="atLeast"/>
              <w:jc w:val="center"/>
              <w:rPr>
                <w:rFonts w:hint="eastAsia" w:ascii="仿宋" w:hAnsi="仿宋" w:eastAsia="仿宋" w:cs="仿宋"/>
                <w:sz w:val="28"/>
                <w:szCs w:val="28"/>
              </w:rPr>
            </w:pPr>
            <w:r>
              <w:rPr>
                <w:rFonts w:hint="eastAsia" w:ascii="仿宋" w:hAnsi="仿宋" w:eastAsia="仿宋" w:cs="仿宋"/>
                <w:sz w:val="28"/>
                <w:szCs w:val="28"/>
              </w:rPr>
              <w:t>投标人</w:t>
            </w:r>
          </w:p>
        </w:tc>
        <w:tc>
          <w:tcPr>
            <w:tcW w:w="3420" w:type="dxa"/>
            <w:noWrap w:val="0"/>
            <w:vAlign w:val="center"/>
          </w:tcPr>
          <w:p w14:paraId="7370FE82">
            <w:pPr>
              <w:spacing w:line="360" w:lineRule="atLeast"/>
              <w:jc w:val="center"/>
              <w:rPr>
                <w:rFonts w:hint="eastAsia" w:ascii="仿宋" w:hAnsi="仿宋" w:eastAsia="仿宋" w:cs="仿宋"/>
                <w:sz w:val="28"/>
                <w:szCs w:val="28"/>
              </w:rPr>
            </w:pPr>
            <w:r>
              <w:rPr>
                <w:rFonts w:hint="eastAsia" w:ascii="仿宋" w:hAnsi="仿宋" w:eastAsia="仿宋" w:cs="仿宋"/>
                <w:sz w:val="28"/>
                <w:szCs w:val="28"/>
              </w:rPr>
              <w:t>法定代表人</w:t>
            </w:r>
          </w:p>
        </w:tc>
        <w:tc>
          <w:tcPr>
            <w:tcW w:w="2340" w:type="dxa"/>
            <w:noWrap w:val="0"/>
            <w:vAlign w:val="center"/>
          </w:tcPr>
          <w:p w14:paraId="76028926">
            <w:pPr>
              <w:spacing w:line="360" w:lineRule="atLeast"/>
              <w:jc w:val="center"/>
              <w:rPr>
                <w:rFonts w:hint="eastAsia" w:ascii="仿宋" w:hAnsi="仿宋" w:eastAsia="仿宋" w:cs="仿宋"/>
                <w:sz w:val="28"/>
                <w:szCs w:val="28"/>
              </w:rPr>
            </w:pPr>
            <w:r>
              <w:rPr>
                <w:rFonts w:hint="eastAsia" w:ascii="仿宋" w:hAnsi="仿宋" w:eastAsia="仿宋" w:cs="仿宋"/>
                <w:sz w:val="28"/>
                <w:szCs w:val="28"/>
              </w:rPr>
              <w:t>日  期</w:t>
            </w:r>
          </w:p>
        </w:tc>
      </w:tr>
      <w:tr w14:paraId="27334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788D4270">
            <w:pPr>
              <w:spacing w:line="360" w:lineRule="atLeast"/>
              <w:jc w:val="center"/>
              <w:rPr>
                <w:rFonts w:hint="eastAsia" w:ascii="仿宋" w:hAnsi="仿宋" w:eastAsia="仿宋" w:cs="仿宋"/>
                <w:sz w:val="28"/>
                <w:szCs w:val="28"/>
              </w:rPr>
            </w:pPr>
            <w:r>
              <w:rPr>
                <w:rFonts w:hint="eastAsia" w:ascii="仿宋" w:hAnsi="仿宋" w:eastAsia="仿宋" w:cs="仿宋"/>
                <w:sz w:val="28"/>
                <w:szCs w:val="28"/>
              </w:rPr>
              <w:t>（公章）</w:t>
            </w:r>
          </w:p>
        </w:tc>
        <w:tc>
          <w:tcPr>
            <w:tcW w:w="3420" w:type="dxa"/>
            <w:noWrap w:val="0"/>
            <w:vAlign w:val="center"/>
          </w:tcPr>
          <w:p w14:paraId="3230B574">
            <w:pPr>
              <w:spacing w:line="360" w:lineRule="atLeast"/>
              <w:jc w:val="center"/>
              <w:rPr>
                <w:rFonts w:hint="eastAsia" w:ascii="仿宋" w:hAnsi="仿宋" w:eastAsia="仿宋" w:cs="仿宋"/>
                <w:sz w:val="28"/>
                <w:szCs w:val="28"/>
              </w:rPr>
            </w:pPr>
            <w:r>
              <w:rPr>
                <w:rFonts w:hint="eastAsia" w:ascii="仿宋" w:hAnsi="仿宋" w:eastAsia="仿宋" w:cs="仿宋"/>
                <w:sz w:val="28"/>
                <w:szCs w:val="28"/>
              </w:rPr>
              <w:t>（签字或盖章）</w:t>
            </w:r>
          </w:p>
        </w:tc>
        <w:tc>
          <w:tcPr>
            <w:tcW w:w="2340" w:type="dxa"/>
            <w:noWrap w:val="0"/>
            <w:vAlign w:val="center"/>
          </w:tcPr>
          <w:p w14:paraId="2F2077F4">
            <w:pPr>
              <w:spacing w:line="360" w:lineRule="atLeast"/>
              <w:jc w:val="center"/>
              <w:rPr>
                <w:rFonts w:hint="eastAsia" w:ascii="仿宋" w:hAnsi="仿宋" w:eastAsia="仿宋" w:cs="仿宋"/>
                <w:sz w:val="28"/>
                <w:szCs w:val="28"/>
              </w:rPr>
            </w:pPr>
            <w:r>
              <w:rPr>
                <w:rFonts w:hint="eastAsia" w:ascii="仿宋" w:hAnsi="仿宋" w:eastAsia="仿宋" w:cs="仿宋"/>
                <w:sz w:val="28"/>
                <w:szCs w:val="28"/>
              </w:rPr>
              <w:t>年  月  日</w:t>
            </w:r>
          </w:p>
        </w:tc>
      </w:tr>
    </w:tbl>
    <w:p w14:paraId="39A19616">
      <w:pPr>
        <w:spacing w:line="360" w:lineRule="atLeast"/>
        <w:rPr>
          <w:rFonts w:hint="eastAsia" w:ascii="宋体" w:hAnsi="宋体"/>
          <w:b/>
          <w:sz w:val="32"/>
          <w:szCs w:val="32"/>
        </w:rPr>
      </w:pPr>
    </w:p>
    <w:p w14:paraId="3387DABB">
      <w:pPr>
        <w:spacing w:line="360" w:lineRule="atLeast"/>
        <w:jc w:val="center"/>
        <w:rPr>
          <w:rFonts w:hint="eastAsia" w:ascii="宋体" w:hAnsi="宋体"/>
          <w:b/>
          <w:sz w:val="32"/>
          <w:szCs w:val="32"/>
        </w:rPr>
      </w:pPr>
    </w:p>
    <w:p w14:paraId="1AD57D8D">
      <w:pPr>
        <w:spacing w:before="190" w:beforeLines="50" w:line="500" w:lineRule="exact"/>
        <w:ind w:firstLine="566" w:firstLineChars="200"/>
        <w:jc w:val="left"/>
        <w:rPr>
          <w:rFonts w:hint="eastAsia" w:cs="华文仿宋"/>
          <w:b/>
          <w:bCs/>
          <w:color w:val="auto"/>
        </w:rPr>
      </w:pPr>
      <w:r>
        <w:rPr>
          <w:rFonts w:hint="eastAsia" w:cs="华文仿宋"/>
          <w:b/>
          <w:bCs/>
          <w:color w:val="auto"/>
        </w:rPr>
        <w:t>承诺书Ⅳ</w:t>
      </w:r>
    </w:p>
    <w:tbl>
      <w:tblPr>
        <w:tblStyle w:val="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73883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3CB62686">
            <w:pPr>
              <w:spacing w:line="360" w:lineRule="atLeast"/>
              <w:rPr>
                <w:rFonts w:hint="eastAsia" w:ascii="仿宋" w:hAnsi="仿宋" w:eastAsia="仿宋" w:cs="仿宋"/>
                <w:sz w:val="28"/>
                <w:szCs w:val="28"/>
                <w:lang w:eastAsia="zh-CN"/>
              </w:rPr>
            </w:pPr>
            <w:r>
              <w:rPr>
                <w:rFonts w:hint="eastAsia" w:ascii="仿宋" w:hAnsi="仿宋" w:eastAsia="仿宋" w:cs="仿宋"/>
                <w:sz w:val="28"/>
                <w:szCs w:val="28"/>
              </w:rPr>
              <w:t>致：</w:t>
            </w:r>
            <w:r>
              <w:rPr>
                <w:rFonts w:hint="eastAsia" w:ascii="仿宋" w:hAnsi="仿宋" w:eastAsia="仿宋" w:cs="仿宋"/>
                <w:sz w:val="28"/>
                <w:szCs w:val="28"/>
                <w:lang w:eastAsia="zh-CN"/>
              </w:rPr>
              <w:t>延安市公共资源交易中心（延安市市直单位政府采购中心）</w:t>
            </w:r>
          </w:p>
        </w:tc>
      </w:tr>
      <w:tr w14:paraId="6F341A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4ACAF646">
            <w:pPr>
              <w:spacing w:line="360" w:lineRule="atLeast"/>
              <w:ind w:firstLine="566" w:firstLineChars="200"/>
              <w:rPr>
                <w:rFonts w:hint="eastAsia" w:ascii="仿宋" w:hAnsi="仿宋" w:eastAsia="仿宋" w:cs="仿宋"/>
                <w:sz w:val="28"/>
                <w:szCs w:val="28"/>
              </w:rPr>
            </w:pPr>
            <w:r>
              <w:rPr>
                <w:rFonts w:hint="eastAsia" w:ascii="仿宋" w:hAnsi="仿宋" w:eastAsia="仿宋" w:cs="仿宋"/>
                <w:sz w:val="28"/>
                <w:szCs w:val="28"/>
              </w:rPr>
              <w:t>作为参加贵单位组织的招标采购项目的投标人，本公司郑重申告：近三年</w:t>
            </w:r>
            <w:r>
              <w:rPr>
                <w:rFonts w:hint="eastAsia" w:ascii="仿宋" w:hAnsi="仿宋" w:eastAsia="仿宋" w:cs="仿宋"/>
                <w:sz w:val="28"/>
                <w:szCs w:val="28"/>
                <w:lang w:val="en-US" w:eastAsia="zh-CN"/>
              </w:rPr>
              <w:t>存在任何</w:t>
            </w:r>
            <w:r>
              <w:rPr>
                <w:rFonts w:hint="eastAsia" w:ascii="仿宋" w:hAnsi="仿宋" w:eastAsia="仿宋" w:cs="仿宋"/>
                <w:sz w:val="28"/>
                <w:szCs w:val="28"/>
              </w:rPr>
              <w:t>不法行为记录为   次（没有填零），如有隐瞒实情，愿承担一切责任及后果。</w:t>
            </w:r>
          </w:p>
          <w:p w14:paraId="0D0E2458">
            <w:pPr>
              <w:spacing w:line="360" w:lineRule="atLeast"/>
              <w:rPr>
                <w:rFonts w:hint="eastAsia" w:ascii="仿宋" w:hAnsi="仿宋" w:eastAsia="仿宋" w:cs="仿宋"/>
                <w:sz w:val="28"/>
                <w:szCs w:val="28"/>
              </w:rPr>
            </w:pPr>
            <w:r>
              <w:rPr>
                <w:rFonts w:hint="eastAsia" w:ascii="仿宋" w:hAnsi="仿宋" w:eastAsia="仿宋" w:cs="仿宋"/>
                <w:sz w:val="28"/>
                <w:szCs w:val="28"/>
              </w:rPr>
              <w:t>本公司承诺：本次</w:t>
            </w:r>
            <w:r>
              <w:rPr>
                <w:rFonts w:hint="eastAsia" w:ascii="仿宋" w:hAnsi="仿宋" w:eastAsia="仿宋" w:cs="仿宋"/>
                <w:sz w:val="28"/>
                <w:szCs w:val="28"/>
                <w:lang w:val="en-US" w:eastAsia="zh-CN"/>
              </w:rPr>
              <w:t>所投服务无任何纠纷</w:t>
            </w:r>
            <w:r>
              <w:rPr>
                <w:rFonts w:hint="eastAsia" w:ascii="仿宋" w:hAnsi="仿宋" w:eastAsia="仿宋" w:cs="仿宋"/>
                <w:sz w:val="28"/>
                <w:szCs w:val="28"/>
              </w:rPr>
              <w:t>。</w:t>
            </w:r>
          </w:p>
        </w:tc>
      </w:tr>
      <w:tr w14:paraId="1B408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252794E9">
            <w:pPr>
              <w:spacing w:line="360" w:lineRule="atLeast"/>
              <w:jc w:val="center"/>
              <w:rPr>
                <w:rFonts w:hint="eastAsia" w:ascii="仿宋" w:hAnsi="仿宋" w:eastAsia="仿宋" w:cs="仿宋"/>
                <w:sz w:val="28"/>
                <w:szCs w:val="28"/>
              </w:rPr>
            </w:pPr>
            <w:r>
              <w:rPr>
                <w:rFonts w:hint="eastAsia" w:ascii="仿宋" w:hAnsi="仿宋" w:eastAsia="仿宋" w:cs="仿宋"/>
                <w:sz w:val="28"/>
                <w:szCs w:val="28"/>
              </w:rPr>
              <w:t>投标人</w:t>
            </w:r>
          </w:p>
        </w:tc>
        <w:tc>
          <w:tcPr>
            <w:tcW w:w="3420" w:type="dxa"/>
            <w:noWrap w:val="0"/>
            <w:vAlign w:val="center"/>
          </w:tcPr>
          <w:p w14:paraId="5AE8E977">
            <w:pPr>
              <w:spacing w:line="360" w:lineRule="atLeast"/>
              <w:jc w:val="center"/>
              <w:rPr>
                <w:rFonts w:hint="eastAsia" w:ascii="仿宋" w:hAnsi="仿宋" w:eastAsia="仿宋" w:cs="仿宋"/>
                <w:sz w:val="28"/>
                <w:szCs w:val="28"/>
              </w:rPr>
            </w:pPr>
            <w:r>
              <w:rPr>
                <w:rFonts w:hint="eastAsia" w:ascii="仿宋" w:hAnsi="仿宋" w:eastAsia="仿宋" w:cs="仿宋"/>
                <w:sz w:val="28"/>
                <w:szCs w:val="28"/>
              </w:rPr>
              <w:t>法定代表人</w:t>
            </w:r>
          </w:p>
        </w:tc>
        <w:tc>
          <w:tcPr>
            <w:tcW w:w="2340" w:type="dxa"/>
            <w:noWrap w:val="0"/>
            <w:vAlign w:val="center"/>
          </w:tcPr>
          <w:p w14:paraId="5A76E165">
            <w:pPr>
              <w:spacing w:line="360" w:lineRule="atLeast"/>
              <w:jc w:val="center"/>
              <w:rPr>
                <w:rFonts w:hint="eastAsia" w:ascii="仿宋" w:hAnsi="仿宋" w:eastAsia="仿宋" w:cs="仿宋"/>
                <w:sz w:val="28"/>
                <w:szCs w:val="28"/>
              </w:rPr>
            </w:pPr>
            <w:r>
              <w:rPr>
                <w:rFonts w:hint="eastAsia" w:ascii="仿宋" w:hAnsi="仿宋" w:eastAsia="仿宋" w:cs="仿宋"/>
                <w:sz w:val="28"/>
                <w:szCs w:val="28"/>
              </w:rPr>
              <w:t>日   期</w:t>
            </w:r>
          </w:p>
        </w:tc>
      </w:tr>
      <w:tr w14:paraId="34F9A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28034802">
            <w:pPr>
              <w:spacing w:line="360" w:lineRule="atLeast"/>
              <w:jc w:val="center"/>
              <w:rPr>
                <w:rFonts w:hint="eastAsia" w:ascii="仿宋" w:hAnsi="仿宋" w:eastAsia="仿宋" w:cs="仿宋"/>
                <w:sz w:val="28"/>
                <w:szCs w:val="28"/>
              </w:rPr>
            </w:pPr>
            <w:r>
              <w:rPr>
                <w:rFonts w:hint="eastAsia" w:ascii="仿宋" w:hAnsi="仿宋" w:eastAsia="仿宋" w:cs="仿宋"/>
                <w:sz w:val="28"/>
                <w:szCs w:val="28"/>
              </w:rPr>
              <w:t>（公章）</w:t>
            </w:r>
          </w:p>
        </w:tc>
        <w:tc>
          <w:tcPr>
            <w:tcW w:w="3420" w:type="dxa"/>
            <w:noWrap w:val="0"/>
            <w:vAlign w:val="center"/>
          </w:tcPr>
          <w:p w14:paraId="31DF8D1F">
            <w:pPr>
              <w:spacing w:line="360" w:lineRule="atLeast"/>
              <w:jc w:val="center"/>
              <w:rPr>
                <w:rFonts w:hint="eastAsia" w:ascii="仿宋" w:hAnsi="仿宋" w:eastAsia="仿宋" w:cs="仿宋"/>
                <w:sz w:val="28"/>
                <w:szCs w:val="28"/>
              </w:rPr>
            </w:pPr>
            <w:r>
              <w:rPr>
                <w:rFonts w:hint="eastAsia" w:ascii="仿宋" w:hAnsi="仿宋" w:eastAsia="仿宋" w:cs="仿宋"/>
                <w:sz w:val="28"/>
                <w:szCs w:val="28"/>
              </w:rPr>
              <w:t>（签字或盖章）</w:t>
            </w:r>
          </w:p>
        </w:tc>
        <w:tc>
          <w:tcPr>
            <w:tcW w:w="2340" w:type="dxa"/>
            <w:noWrap w:val="0"/>
            <w:vAlign w:val="center"/>
          </w:tcPr>
          <w:p w14:paraId="2363419C">
            <w:pPr>
              <w:spacing w:line="360" w:lineRule="atLeast"/>
              <w:jc w:val="center"/>
              <w:rPr>
                <w:rFonts w:hint="eastAsia" w:ascii="仿宋" w:hAnsi="仿宋" w:eastAsia="仿宋" w:cs="仿宋"/>
                <w:sz w:val="28"/>
                <w:szCs w:val="28"/>
              </w:rPr>
            </w:pPr>
            <w:r>
              <w:rPr>
                <w:rFonts w:hint="eastAsia" w:ascii="仿宋" w:hAnsi="仿宋" w:eastAsia="仿宋" w:cs="仿宋"/>
                <w:sz w:val="28"/>
                <w:szCs w:val="28"/>
              </w:rPr>
              <w:t>年  月  日</w:t>
            </w:r>
          </w:p>
        </w:tc>
      </w:tr>
    </w:tbl>
    <w:p w14:paraId="5DEFB0C3">
      <w:pPr>
        <w:spacing w:line="360" w:lineRule="auto"/>
        <w:ind w:right="480"/>
        <w:rPr>
          <w:rFonts w:hint="eastAsia" w:ascii="宋体" w:hAnsi="宋体"/>
          <w:sz w:val="24"/>
          <w:szCs w:val="28"/>
        </w:rPr>
      </w:pPr>
    </w:p>
    <w:p w14:paraId="5FCAE6EE">
      <w:pPr>
        <w:spacing w:before="190" w:beforeLines="50" w:line="500" w:lineRule="exact"/>
        <w:ind w:firstLine="566" w:firstLineChars="200"/>
        <w:jc w:val="left"/>
        <w:rPr>
          <w:rFonts w:hint="eastAsia" w:cs="华文仿宋"/>
          <w:b/>
          <w:bCs/>
          <w:color w:val="auto"/>
        </w:rPr>
      </w:pPr>
      <w:r>
        <w:rPr>
          <w:rFonts w:hint="eastAsia" w:cs="华文仿宋"/>
          <w:b/>
          <w:bCs/>
          <w:color w:val="auto"/>
        </w:rPr>
        <w:t>承诺书</w:t>
      </w:r>
      <w:r>
        <w:rPr>
          <w:rFonts w:hint="eastAsia" w:cs="华文仿宋"/>
          <w:b/>
          <w:bCs/>
          <w:color w:val="auto"/>
        </w:rPr>
        <w:fldChar w:fldCharType="begin"/>
      </w:r>
      <w:r>
        <w:rPr>
          <w:rFonts w:hint="eastAsia" w:cs="华文仿宋"/>
          <w:b/>
          <w:bCs/>
          <w:color w:val="auto"/>
        </w:rPr>
        <w:instrText xml:space="preserve"> = 5 \* ROMAN </w:instrText>
      </w:r>
      <w:r>
        <w:rPr>
          <w:rFonts w:hint="eastAsia" w:cs="华文仿宋"/>
          <w:b/>
          <w:bCs/>
          <w:color w:val="auto"/>
        </w:rPr>
        <w:fldChar w:fldCharType="separate"/>
      </w:r>
      <w:r>
        <w:rPr>
          <w:rFonts w:hint="eastAsia" w:cs="华文仿宋"/>
          <w:b/>
          <w:bCs/>
          <w:color w:val="auto"/>
        </w:rPr>
        <w:t>V</w:t>
      </w:r>
      <w:r>
        <w:rPr>
          <w:rFonts w:hint="eastAsia" w:cs="华文仿宋"/>
          <w:b/>
          <w:bCs/>
          <w:color w:val="auto"/>
        </w:rPr>
        <w:fldChar w:fldCharType="end"/>
      </w:r>
    </w:p>
    <w:tbl>
      <w:tblPr>
        <w:tblStyle w:val="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248F7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70" w:hRule="atLeast"/>
          <w:jc w:val="center"/>
        </w:trPr>
        <w:tc>
          <w:tcPr>
            <w:tcW w:w="9000" w:type="dxa"/>
            <w:gridSpan w:val="3"/>
            <w:noWrap w:val="0"/>
            <w:vAlign w:val="center"/>
          </w:tcPr>
          <w:p w14:paraId="1A991D39">
            <w:pPr>
              <w:spacing w:line="360" w:lineRule="atLeast"/>
              <w:rPr>
                <w:rFonts w:hint="eastAsia" w:ascii="仿宋" w:hAnsi="仿宋" w:eastAsia="仿宋" w:cs="仿宋"/>
                <w:sz w:val="28"/>
                <w:szCs w:val="28"/>
                <w:lang w:eastAsia="zh-CN"/>
              </w:rPr>
            </w:pPr>
            <w:r>
              <w:rPr>
                <w:rFonts w:hint="eastAsia" w:ascii="仿宋" w:hAnsi="仿宋" w:eastAsia="仿宋" w:cs="仿宋"/>
                <w:sz w:val="28"/>
                <w:szCs w:val="28"/>
              </w:rPr>
              <w:t>致：</w:t>
            </w:r>
            <w:r>
              <w:rPr>
                <w:rFonts w:hint="eastAsia" w:ascii="仿宋" w:hAnsi="仿宋" w:eastAsia="仿宋" w:cs="仿宋"/>
                <w:sz w:val="28"/>
                <w:szCs w:val="28"/>
                <w:lang w:eastAsia="zh-CN"/>
              </w:rPr>
              <w:t>延安市公共资源交易中心（延安市市直单位政府采购中心）</w:t>
            </w:r>
          </w:p>
        </w:tc>
      </w:tr>
      <w:tr w14:paraId="43CFF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577846CF">
            <w:pPr>
              <w:spacing w:line="360" w:lineRule="atLeast"/>
              <w:ind w:firstLine="566" w:firstLineChars="200"/>
              <w:rPr>
                <w:rFonts w:hint="eastAsia" w:ascii="仿宋" w:hAnsi="仿宋" w:eastAsia="仿宋" w:cs="仿宋"/>
                <w:sz w:val="28"/>
                <w:szCs w:val="28"/>
              </w:rPr>
            </w:pPr>
            <w:r>
              <w:rPr>
                <w:rFonts w:hint="eastAsia" w:ascii="仿宋" w:hAnsi="仿宋" w:eastAsia="仿宋" w:cs="仿宋"/>
                <w:sz w:val="28"/>
                <w:szCs w:val="28"/>
              </w:rPr>
              <w:t>作为参加贵单位组织的招标采购项目的投标人，本公司承诺：参加本次投标提交的所有资质证明文件及业绩证明文件是真实的、有效的，如有隐瞒实情，愿承担一切责任及后果。</w:t>
            </w:r>
          </w:p>
        </w:tc>
      </w:tr>
      <w:tr w14:paraId="5A625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59097F1E">
            <w:pPr>
              <w:spacing w:line="360" w:lineRule="atLeast"/>
              <w:jc w:val="center"/>
              <w:rPr>
                <w:rFonts w:hint="eastAsia" w:ascii="仿宋" w:hAnsi="仿宋" w:eastAsia="仿宋" w:cs="仿宋"/>
                <w:sz w:val="28"/>
                <w:szCs w:val="28"/>
              </w:rPr>
            </w:pPr>
            <w:r>
              <w:rPr>
                <w:rFonts w:hint="eastAsia" w:ascii="仿宋" w:hAnsi="仿宋" w:eastAsia="仿宋" w:cs="仿宋"/>
                <w:sz w:val="28"/>
                <w:szCs w:val="28"/>
              </w:rPr>
              <w:t>投标人</w:t>
            </w:r>
          </w:p>
        </w:tc>
        <w:tc>
          <w:tcPr>
            <w:tcW w:w="3420" w:type="dxa"/>
            <w:noWrap w:val="0"/>
            <w:vAlign w:val="center"/>
          </w:tcPr>
          <w:p w14:paraId="52EC0ED8">
            <w:pPr>
              <w:spacing w:line="360" w:lineRule="atLeast"/>
              <w:jc w:val="center"/>
              <w:rPr>
                <w:rFonts w:hint="eastAsia" w:ascii="仿宋" w:hAnsi="仿宋" w:eastAsia="仿宋" w:cs="仿宋"/>
                <w:sz w:val="28"/>
                <w:szCs w:val="28"/>
              </w:rPr>
            </w:pPr>
            <w:r>
              <w:rPr>
                <w:rFonts w:hint="eastAsia" w:ascii="仿宋" w:hAnsi="仿宋" w:eastAsia="仿宋" w:cs="仿宋"/>
                <w:sz w:val="28"/>
                <w:szCs w:val="28"/>
              </w:rPr>
              <w:t>法定代表人</w:t>
            </w:r>
          </w:p>
        </w:tc>
        <w:tc>
          <w:tcPr>
            <w:tcW w:w="2340" w:type="dxa"/>
            <w:noWrap w:val="0"/>
            <w:vAlign w:val="center"/>
          </w:tcPr>
          <w:p w14:paraId="77FEC5D4">
            <w:pPr>
              <w:spacing w:line="360" w:lineRule="atLeast"/>
              <w:jc w:val="center"/>
              <w:rPr>
                <w:rFonts w:hint="eastAsia" w:ascii="仿宋" w:hAnsi="仿宋" w:eastAsia="仿宋" w:cs="仿宋"/>
                <w:sz w:val="28"/>
                <w:szCs w:val="28"/>
              </w:rPr>
            </w:pPr>
            <w:r>
              <w:rPr>
                <w:rFonts w:hint="eastAsia" w:ascii="仿宋" w:hAnsi="仿宋" w:eastAsia="仿宋" w:cs="仿宋"/>
                <w:sz w:val="28"/>
                <w:szCs w:val="28"/>
              </w:rPr>
              <w:t>日   期</w:t>
            </w:r>
          </w:p>
        </w:tc>
      </w:tr>
      <w:tr w14:paraId="11B0C9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3335CE19">
            <w:pPr>
              <w:spacing w:line="360" w:lineRule="atLeast"/>
              <w:jc w:val="center"/>
              <w:rPr>
                <w:rFonts w:hint="eastAsia" w:ascii="仿宋" w:hAnsi="仿宋" w:eastAsia="仿宋" w:cs="仿宋"/>
                <w:sz w:val="28"/>
                <w:szCs w:val="28"/>
              </w:rPr>
            </w:pPr>
            <w:r>
              <w:rPr>
                <w:rFonts w:hint="eastAsia" w:ascii="仿宋" w:hAnsi="仿宋" w:eastAsia="仿宋" w:cs="仿宋"/>
                <w:sz w:val="28"/>
                <w:szCs w:val="28"/>
              </w:rPr>
              <w:t>（公章）</w:t>
            </w:r>
          </w:p>
        </w:tc>
        <w:tc>
          <w:tcPr>
            <w:tcW w:w="3420" w:type="dxa"/>
            <w:noWrap w:val="0"/>
            <w:vAlign w:val="center"/>
          </w:tcPr>
          <w:p w14:paraId="031A110B">
            <w:pPr>
              <w:spacing w:line="360" w:lineRule="atLeast"/>
              <w:jc w:val="center"/>
              <w:rPr>
                <w:rFonts w:hint="eastAsia" w:ascii="仿宋" w:hAnsi="仿宋" w:eastAsia="仿宋" w:cs="仿宋"/>
                <w:sz w:val="28"/>
                <w:szCs w:val="28"/>
              </w:rPr>
            </w:pPr>
            <w:r>
              <w:rPr>
                <w:rFonts w:hint="eastAsia" w:ascii="仿宋" w:hAnsi="仿宋" w:eastAsia="仿宋" w:cs="仿宋"/>
                <w:sz w:val="28"/>
                <w:szCs w:val="28"/>
              </w:rPr>
              <w:t>（签字或盖章）</w:t>
            </w:r>
          </w:p>
        </w:tc>
        <w:tc>
          <w:tcPr>
            <w:tcW w:w="2340" w:type="dxa"/>
            <w:noWrap w:val="0"/>
            <w:vAlign w:val="center"/>
          </w:tcPr>
          <w:p w14:paraId="7DC57EB4">
            <w:pPr>
              <w:spacing w:line="360" w:lineRule="atLeast"/>
              <w:jc w:val="center"/>
              <w:rPr>
                <w:rFonts w:hint="eastAsia" w:ascii="仿宋" w:hAnsi="仿宋" w:eastAsia="仿宋" w:cs="仿宋"/>
                <w:sz w:val="28"/>
                <w:szCs w:val="28"/>
              </w:rPr>
            </w:pPr>
            <w:r>
              <w:rPr>
                <w:rFonts w:hint="eastAsia" w:ascii="仿宋" w:hAnsi="仿宋" w:eastAsia="仿宋" w:cs="仿宋"/>
                <w:sz w:val="28"/>
                <w:szCs w:val="28"/>
              </w:rPr>
              <w:t>年  月  日</w:t>
            </w:r>
          </w:p>
        </w:tc>
      </w:tr>
    </w:tbl>
    <w:p w14:paraId="5C236DFC">
      <w:pPr>
        <w:wordWrap w:val="0"/>
        <w:spacing w:line="360" w:lineRule="auto"/>
        <w:ind w:right="456" w:firstLine="2584" w:firstLineChars="800"/>
        <w:rPr>
          <w:rFonts w:hint="eastAsia" w:ascii="宋体" w:hAnsi="宋体"/>
          <w:b/>
          <w:bCs/>
          <w:color w:val="000000"/>
          <w:sz w:val="32"/>
        </w:rPr>
      </w:pPr>
    </w:p>
    <w:p w14:paraId="5CB5AF0D">
      <w:pPr>
        <w:wordWrap w:val="0"/>
        <w:spacing w:line="360" w:lineRule="auto"/>
        <w:ind w:right="456" w:firstLine="2584" w:firstLineChars="800"/>
        <w:rPr>
          <w:rFonts w:hint="eastAsia" w:ascii="宋体" w:hAnsi="宋体"/>
          <w:b/>
          <w:bCs/>
          <w:color w:val="000000"/>
          <w:sz w:val="32"/>
        </w:rPr>
      </w:pPr>
    </w:p>
    <w:p w14:paraId="326C039F">
      <w:pPr>
        <w:pStyle w:val="12"/>
        <w:rPr>
          <w:rFonts w:hint="eastAsia" w:ascii="宋体" w:hAnsi="宋体" w:eastAsia="宋体" w:cs="Times New Roman"/>
          <w:sz w:val="24"/>
          <w:szCs w:val="28"/>
        </w:rPr>
      </w:pPr>
    </w:p>
    <w:p w14:paraId="4F438A0F">
      <w:pPr>
        <w:spacing w:line="500" w:lineRule="exact"/>
        <w:jc w:val="left"/>
        <w:outlineLvl w:val="2"/>
        <w:rPr>
          <w:rFonts w:ascii="仿宋" w:hAnsi="仿宋" w:eastAsia="仿宋" w:cs="仿宋"/>
          <w:b/>
          <w:bCs/>
          <w:color w:val="auto"/>
          <w:sz w:val="32"/>
          <w:szCs w:val="32"/>
        </w:rPr>
      </w:pPr>
      <w:bookmarkStart w:id="759" w:name="_Toc28398"/>
      <w:bookmarkEnd w:id="759"/>
      <w:bookmarkStart w:id="760" w:name="_Toc17794"/>
      <w:bookmarkEnd w:id="760"/>
      <w:bookmarkStart w:id="761" w:name="_Toc11343"/>
      <w:bookmarkEnd w:id="761"/>
      <w:bookmarkStart w:id="762" w:name="_Toc9339"/>
      <w:bookmarkEnd w:id="762"/>
      <w:bookmarkStart w:id="763" w:name="_Toc29995"/>
      <w:bookmarkEnd w:id="763"/>
      <w:bookmarkStart w:id="764" w:name="_Toc1596"/>
      <w:bookmarkEnd w:id="764"/>
      <w:bookmarkStart w:id="765" w:name="_Toc14522"/>
      <w:bookmarkEnd w:id="765"/>
      <w:r>
        <w:rPr>
          <w:rFonts w:hint="eastAsia" w:ascii="仿宋" w:hAnsi="仿宋" w:eastAsia="仿宋" w:cs="仿宋"/>
          <w:b/>
          <w:bCs/>
          <w:color w:val="auto"/>
          <w:sz w:val="32"/>
          <w:szCs w:val="32"/>
        </w:rPr>
        <w:t>四、技术服务偏差表</w:t>
      </w:r>
    </w:p>
    <w:p w14:paraId="2D55243A">
      <w:pPr>
        <w:pStyle w:val="64"/>
        <w:spacing w:line="500" w:lineRule="exact"/>
        <w:rPr>
          <w:rFonts w:ascii="仿宋" w:hAnsi="仿宋" w:eastAsia="仿宋" w:cs="仿宋"/>
          <w:b/>
          <w:bCs/>
          <w:color w:val="auto"/>
          <w:sz w:val="28"/>
          <w:szCs w:val="28"/>
        </w:rPr>
      </w:pPr>
      <w:r>
        <w:rPr>
          <w:rFonts w:hint="eastAsia" w:ascii="仿宋" w:hAnsi="仿宋" w:eastAsia="仿宋" w:cs="仿宋"/>
          <w:b/>
          <w:bCs/>
          <w:color w:val="auto"/>
          <w:sz w:val="28"/>
          <w:szCs w:val="28"/>
        </w:rPr>
        <w:t>（一）实质性条款响应表</w:t>
      </w:r>
    </w:p>
    <w:tbl>
      <w:tblPr>
        <w:tblStyle w:val="29"/>
        <w:tblW w:w="475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8"/>
        <w:gridCol w:w="3249"/>
        <w:gridCol w:w="3113"/>
        <w:gridCol w:w="1697"/>
      </w:tblGrid>
      <w:tr w14:paraId="6E8D0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440" w:type="pct"/>
            <w:shd w:val="clear" w:color="auto" w:fill="D8D8D8"/>
            <w:noWrap w:val="0"/>
            <w:vAlign w:val="center"/>
          </w:tcPr>
          <w:p w14:paraId="128F4F9C">
            <w:pPr>
              <w:spacing w:line="500" w:lineRule="exact"/>
              <w:jc w:val="center"/>
              <w:rPr>
                <w:rFonts w:ascii="仿宋" w:hAnsi="仿宋" w:eastAsia="仿宋" w:cs="Times New Roman"/>
                <w:b/>
                <w:bCs/>
                <w:color w:val="auto"/>
                <w:sz w:val="24"/>
                <w:szCs w:val="24"/>
              </w:rPr>
            </w:pPr>
            <w:r>
              <w:rPr>
                <w:rFonts w:hint="eastAsia" w:ascii="仿宋" w:hAnsi="仿宋" w:eastAsia="仿宋" w:cs="仿宋"/>
                <w:b/>
                <w:bCs/>
                <w:color w:val="auto"/>
                <w:sz w:val="24"/>
                <w:szCs w:val="24"/>
              </w:rPr>
              <w:t>序号</w:t>
            </w:r>
          </w:p>
        </w:tc>
        <w:tc>
          <w:tcPr>
            <w:tcW w:w="1838" w:type="pct"/>
            <w:shd w:val="clear" w:color="auto" w:fill="D8D8D8"/>
            <w:noWrap w:val="0"/>
            <w:vAlign w:val="center"/>
          </w:tcPr>
          <w:p w14:paraId="3FB3FD02">
            <w:pPr>
              <w:spacing w:line="500" w:lineRule="exact"/>
              <w:jc w:val="center"/>
              <w:rPr>
                <w:rFonts w:ascii="仿宋" w:hAnsi="仿宋" w:eastAsia="仿宋" w:cs="Times New Roman"/>
                <w:b/>
                <w:bCs/>
                <w:color w:val="auto"/>
                <w:sz w:val="24"/>
                <w:szCs w:val="24"/>
              </w:rPr>
            </w:pPr>
            <w:r>
              <w:rPr>
                <w:rFonts w:hint="eastAsia" w:ascii="仿宋" w:hAnsi="仿宋" w:eastAsia="仿宋" w:cs="仿宋"/>
                <w:b/>
                <w:bCs/>
                <w:color w:val="auto"/>
                <w:sz w:val="24"/>
                <w:szCs w:val="24"/>
              </w:rPr>
              <w:t>招标文件实质性条款</w:t>
            </w:r>
          </w:p>
        </w:tc>
        <w:tc>
          <w:tcPr>
            <w:tcW w:w="1761" w:type="pct"/>
            <w:shd w:val="clear" w:color="auto" w:fill="D8D8D8"/>
            <w:noWrap w:val="0"/>
            <w:vAlign w:val="center"/>
          </w:tcPr>
          <w:p w14:paraId="4DC0893E">
            <w:pPr>
              <w:spacing w:line="500" w:lineRule="exact"/>
              <w:jc w:val="center"/>
              <w:rPr>
                <w:rFonts w:ascii="仿宋" w:hAnsi="仿宋" w:eastAsia="仿宋" w:cs="Times New Roman"/>
                <w:b/>
                <w:bCs/>
                <w:color w:val="auto"/>
                <w:sz w:val="24"/>
                <w:szCs w:val="24"/>
              </w:rPr>
            </w:pPr>
            <w:r>
              <w:rPr>
                <w:rFonts w:hint="eastAsia" w:ascii="仿宋" w:hAnsi="仿宋" w:eastAsia="仿宋" w:cs="仿宋"/>
                <w:b/>
                <w:bCs/>
                <w:color w:val="auto"/>
                <w:sz w:val="24"/>
                <w:szCs w:val="24"/>
              </w:rPr>
              <w:t>投标文件响应条款</w:t>
            </w:r>
          </w:p>
        </w:tc>
        <w:tc>
          <w:tcPr>
            <w:tcW w:w="960" w:type="pct"/>
            <w:shd w:val="clear" w:color="auto" w:fill="D8D8D8"/>
            <w:noWrap w:val="0"/>
            <w:vAlign w:val="center"/>
          </w:tcPr>
          <w:p w14:paraId="005242E7">
            <w:pPr>
              <w:spacing w:line="500" w:lineRule="exact"/>
              <w:jc w:val="center"/>
              <w:rPr>
                <w:rFonts w:ascii="仿宋" w:hAnsi="仿宋" w:eastAsia="仿宋" w:cs="Times New Roman"/>
                <w:b/>
                <w:bCs/>
                <w:color w:val="auto"/>
                <w:sz w:val="24"/>
                <w:szCs w:val="24"/>
              </w:rPr>
            </w:pPr>
            <w:r>
              <w:rPr>
                <w:rFonts w:hint="eastAsia" w:ascii="仿宋" w:hAnsi="仿宋" w:eastAsia="仿宋" w:cs="仿宋"/>
                <w:b/>
                <w:bCs/>
                <w:color w:val="auto"/>
                <w:sz w:val="24"/>
                <w:szCs w:val="24"/>
              </w:rPr>
              <w:t>是否完全响应</w:t>
            </w:r>
          </w:p>
        </w:tc>
      </w:tr>
      <w:tr w14:paraId="35E1B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40" w:type="pct"/>
            <w:noWrap w:val="0"/>
            <w:vAlign w:val="center"/>
          </w:tcPr>
          <w:p w14:paraId="3467AE82">
            <w:pPr>
              <w:spacing w:line="500" w:lineRule="exact"/>
              <w:jc w:val="center"/>
              <w:rPr>
                <w:rFonts w:ascii="仿宋" w:hAnsi="仿宋" w:eastAsia="仿宋" w:cs="仿宋"/>
                <w:color w:val="auto"/>
                <w:sz w:val="24"/>
                <w:szCs w:val="24"/>
              </w:rPr>
            </w:pPr>
            <w:r>
              <w:rPr>
                <w:rFonts w:ascii="仿宋" w:hAnsi="仿宋" w:eastAsia="仿宋" w:cs="仿宋"/>
                <w:color w:val="auto"/>
                <w:sz w:val="24"/>
                <w:szCs w:val="24"/>
              </w:rPr>
              <w:t>1</w:t>
            </w:r>
          </w:p>
        </w:tc>
        <w:tc>
          <w:tcPr>
            <w:tcW w:w="1838" w:type="pct"/>
            <w:noWrap w:val="0"/>
            <w:vAlign w:val="center"/>
          </w:tcPr>
          <w:p w14:paraId="378BE503">
            <w:pPr>
              <w:spacing w:line="500" w:lineRule="exact"/>
              <w:rPr>
                <w:rFonts w:ascii="仿宋" w:hAnsi="仿宋" w:eastAsia="仿宋" w:cs="仿宋"/>
                <w:color w:val="auto"/>
                <w:sz w:val="24"/>
                <w:szCs w:val="24"/>
              </w:rPr>
            </w:pPr>
          </w:p>
        </w:tc>
        <w:tc>
          <w:tcPr>
            <w:tcW w:w="1761" w:type="pct"/>
            <w:noWrap w:val="0"/>
            <w:vAlign w:val="center"/>
          </w:tcPr>
          <w:p w14:paraId="475220D9">
            <w:pPr>
              <w:spacing w:line="500" w:lineRule="exact"/>
              <w:rPr>
                <w:rFonts w:ascii="仿宋" w:hAnsi="仿宋" w:eastAsia="仿宋" w:cs="仿宋"/>
                <w:color w:val="auto"/>
                <w:sz w:val="24"/>
                <w:szCs w:val="24"/>
              </w:rPr>
            </w:pPr>
          </w:p>
        </w:tc>
        <w:tc>
          <w:tcPr>
            <w:tcW w:w="960" w:type="pct"/>
            <w:noWrap w:val="0"/>
            <w:vAlign w:val="center"/>
          </w:tcPr>
          <w:p w14:paraId="6BC9959D">
            <w:pPr>
              <w:spacing w:line="500" w:lineRule="exact"/>
              <w:rPr>
                <w:rFonts w:ascii="仿宋" w:hAnsi="仿宋" w:eastAsia="仿宋" w:cs="仿宋"/>
                <w:color w:val="auto"/>
                <w:sz w:val="24"/>
                <w:szCs w:val="24"/>
              </w:rPr>
            </w:pPr>
          </w:p>
        </w:tc>
      </w:tr>
      <w:tr w14:paraId="78B29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40" w:type="pct"/>
            <w:noWrap w:val="0"/>
            <w:vAlign w:val="center"/>
          </w:tcPr>
          <w:p w14:paraId="36768E92">
            <w:pPr>
              <w:spacing w:line="500" w:lineRule="exact"/>
              <w:jc w:val="center"/>
              <w:rPr>
                <w:rFonts w:ascii="仿宋" w:hAnsi="仿宋" w:eastAsia="仿宋" w:cs="仿宋"/>
                <w:color w:val="auto"/>
                <w:sz w:val="24"/>
                <w:szCs w:val="24"/>
              </w:rPr>
            </w:pPr>
            <w:r>
              <w:rPr>
                <w:rFonts w:ascii="仿宋" w:hAnsi="仿宋" w:eastAsia="仿宋" w:cs="仿宋"/>
                <w:color w:val="auto"/>
                <w:sz w:val="24"/>
                <w:szCs w:val="24"/>
              </w:rPr>
              <w:t>2</w:t>
            </w:r>
          </w:p>
        </w:tc>
        <w:tc>
          <w:tcPr>
            <w:tcW w:w="1838" w:type="pct"/>
            <w:noWrap w:val="0"/>
            <w:vAlign w:val="center"/>
          </w:tcPr>
          <w:p w14:paraId="5D43EE54">
            <w:pPr>
              <w:spacing w:line="500" w:lineRule="exact"/>
              <w:rPr>
                <w:rFonts w:ascii="仿宋" w:hAnsi="仿宋" w:eastAsia="仿宋" w:cs="仿宋"/>
                <w:color w:val="auto"/>
                <w:sz w:val="24"/>
                <w:szCs w:val="24"/>
              </w:rPr>
            </w:pPr>
          </w:p>
        </w:tc>
        <w:tc>
          <w:tcPr>
            <w:tcW w:w="1761" w:type="pct"/>
            <w:noWrap w:val="0"/>
            <w:vAlign w:val="center"/>
          </w:tcPr>
          <w:p w14:paraId="552BD6E4">
            <w:pPr>
              <w:spacing w:line="500" w:lineRule="exact"/>
              <w:rPr>
                <w:rFonts w:ascii="仿宋" w:hAnsi="仿宋" w:eastAsia="仿宋" w:cs="仿宋"/>
                <w:color w:val="auto"/>
                <w:sz w:val="24"/>
                <w:szCs w:val="24"/>
              </w:rPr>
            </w:pPr>
          </w:p>
        </w:tc>
        <w:tc>
          <w:tcPr>
            <w:tcW w:w="960" w:type="pct"/>
            <w:noWrap w:val="0"/>
            <w:vAlign w:val="center"/>
          </w:tcPr>
          <w:p w14:paraId="1C8C386E">
            <w:pPr>
              <w:spacing w:line="500" w:lineRule="exact"/>
              <w:rPr>
                <w:rFonts w:ascii="仿宋" w:hAnsi="仿宋" w:eastAsia="仿宋" w:cs="仿宋"/>
                <w:color w:val="auto"/>
                <w:sz w:val="24"/>
                <w:szCs w:val="24"/>
              </w:rPr>
            </w:pPr>
          </w:p>
        </w:tc>
      </w:tr>
      <w:tr w14:paraId="2C952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40" w:type="pct"/>
            <w:noWrap w:val="0"/>
            <w:vAlign w:val="center"/>
          </w:tcPr>
          <w:p w14:paraId="6361C2A3">
            <w:pPr>
              <w:spacing w:line="500" w:lineRule="exact"/>
              <w:jc w:val="center"/>
              <w:rPr>
                <w:rFonts w:ascii="仿宋" w:hAnsi="仿宋" w:eastAsia="仿宋" w:cs="仿宋"/>
                <w:color w:val="auto"/>
                <w:sz w:val="24"/>
                <w:szCs w:val="24"/>
              </w:rPr>
            </w:pPr>
            <w:r>
              <w:rPr>
                <w:rFonts w:ascii="仿宋" w:hAnsi="仿宋" w:eastAsia="仿宋" w:cs="仿宋"/>
                <w:color w:val="auto"/>
                <w:sz w:val="24"/>
                <w:szCs w:val="24"/>
              </w:rPr>
              <w:t>3</w:t>
            </w:r>
          </w:p>
        </w:tc>
        <w:tc>
          <w:tcPr>
            <w:tcW w:w="1838" w:type="pct"/>
            <w:noWrap w:val="0"/>
            <w:vAlign w:val="center"/>
          </w:tcPr>
          <w:p w14:paraId="56BEAD40">
            <w:pPr>
              <w:spacing w:line="500" w:lineRule="exact"/>
              <w:rPr>
                <w:rFonts w:ascii="仿宋" w:hAnsi="仿宋" w:eastAsia="仿宋" w:cs="仿宋"/>
                <w:color w:val="auto"/>
                <w:sz w:val="24"/>
                <w:szCs w:val="24"/>
              </w:rPr>
            </w:pPr>
          </w:p>
        </w:tc>
        <w:tc>
          <w:tcPr>
            <w:tcW w:w="1761" w:type="pct"/>
            <w:noWrap w:val="0"/>
            <w:vAlign w:val="center"/>
          </w:tcPr>
          <w:p w14:paraId="26FDAE51">
            <w:pPr>
              <w:spacing w:line="500" w:lineRule="exact"/>
              <w:rPr>
                <w:rFonts w:ascii="仿宋" w:hAnsi="仿宋" w:eastAsia="仿宋" w:cs="仿宋"/>
                <w:color w:val="auto"/>
                <w:sz w:val="24"/>
                <w:szCs w:val="24"/>
              </w:rPr>
            </w:pPr>
          </w:p>
        </w:tc>
        <w:tc>
          <w:tcPr>
            <w:tcW w:w="960" w:type="pct"/>
            <w:noWrap w:val="0"/>
            <w:vAlign w:val="center"/>
          </w:tcPr>
          <w:p w14:paraId="7E6FCAFE">
            <w:pPr>
              <w:spacing w:line="500" w:lineRule="exact"/>
              <w:rPr>
                <w:rFonts w:ascii="仿宋" w:hAnsi="仿宋" w:eastAsia="仿宋" w:cs="仿宋"/>
                <w:color w:val="auto"/>
                <w:sz w:val="24"/>
                <w:szCs w:val="24"/>
              </w:rPr>
            </w:pPr>
          </w:p>
        </w:tc>
      </w:tr>
      <w:tr w14:paraId="5EFFA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40" w:type="pct"/>
            <w:noWrap w:val="0"/>
            <w:vAlign w:val="center"/>
          </w:tcPr>
          <w:p w14:paraId="05E0227D">
            <w:pPr>
              <w:spacing w:line="500" w:lineRule="exact"/>
              <w:jc w:val="center"/>
              <w:rPr>
                <w:rFonts w:ascii="仿宋" w:hAnsi="仿宋" w:eastAsia="仿宋" w:cs="仿宋"/>
                <w:color w:val="auto"/>
                <w:sz w:val="24"/>
                <w:szCs w:val="24"/>
              </w:rPr>
            </w:pPr>
            <w:r>
              <w:rPr>
                <w:rFonts w:ascii="仿宋" w:hAnsi="仿宋" w:eastAsia="仿宋" w:cs="仿宋"/>
                <w:color w:val="auto"/>
                <w:sz w:val="24"/>
                <w:szCs w:val="24"/>
              </w:rPr>
              <w:t>4</w:t>
            </w:r>
          </w:p>
        </w:tc>
        <w:tc>
          <w:tcPr>
            <w:tcW w:w="1838" w:type="pct"/>
            <w:noWrap w:val="0"/>
            <w:vAlign w:val="center"/>
          </w:tcPr>
          <w:p w14:paraId="0F44D5F8">
            <w:pPr>
              <w:spacing w:line="500" w:lineRule="exact"/>
              <w:rPr>
                <w:rFonts w:ascii="仿宋" w:hAnsi="仿宋" w:eastAsia="仿宋" w:cs="仿宋"/>
                <w:color w:val="auto"/>
                <w:sz w:val="24"/>
                <w:szCs w:val="24"/>
              </w:rPr>
            </w:pPr>
          </w:p>
        </w:tc>
        <w:tc>
          <w:tcPr>
            <w:tcW w:w="1761" w:type="pct"/>
            <w:noWrap w:val="0"/>
            <w:vAlign w:val="center"/>
          </w:tcPr>
          <w:p w14:paraId="2AE01DE0">
            <w:pPr>
              <w:spacing w:line="500" w:lineRule="exact"/>
              <w:rPr>
                <w:rFonts w:ascii="仿宋" w:hAnsi="仿宋" w:eastAsia="仿宋" w:cs="仿宋"/>
                <w:color w:val="auto"/>
                <w:sz w:val="24"/>
                <w:szCs w:val="24"/>
              </w:rPr>
            </w:pPr>
          </w:p>
        </w:tc>
        <w:tc>
          <w:tcPr>
            <w:tcW w:w="960" w:type="pct"/>
            <w:noWrap w:val="0"/>
            <w:vAlign w:val="center"/>
          </w:tcPr>
          <w:p w14:paraId="48FC92D1">
            <w:pPr>
              <w:spacing w:line="500" w:lineRule="exact"/>
              <w:rPr>
                <w:rFonts w:ascii="仿宋" w:hAnsi="仿宋" w:eastAsia="仿宋" w:cs="仿宋"/>
                <w:color w:val="auto"/>
                <w:sz w:val="24"/>
                <w:szCs w:val="24"/>
              </w:rPr>
            </w:pPr>
          </w:p>
        </w:tc>
      </w:tr>
      <w:tr w14:paraId="18D73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40" w:type="pct"/>
            <w:noWrap w:val="0"/>
            <w:vAlign w:val="center"/>
          </w:tcPr>
          <w:p w14:paraId="6BB954AE">
            <w:pPr>
              <w:spacing w:line="500" w:lineRule="exact"/>
              <w:jc w:val="center"/>
              <w:rPr>
                <w:rFonts w:ascii="仿宋" w:hAnsi="仿宋" w:eastAsia="仿宋" w:cs="仿宋"/>
                <w:color w:val="auto"/>
                <w:sz w:val="24"/>
                <w:szCs w:val="24"/>
              </w:rPr>
            </w:pPr>
            <w:r>
              <w:rPr>
                <w:rFonts w:ascii="仿宋" w:hAnsi="仿宋" w:eastAsia="仿宋" w:cs="仿宋"/>
                <w:color w:val="auto"/>
                <w:sz w:val="24"/>
                <w:szCs w:val="24"/>
              </w:rPr>
              <w:t>5</w:t>
            </w:r>
          </w:p>
        </w:tc>
        <w:tc>
          <w:tcPr>
            <w:tcW w:w="1838" w:type="pct"/>
            <w:noWrap w:val="0"/>
            <w:vAlign w:val="center"/>
          </w:tcPr>
          <w:p w14:paraId="3605808C">
            <w:pPr>
              <w:spacing w:line="500" w:lineRule="exact"/>
              <w:rPr>
                <w:rFonts w:ascii="仿宋" w:hAnsi="仿宋" w:eastAsia="仿宋" w:cs="仿宋"/>
                <w:color w:val="auto"/>
                <w:sz w:val="24"/>
                <w:szCs w:val="24"/>
              </w:rPr>
            </w:pPr>
          </w:p>
        </w:tc>
        <w:tc>
          <w:tcPr>
            <w:tcW w:w="1761" w:type="pct"/>
            <w:noWrap w:val="0"/>
            <w:vAlign w:val="center"/>
          </w:tcPr>
          <w:p w14:paraId="78069A9D">
            <w:pPr>
              <w:spacing w:line="500" w:lineRule="exact"/>
              <w:rPr>
                <w:rFonts w:ascii="仿宋" w:hAnsi="仿宋" w:eastAsia="仿宋" w:cs="仿宋"/>
                <w:color w:val="auto"/>
                <w:sz w:val="24"/>
                <w:szCs w:val="24"/>
              </w:rPr>
            </w:pPr>
          </w:p>
        </w:tc>
        <w:tc>
          <w:tcPr>
            <w:tcW w:w="960" w:type="pct"/>
            <w:noWrap w:val="0"/>
            <w:vAlign w:val="center"/>
          </w:tcPr>
          <w:p w14:paraId="36AECFE6">
            <w:pPr>
              <w:spacing w:line="500" w:lineRule="exact"/>
              <w:rPr>
                <w:rFonts w:ascii="仿宋" w:hAnsi="仿宋" w:eastAsia="仿宋" w:cs="仿宋"/>
                <w:color w:val="auto"/>
                <w:sz w:val="24"/>
                <w:szCs w:val="24"/>
              </w:rPr>
            </w:pPr>
          </w:p>
        </w:tc>
      </w:tr>
      <w:tr w14:paraId="0E9B0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40" w:type="pct"/>
            <w:noWrap w:val="0"/>
            <w:vAlign w:val="center"/>
          </w:tcPr>
          <w:p w14:paraId="05CCC592">
            <w:pPr>
              <w:spacing w:line="500" w:lineRule="exact"/>
              <w:jc w:val="center"/>
              <w:rPr>
                <w:rFonts w:ascii="仿宋" w:hAnsi="仿宋" w:eastAsia="仿宋" w:cs="仿宋"/>
                <w:color w:val="auto"/>
                <w:sz w:val="24"/>
                <w:szCs w:val="24"/>
              </w:rPr>
            </w:pPr>
            <w:r>
              <w:rPr>
                <w:rFonts w:ascii="仿宋" w:hAnsi="仿宋" w:eastAsia="仿宋" w:cs="仿宋"/>
                <w:color w:val="auto"/>
                <w:sz w:val="24"/>
                <w:szCs w:val="24"/>
              </w:rPr>
              <w:t>6</w:t>
            </w:r>
          </w:p>
        </w:tc>
        <w:tc>
          <w:tcPr>
            <w:tcW w:w="1838" w:type="pct"/>
            <w:noWrap w:val="0"/>
            <w:vAlign w:val="center"/>
          </w:tcPr>
          <w:p w14:paraId="022A8360">
            <w:pPr>
              <w:spacing w:line="500" w:lineRule="exact"/>
              <w:rPr>
                <w:rFonts w:ascii="仿宋" w:hAnsi="仿宋" w:eastAsia="仿宋" w:cs="仿宋"/>
                <w:color w:val="auto"/>
                <w:sz w:val="24"/>
                <w:szCs w:val="24"/>
              </w:rPr>
            </w:pPr>
          </w:p>
        </w:tc>
        <w:tc>
          <w:tcPr>
            <w:tcW w:w="1761" w:type="pct"/>
            <w:noWrap w:val="0"/>
            <w:vAlign w:val="center"/>
          </w:tcPr>
          <w:p w14:paraId="309CC478">
            <w:pPr>
              <w:spacing w:line="500" w:lineRule="exact"/>
              <w:rPr>
                <w:rFonts w:ascii="仿宋" w:hAnsi="仿宋" w:eastAsia="仿宋" w:cs="仿宋"/>
                <w:color w:val="auto"/>
                <w:sz w:val="24"/>
                <w:szCs w:val="24"/>
              </w:rPr>
            </w:pPr>
          </w:p>
        </w:tc>
        <w:tc>
          <w:tcPr>
            <w:tcW w:w="960" w:type="pct"/>
            <w:noWrap w:val="0"/>
            <w:vAlign w:val="center"/>
          </w:tcPr>
          <w:p w14:paraId="5C0DF98D">
            <w:pPr>
              <w:spacing w:line="500" w:lineRule="exact"/>
              <w:rPr>
                <w:rFonts w:ascii="仿宋" w:hAnsi="仿宋" w:eastAsia="仿宋" w:cs="仿宋"/>
                <w:color w:val="auto"/>
                <w:sz w:val="24"/>
                <w:szCs w:val="24"/>
              </w:rPr>
            </w:pPr>
          </w:p>
        </w:tc>
      </w:tr>
      <w:tr w14:paraId="763BE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40" w:type="pct"/>
            <w:noWrap w:val="0"/>
            <w:vAlign w:val="center"/>
          </w:tcPr>
          <w:p w14:paraId="6C3FC049">
            <w:pPr>
              <w:spacing w:line="500" w:lineRule="exact"/>
              <w:rPr>
                <w:rFonts w:ascii="仿宋" w:hAnsi="仿宋" w:eastAsia="仿宋" w:cs="Times New Roman"/>
                <w:color w:val="auto"/>
                <w:sz w:val="24"/>
                <w:szCs w:val="24"/>
              </w:rPr>
            </w:pPr>
            <w:r>
              <w:rPr>
                <w:rFonts w:hint="eastAsia" w:ascii="仿宋" w:hAnsi="仿宋" w:eastAsia="仿宋" w:cs="仿宋"/>
                <w:color w:val="auto"/>
                <w:sz w:val="24"/>
                <w:szCs w:val="24"/>
              </w:rPr>
              <w:t>……</w:t>
            </w:r>
          </w:p>
        </w:tc>
        <w:tc>
          <w:tcPr>
            <w:tcW w:w="1838" w:type="pct"/>
            <w:noWrap w:val="0"/>
            <w:vAlign w:val="center"/>
          </w:tcPr>
          <w:p w14:paraId="746465B3">
            <w:pPr>
              <w:spacing w:line="500" w:lineRule="exact"/>
              <w:rPr>
                <w:rFonts w:ascii="仿宋" w:hAnsi="仿宋" w:eastAsia="仿宋" w:cs="Times New Roman"/>
                <w:color w:val="auto"/>
                <w:sz w:val="24"/>
                <w:szCs w:val="24"/>
              </w:rPr>
            </w:pPr>
          </w:p>
        </w:tc>
        <w:tc>
          <w:tcPr>
            <w:tcW w:w="1761" w:type="pct"/>
            <w:noWrap w:val="0"/>
            <w:vAlign w:val="center"/>
          </w:tcPr>
          <w:p w14:paraId="3CCF3447">
            <w:pPr>
              <w:spacing w:line="500" w:lineRule="exact"/>
              <w:rPr>
                <w:rFonts w:ascii="仿宋" w:hAnsi="仿宋" w:eastAsia="仿宋" w:cs="Times New Roman"/>
                <w:color w:val="auto"/>
                <w:sz w:val="24"/>
                <w:szCs w:val="24"/>
              </w:rPr>
            </w:pPr>
          </w:p>
        </w:tc>
        <w:tc>
          <w:tcPr>
            <w:tcW w:w="960" w:type="pct"/>
            <w:noWrap w:val="0"/>
            <w:vAlign w:val="center"/>
          </w:tcPr>
          <w:p w14:paraId="55145C0B">
            <w:pPr>
              <w:spacing w:line="500" w:lineRule="exact"/>
              <w:rPr>
                <w:rFonts w:ascii="仿宋" w:hAnsi="仿宋" w:eastAsia="仿宋" w:cs="Times New Roman"/>
                <w:color w:val="auto"/>
                <w:sz w:val="24"/>
                <w:szCs w:val="24"/>
              </w:rPr>
            </w:pPr>
          </w:p>
        </w:tc>
      </w:tr>
    </w:tbl>
    <w:p w14:paraId="6AA6E711">
      <w:pPr>
        <w:widowControl w:val="0"/>
        <w:ind w:firstLine="426" w:firstLineChars="200"/>
        <w:rPr>
          <w:rFonts w:ascii="宋体" w:hAnsi="宋体" w:eastAsia="宋体" w:cs="宋体"/>
          <w:b/>
          <w:bCs/>
          <w:color w:val="auto"/>
          <w:sz w:val="21"/>
          <w:szCs w:val="21"/>
        </w:rPr>
      </w:pPr>
      <w:r>
        <w:rPr>
          <w:rFonts w:hint="eastAsia" w:ascii="宋体" w:hAnsi="宋体" w:eastAsia="宋体" w:cs="宋体"/>
          <w:b/>
          <w:bCs/>
          <w:color w:val="auto"/>
          <w:sz w:val="21"/>
          <w:szCs w:val="21"/>
        </w:rPr>
        <w:t>备注：</w:t>
      </w:r>
    </w:p>
    <w:p w14:paraId="23DF97FC">
      <w:pPr>
        <w:widowControl w:val="0"/>
        <w:ind w:firstLine="426" w:firstLineChars="200"/>
        <w:rPr>
          <w:rFonts w:ascii="宋体" w:hAnsi="宋体" w:eastAsia="宋体" w:cs="宋体"/>
          <w:b/>
          <w:bCs/>
          <w:color w:val="auto"/>
          <w:sz w:val="21"/>
          <w:szCs w:val="21"/>
        </w:rPr>
      </w:pPr>
      <w:r>
        <w:rPr>
          <w:rFonts w:hint="eastAsia" w:ascii="宋体" w:hAnsi="宋体" w:eastAsia="宋体" w:cs="宋体"/>
          <w:b/>
          <w:bCs/>
          <w:color w:val="auto"/>
          <w:sz w:val="21"/>
          <w:szCs w:val="21"/>
        </w:rPr>
        <w:t>1</w:t>
      </w:r>
      <w:r>
        <w:rPr>
          <w:rFonts w:hint="eastAsia" w:ascii="宋体" w:hAnsi="宋体" w:eastAsia="宋体" w:cs="宋体"/>
          <w:b/>
          <w:bCs/>
          <w:color w:val="auto"/>
          <w:sz w:val="21"/>
          <w:szCs w:val="21"/>
          <w:lang w:val="en-US" w:eastAsia="zh-CN"/>
        </w:rPr>
        <w:t>.</w:t>
      </w:r>
      <w:r>
        <w:rPr>
          <w:rFonts w:hint="eastAsia" w:ascii="宋体" w:hAnsi="宋体" w:eastAsia="宋体" w:cs="宋体"/>
          <w:b/>
          <w:bCs/>
          <w:color w:val="auto"/>
          <w:sz w:val="21"/>
          <w:szCs w:val="21"/>
        </w:rPr>
        <w:t>上表填写以第四章“招标内容及采购要求”中内容项为响应要求，须逐条响应，未逐条响应、有缺漏将被视为无效投标。</w:t>
      </w:r>
    </w:p>
    <w:p w14:paraId="1AC02426">
      <w:pPr>
        <w:widowControl w:val="0"/>
        <w:ind w:firstLine="426" w:firstLineChars="200"/>
        <w:rPr>
          <w:rFonts w:ascii="宋体" w:hAnsi="宋体" w:eastAsia="宋体" w:cs="宋体"/>
          <w:color w:val="auto"/>
          <w:sz w:val="21"/>
          <w:szCs w:val="21"/>
        </w:rPr>
      </w:pPr>
      <w:r>
        <w:rPr>
          <w:rFonts w:hint="eastAsia" w:ascii="宋体" w:hAnsi="宋体" w:eastAsia="宋体" w:cs="宋体"/>
          <w:b/>
          <w:bCs/>
          <w:color w:val="auto"/>
          <w:sz w:val="21"/>
          <w:szCs w:val="21"/>
        </w:rPr>
        <w:t>2</w:t>
      </w:r>
      <w:r>
        <w:rPr>
          <w:rFonts w:hint="eastAsia" w:ascii="宋体" w:hAnsi="宋体" w:eastAsia="宋体" w:cs="宋体"/>
          <w:b/>
          <w:bCs/>
          <w:color w:val="auto"/>
          <w:sz w:val="21"/>
          <w:szCs w:val="21"/>
          <w:lang w:val="en-US" w:eastAsia="zh-CN"/>
        </w:rPr>
        <w:t>.</w:t>
      </w:r>
      <w:r>
        <w:rPr>
          <w:rFonts w:hint="eastAsia" w:ascii="宋体" w:hAnsi="宋体" w:eastAsia="宋体" w:cs="宋体"/>
          <w:b/>
          <w:bCs/>
          <w:color w:val="auto"/>
          <w:sz w:val="21"/>
          <w:szCs w:val="21"/>
        </w:rPr>
        <w:t>“是否完全响应”一栏根据“投标文件响应条款”与招标文件逐项对照的结果填写，填写“是”或者“否”（如填写“否”将被视为无效投标）。</w:t>
      </w:r>
    </w:p>
    <w:p w14:paraId="0DA6F243">
      <w:pPr>
        <w:pStyle w:val="12"/>
        <w:spacing w:after="190" w:line="500" w:lineRule="exact"/>
        <w:rPr>
          <w:rFonts w:ascii="华文仿宋" w:hAnsi="华文仿宋" w:cs="华文仿宋"/>
          <w:color w:val="auto"/>
        </w:rPr>
      </w:pPr>
    </w:p>
    <w:p w14:paraId="75974E6B">
      <w:pPr>
        <w:pStyle w:val="12"/>
        <w:spacing w:after="190" w:line="500" w:lineRule="exact"/>
        <w:ind w:firstLine="5377" w:firstLineChars="1900"/>
        <w:jc w:val="right"/>
        <w:rPr>
          <w:rFonts w:ascii="华文仿宋" w:hAnsi="华文仿宋" w:cs="华文仿宋"/>
          <w:color w:val="auto"/>
          <w:sz w:val="28"/>
          <w:szCs w:val="28"/>
        </w:rPr>
      </w:pPr>
      <w:r>
        <w:rPr>
          <w:rFonts w:hint="eastAsia" w:ascii="华文仿宋" w:hAnsi="华文仿宋" w:cs="华文仿宋"/>
          <w:color w:val="auto"/>
          <w:sz w:val="28"/>
          <w:szCs w:val="28"/>
        </w:rPr>
        <w:t>投标人：</w:t>
      </w:r>
      <w:r>
        <w:rPr>
          <w:rFonts w:hint="eastAsia" w:ascii="华文仿宋" w:hAnsi="华文仿宋" w:cs="华文仿宋"/>
          <w:color w:val="auto"/>
          <w:sz w:val="28"/>
          <w:szCs w:val="28"/>
          <w:u w:val="single"/>
        </w:rPr>
        <w:t>名称</w:t>
      </w:r>
      <w:r>
        <w:rPr>
          <w:rFonts w:hint="eastAsia" w:ascii="华文仿宋" w:hAnsi="华文仿宋" w:cs="华文仿宋"/>
          <w:color w:val="auto"/>
          <w:sz w:val="28"/>
          <w:szCs w:val="28"/>
        </w:rPr>
        <w:t>（加盖公章）</w:t>
      </w:r>
    </w:p>
    <w:p w14:paraId="5F5E0BFC">
      <w:pPr>
        <w:tabs>
          <w:tab w:val="right" w:pos="9070"/>
        </w:tabs>
        <w:spacing w:line="500" w:lineRule="exact"/>
        <w:ind w:firstLine="5660" w:firstLineChars="2000"/>
        <w:jc w:val="right"/>
        <w:rPr>
          <w:rFonts w:ascii="仿宋" w:hAnsi="仿宋" w:eastAsia="仿宋" w:cs="Times New Roman"/>
          <w:color w:val="auto"/>
        </w:rPr>
      </w:pPr>
      <w:r>
        <w:rPr>
          <w:rFonts w:hint="eastAsia" w:ascii="华文仿宋" w:hAnsi="华文仿宋" w:cs="华文仿宋"/>
          <w:color w:val="auto"/>
        </w:rPr>
        <w:t>日期：　年　月　</w:t>
      </w:r>
      <w:r>
        <w:rPr>
          <w:rFonts w:hint="eastAsia" w:ascii="华文仿宋" w:hAnsi="华文仿宋" w:cs="华文仿宋"/>
          <w:color w:val="auto"/>
          <w:sz w:val="24"/>
          <w:szCs w:val="24"/>
        </w:rPr>
        <w:t>日</w:t>
      </w:r>
      <w:r>
        <w:rPr>
          <w:rFonts w:ascii="仿宋" w:hAnsi="仿宋" w:eastAsia="仿宋" w:cs="Times New Roman"/>
          <w:color w:val="auto"/>
        </w:rPr>
        <w:tab/>
      </w:r>
    </w:p>
    <w:p w14:paraId="0DEE2304">
      <w:pPr>
        <w:tabs>
          <w:tab w:val="right" w:pos="9070"/>
        </w:tabs>
        <w:spacing w:line="500" w:lineRule="exact"/>
        <w:ind w:firstLine="566" w:firstLineChars="200"/>
        <w:rPr>
          <w:rFonts w:ascii="仿宋" w:hAnsi="仿宋" w:eastAsia="仿宋" w:cs="Times New Roman"/>
          <w:color w:val="auto"/>
        </w:rPr>
      </w:pPr>
    </w:p>
    <w:p w14:paraId="78B3BB59">
      <w:pPr>
        <w:pStyle w:val="12"/>
        <w:spacing w:after="190"/>
        <w:rPr>
          <w:color w:val="auto"/>
        </w:rPr>
      </w:pPr>
    </w:p>
    <w:p w14:paraId="4F312CA6">
      <w:pPr>
        <w:pStyle w:val="12"/>
        <w:numPr>
          <w:ilvl w:val="0"/>
          <w:numId w:val="9"/>
        </w:numPr>
        <w:spacing w:after="190" w:line="500" w:lineRule="exact"/>
        <w:rPr>
          <w:rFonts w:ascii="仿宋" w:hAnsi="仿宋" w:eastAsia="仿宋" w:cs="仿宋"/>
          <w:b/>
          <w:bCs/>
          <w:color w:val="auto"/>
          <w:sz w:val="28"/>
          <w:szCs w:val="28"/>
        </w:rPr>
      </w:pPr>
      <w:r>
        <w:rPr>
          <w:rFonts w:hint="eastAsia" w:ascii="仿宋" w:hAnsi="仿宋" w:eastAsia="仿宋" w:cs="仿宋"/>
          <w:b/>
          <w:bCs/>
          <w:color w:val="auto"/>
          <w:sz w:val="28"/>
          <w:szCs w:val="28"/>
        </w:rPr>
        <w:t>其他材料</w:t>
      </w:r>
    </w:p>
    <w:p w14:paraId="35D86BC2">
      <w:pPr>
        <w:tabs>
          <w:tab w:val="right" w:pos="9070"/>
        </w:tabs>
        <w:spacing w:line="500" w:lineRule="exact"/>
        <w:rPr>
          <w:rFonts w:ascii="仿宋" w:hAnsi="仿宋" w:eastAsia="仿宋" w:cs="Times New Roman"/>
          <w:color w:val="auto"/>
        </w:rPr>
      </w:pPr>
    </w:p>
    <w:p w14:paraId="4A90FFE2">
      <w:pPr>
        <w:spacing w:line="500" w:lineRule="exact"/>
        <w:outlineLvl w:val="2"/>
        <w:rPr>
          <w:rFonts w:ascii="仿宋" w:hAnsi="仿宋" w:eastAsia="仿宋" w:cs="Times New Roman"/>
          <w:b/>
          <w:bCs/>
          <w:color w:val="auto"/>
          <w:sz w:val="32"/>
          <w:szCs w:val="32"/>
        </w:rPr>
      </w:pPr>
      <w:bookmarkStart w:id="766" w:name="_Toc25217"/>
      <w:bookmarkEnd w:id="766"/>
      <w:bookmarkStart w:id="767" w:name="_Toc3769"/>
      <w:bookmarkEnd w:id="767"/>
      <w:bookmarkStart w:id="768" w:name="_Toc28328"/>
      <w:bookmarkEnd w:id="768"/>
      <w:bookmarkStart w:id="769" w:name="_Toc19208"/>
      <w:bookmarkEnd w:id="769"/>
      <w:bookmarkStart w:id="770" w:name="_Toc19498"/>
      <w:bookmarkEnd w:id="770"/>
      <w:bookmarkStart w:id="771" w:name="_Toc15287"/>
      <w:bookmarkEnd w:id="771"/>
      <w:bookmarkStart w:id="772" w:name="_Toc30952"/>
      <w:bookmarkEnd w:id="772"/>
      <w:r>
        <w:rPr>
          <w:rFonts w:hint="eastAsia" w:ascii="仿宋" w:hAnsi="仿宋" w:eastAsia="仿宋" w:cs="仿宋"/>
          <w:b/>
          <w:bCs/>
          <w:color w:val="auto"/>
          <w:sz w:val="32"/>
          <w:szCs w:val="32"/>
        </w:rPr>
        <w:br w:type="page"/>
      </w:r>
      <w:r>
        <w:rPr>
          <w:rFonts w:hint="eastAsia" w:ascii="仿宋" w:hAnsi="仿宋" w:eastAsia="仿宋" w:cs="仿宋"/>
          <w:b/>
          <w:bCs/>
          <w:color w:val="auto"/>
          <w:sz w:val="32"/>
          <w:szCs w:val="32"/>
        </w:rPr>
        <w:t>五、合同</w:t>
      </w:r>
      <w:r>
        <w:rPr>
          <w:rFonts w:hint="eastAsia" w:ascii="仿宋" w:hAnsi="仿宋" w:eastAsia="仿宋" w:cs="仿宋"/>
          <w:b/>
          <w:bCs/>
          <w:color w:val="auto"/>
          <w:sz w:val="32"/>
          <w:szCs w:val="32"/>
          <w:lang w:val="en-US" w:eastAsia="zh-CN"/>
        </w:rPr>
        <w:t>草案</w:t>
      </w:r>
      <w:r>
        <w:rPr>
          <w:rFonts w:hint="eastAsia" w:ascii="仿宋" w:hAnsi="仿宋" w:eastAsia="仿宋" w:cs="仿宋"/>
          <w:b/>
          <w:bCs/>
          <w:color w:val="auto"/>
          <w:sz w:val="32"/>
          <w:szCs w:val="32"/>
        </w:rPr>
        <w:t>条款响应</w:t>
      </w:r>
    </w:p>
    <w:p w14:paraId="28B3B888">
      <w:pPr>
        <w:spacing w:line="500" w:lineRule="exact"/>
        <w:ind w:firstLine="566" w:firstLineChars="200"/>
        <w:rPr>
          <w:rFonts w:cs="Times New Roman"/>
          <w:color w:val="auto"/>
        </w:rPr>
      </w:pPr>
      <w:r>
        <w:rPr>
          <w:rFonts w:hint="eastAsia" w:cs="华文仿宋"/>
          <w:color w:val="auto"/>
        </w:rPr>
        <w:t>完全理解并接受招标文件中“</w:t>
      </w:r>
      <w:r>
        <w:rPr>
          <w:rFonts w:hint="eastAsia" w:cs="华文仿宋"/>
          <w:color w:val="auto"/>
          <w:lang w:eastAsia="zh-CN"/>
        </w:rPr>
        <w:t>合同草案条款</w:t>
      </w:r>
      <w:r>
        <w:rPr>
          <w:rFonts w:hint="eastAsia" w:cs="华文仿宋"/>
          <w:color w:val="auto"/>
        </w:rPr>
        <w:t>”要求。</w:t>
      </w:r>
    </w:p>
    <w:p w14:paraId="0421464C">
      <w:pPr>
        <w:spacing w:line="500" w:lineRule="exact"/>
        <w:ind w:firstLine="4811" w:firstLineChars="1700"/>
        <w:rPr>
          <w:rFonts w:ascii="仿宋" w:hAnsi="仿宋" w:eastAsia="仿宋" w:cs="Times New Roman"/>
          <w:color w:val="auto"/>
        </w:rPr>
      </w:pPr>
    </w:p>
    <w:p w14:paraId="496832A9">
      <w:pPr>
        <w:pStyle w:val="12"/>
        <w:spacing w:after="190"/>
        <w:rPr>
          <w:rFonts w:cs="Times New Roman"/>
          <w:color w:val="auto"/>
        </w:rPr>
      </w:pPr>
    </w:p>
    <w:p w14:paraId="3E182598">
      <w:pPr>
        <w:pStyle w:val="12"/>
        <w:spacing w:after="190" w:line="500" w:lineRule="exact"/>
        <w:ind w:firstLine="5377" w:firstLineChars="1900"/>
        <w:rPr>
          <w:rFonts w:ascii="仿宋" w:hAnsi="仿宋" w:eastAsia="仿宋" w:cs="Times New Roman"/>
          <w:color w:val="auto"/>
        </w:rPr>
      </w:pPr>
      <w:r>
        <w:rPr>
          <w:rFonts w:hint="eastAsia" w:ascii="华文仿宋" w:hAnsi="华文仿宋" w:cs="华文仿宋"/>
          <w:color w:val="auto"/>
          <w:sz w:val="28"/>
          <w:szCs w:val="28"/>
        </w:rPr>
        <w:t>投标人：</w:t>
      </w:r>
      <w:r>
        <w:rPr>
          <w:rFonts w:hint="eastAsia" w:ascii="华文仿宋" w:hAnsi="华文仿宋" w:cs="华文仿宋"/>
          <w:color w:val="auto"/>
          <w:sz w:val="28"/>
          <w:szCs w:val="28"/>
          <w:u w:val="single"/>
        </w:rPr>
        <w:t>名称</w:t>
      </w:r>
      <w:r>
        <w:rPr>
          <w:rFonts w:hint="eastAsia" w:ascii="华文仿宋" w:hAnsi="华文仿宋" w:cs="华文仿宋"/>
          <w:color w:val="auto"/>
          <w:sz w:val="28"/>
          <w:szCs w:val="28"/>
        </w:rPr>
        <w:t>（加盖公章）</w:t>
      </w:r>
      <w:r>
        <w:rPr>
          <w:rFonts w:ascii="仿宋" w:hAnsi="仿宋" w:eastAsia="仿宋" w:cs="Times New Roman"/>
          <w:color w:val="auto"/>
        </w:rPr>
        <w:tab/>
      </w:r>
    </w:p>
    <w:p w14:paraId="3E39682F">
      <w:pPr>
        <w:pStyle w:val="27"/>
        <w:spacing w:after="190" w:line="500" w:lineRule="exact"/>
        <w:ind w:firstLine="5660" w:firstLineChars="2000"/>
        <w:rPr>
          <w:rFonts w:ascii="华文仿宋"/>
          <w:color w:val="auto"/>
          <w:sz w:val="28"/>
          <w:szCs w:val="28"/>
        </w:rPr>
      </w:pPr>
      <w:r>
        <w:rPr>
          <w:rFonts w:hint="eastAsia" w:ascii="华文仿宋" w:hAnsi="华文仿宋" w:cs="华文仿宋"/>
          <w:color w:val="auto"/>
          <w:sz w:val="28"/>
          <w:szCs w:val="28"/>
        </w:rPr>
        <w:t>日期：　年　月　日</w:t>
      </w:r>
    </w:p>
    <w:p w14:paraId="2FDD5F4C">
      <w:pPr>
        <w:pStyle w:val="27"/>
        <w:spacing w:after="190"/>
        <w:ind w:firstLine="183"/>
        <w:rPr>
          <w:rFonts w:ascii="仿宋" w:hAnsi="仿宋" w:eastAsia="仿宋"/>
          <w:color w:val="auto"/>
        </w:rPr>
      </w:pPr>
    </w:p>
    <w:p w14:paraId="0D8D008E">
      <w:pPr>
        <w:pStyle w:val="27"/>
        <w:spacing w:after="190"/>
        <w:ind w:firstLine="183"/>
        <w:rPr>
          <w:rFonts w:ascii="仿宋" w:hAnsi="仿宋" w:eastAsia="仿宋"/>
          <w:color w:val="auto"/>
        </w:rPr>
      </w:pPr>
    </w:p>
    <w:p w14:paraId="2484F3E3">
      <w:pPr>
        <w:pStyle w:val="27"/>
        <w:spacing w:after="190"/>
        <w:ind w:firstLine="183"/>
        <w:rPr>
          <w:rFonts w:ascii="仿宋" w:hAnsi="仿宋" w:eastAsia="仿宋"/>
          <w:color w:val="auto"/>
        </w:rPr>
      </w:pPr>
    </w:p>
    <w:p w14:paraId="4FEFE701">
      <w:pPr>
        <w:pStyle w:val="27"/>
        <w:spacing w:after="190"/>
        <w:ind w:firstLine="183"/>
        <w:rPr>
          <w:rFonts w:ascii="仿宋" w:hAnsi="仿宋" w:eastAsia="仿宋"/>
          <w:color w:val="auto"/>
        </w:rPr>
      </w:pPr>
    </w:p>
    <w:p w14:paraId="5E707ADC">
      <w:pPr>
        <w:pStyle w:val="27"/>
        <w:spacing w:after="190"/>
        <w:ind w:firstLine="183"/>
        <w:rPr>
          <w:rFonts w:ascii="仿宋" w:hAnsi="仿宋" w:eastAsia="仿宋"/>
          <w:color w:val="auto"/>
        </w:rPr>
      </w:pPr>
    </w:p>
    <w:p w14:paraId="16830E4D">
      <w:pPr>
        <w:pStyle w:val="27"/>
        <w:spacing w:after="190"/>
        <w:ind w:firstLine="183"/>
        <w:rPr>
          <w:rFonts w:ascii="仿宋" w:hAnsi="仿宋" w:eastAsia="仿宋"/>
          <w:color w:val="auto"/>
        </w:rPr>
      </w:pPr>
    </w:p>
    <w:p w14:paraId="4B00778A">
      <w:pPr>
        <w:pStyle w:val="27"/>
        <w:spacing w:after="190"/>
        <w:ind w:firstLine="183"/>
        <w:rPr>
          <w:rFonts w:ascii="仿宋" w:hAnsi="仿宋" w:eastAsia="仿宋"/>
          <w:color w:val="auto"/>
        </w:rPr>
      </w:pPr>
    </w:p>
    <w:p w14:paraId="5193F8DC">
      <w:pPr>
        <w:pStyle w:val="27"/>
        <w:spacing w:after="190"/>
        <w:ind w:firstLine="183"/>
        <w:rPr>
          <w:rFonts w:ascii="仿宋" w:hAnsi="仿宋" w:eastAsia="仿宋"/>
          <w:color w:val="auto"/>
        </w:rPr>
      </w:pPr>
    </w:p>
    <w:p w14:paraId="1E327B58">
      <w:pPr>
        <w:pStyle w:val="27"/>
        <w:spacing w:after="190"/>
        <w:ind w:firstLine="183"/>
        <w:rPr>
          <w:rFonts w:ascii="仿宋" w:hAnsi="仿宋" w:eastAsia="仿宋"/>
          <w:color w:val="auto"/>
        </w:rPr>
      </w:pPr>
    </w:p>
    <w:p w14:paraId="52BED897">
      <w:pPr>
        <w:pStyle w:val="27"/>
        <w:spacing w:after="190"/>
        <w:ind w:firstLine="183"/>
        <w:rPr>
          <w:rFonts w:ascii="仿宋" w:hAnsi="仿宋" w:eastAsia="仿宋"/>
          <w:color w:val="auto"/>
        </w:rPr>
      </w:pPr>
    </w:p>
    <w:p w14:paraId="2811E748">
      <w:pPr>
        <w:pStyle w:val="27"/>
        <w:spacing w:after="190"/>
        <w:ind w:firstLine="183"/>
        <w:rPr>
          <w:rFonts w:ascii="仿宋" w:hAnsi="仿宋" w:eastAsia="仿宋"/>
          <w:color w:val="auto"/>
        </w:rPr>
      </w:pPr>
    </w:p>
    <w:p w14:paraId="1A5D033B">
      <w:pPr>
        <w:pStyle w:val="27"/>
        <w:spacing w:after="190"/>
        <w:ind w:firstLine="183"/>
        <w:rPr>
          <w:rFonts w:ascii="仿宋" w:hAnsi="仿宋" w:eastAsia="仿宋"/>
          <w:color w:val="auto"/>
        </w:rPr>
      </w:pPr>
    </w:p>
    <w:p w14:paraId="143C62E9">
      <w:pPr>
        <w:pStyle w:val="27"/>
        <w:spacing w:after="190"/>
        <w:ind w:firstLine="183"/>
        <w:rPr>
          <w:rFonts w:ascii="仿宋" w:hAnsi="仿宋" w:eastAsia="仿宋"/>
          <w:color w:val="auto"/>
        </w:rPr>
      </w:pPr>
    </w:p>
    <w:p w14:paraId="2173A17C">
      <w:pPr>
        <w:pStyle w:val="27"/>
        <w:spacing w:after="190"/>
        <w:ind w:firstLine="183"/>
        <w:rPr>
          <w:rFonts w:ascii="仿宋" w:hAnsi="仿宋" w:eastAsia="仿宋"/>
          <w:color w:val="auto"/>
        </w:rPr>
      </w:pPr>
    </w:p>
    <w:p w14:paraId="17023DB5">
      <w:pPr>
        <w:pStyle w:val="27"/>
        <w:spacing w:after="190"/>
        <w:ind w:firstLine="183"/>
        <w:rPr>
          <w:rFonts w:ascii="仿宋" w:hAnsi="仿宋" w:eastAsia="仿宋"/>
          <w:color w:val="auto"/>
        </w:rPr>
      </w:pPr>
    </w:p>
    <w:p w14:paraId="4C5B55FC">
      <w:pPr>
        <w:pStyle w:val="27"/>
        <w:spacing w:after="190"/>
        <w:ind w:firstLine="183"/>
        <w:rPr>
          <w:rFonts w:ascii="仿宋" w:hAnsi="仿宋" w:eastAsia="仿宋"/>
          <w:color w:val="auto"/>
        </w:rPr>
      </w:pPr>
    </w:p>
    <w:p w14:paraId="5E299D0A">
      <w:pPr>
        <w:pStyle w:val="62"/>
        <w:rPr>
          <w:rFonts w:ascii="黑体" w:hAnsi="黑体" w:eastAsia="黑体" w:cs="Times New Roman"/>
          <w:b w:val="0"/>
          <w:bCs w:val="0"/>
          <w:color w:val="auto"/>
        </w:rPr>
      </w:pPr>
      <w:bookmarkStart w:id="773" w:name="_Toc31794"/>
      <w:bookmarkEnd w:id="773"/>
      <w:bookmarkStart w:id="774" w:name="_Toc13676"/>
      <w:bookmarkEnd w:id="774"/>
      <w:bookmarkStart w:id="775" w:name="_Toc4046"/>
      <w:bookmarkEnd w:id="775"/>
      <w:bookmarkStart w:id="776" w:name="_Toc17213"/>
      <w:bookmarkEnd w:id="776"/>
      <w:bookmarkStart w:id="777" w:name="_Toc22107"/>
      <w:bookmarkEnd w:id="777"/>
      <w:bookmarkStart w:id="778" w:name="_Toc4325"/>
      <w:bookmarkEnd w:id="778"/>
      <w:bookmarkStart w:id="779" w:name="_Toc27461"/>
      <w:bookmarkEnd w:id="779"/>
      <w:bookmarkStart w:id="780" w:name="_Toc20524"/>
      <w:bookmarkEnd w:id="780"/>
      <w:bookmarkStart w:id="781" w:name="_Toc32479"/>
      <w:bookmarkEnd w:id="781"/>
      <w:bookmarkStart w:id="782" w:name="_Toc1304"/>
      <w:bookmarkEnd w:id="782"/>
      <w:r>
        <w:rPr>
          <w:rFonts w:hint="eastAsia" w:ascii="黑体" w:hAnsi="黑体" w:eastAsia="黑体" w:cs="黑体"/>
          <w:b w:val="0"/>
          <w:bCs w:val="0"/>
          <w:color w:val="auto"/>
        </w:rPr>
        <w:br w:type="page"/>
      </w:r>
      <w:r>
        <w:rPr>
          <w:rFonts w:hint="eastAsia" w:ascii="黑体" w:hAnsi="黑体" w:eastAsia="黑体" w:cs="黑体"/>
          <w:b w:val="0"/>
          <w:bCs w:val="0"/>
          <w:color w:val="auto"/>
        </w:rPr>
        <w:t>第三部分  投标方案</w:t>
      </w:r>
    </w:p>
    <w:p w14:paraId="4293B868">
      <w:pPr>
        <w:pStyle w:val="62"/>
        <w:jc w:val="both"/>
        <w:outlineLvl w:val="2"/>
        <w:rPr>
          <w:rFonts w:ascii="仿宋" w:hAnsi="仿宋" w:eastAsia="仿宋" w:cs="Times New Roman"/>
          <w:color w:val="auto"/>
        </w:rPr>
      </w:pPr>
      <w:bookmarkStart w:id="783" w:name="_Toc26684"/>
      <w:bookmarkEnd w:id="783"/>
      <w:bookmarkStart w:id="784" w:name="_Toc28654"/>
      <w:bookmarkEnd w:id="784"/>
      <w:bookmarkStart w:id="785" w:name="_Toc10558"/>
      <w:bookmarkEnd w:id="785"/>
      <w:bookmarkStart w:id="786" w:name="_Toc18774"/>
      <w:bookmarkEnd w:id="786"/>
      <w:bookmarkStart w:id="787" w:name="_Toc2323"/>
      <w:bookmarkEnd w:id="787"/>
      <w:bookmarkStart w:id="788" w:name="_Toc22283"/>
      <w:bookmarkEnd w:id="788"/>
      <w:r>
        <w:rPr>
          <w:rFonts w:hint="eastAsia" w:ascii="仿宋" w:hAnsi="仿宋" w:eastAsia="仿宋" w:cs="仿宋"/>
          <w:color w:val="auto"/>
        </w:rPr>
        <w:t>一、投标人性质及概况</w:t>
      </w:r>
    </w:p>
    <w:p w14:paraId="6CD04950">
      <w:pPr>
        <w:spacing w:line="500" w:lineRule="exact"/>
        <w:ind w:firstLine="566" w:firstLineChars="200"/>
        <w:jc w:val="left"/>
        <w:rPr>
          <w:rFonts w:cs="Times New Roman"/>
          <w:b/>
          <w:bCs/>
          <w:color w:val="auto"/>
        </w:rPr>
      </w:pPr>
      <w:r>
        <w:rPr>
          <w:rFonts w:hint="eastAsia" w:cs="华文仿宋"/>
          <w:b/>
          <w:bCs/>
          <w:color w:val="auto"/>
        </w:rPr>
        <w:t>（一）投标人性质</w:t>
      </w:r>
    </w:p>
    <w:p w14:paraId="270B2E8E">
      <w:pPr>
        <w:spacing w:line="500" w:lineRule="exact"/>
        <w:ind w:firstLine="566" w:firstLineChars="200"/>
        <w:jc w:val="left"/>
        <w:rPr>
          <w:rFonts w:hint="eastAsia" w:cs="华文仿宋"/>
          <w:b w:val="0"/>
          <w:bCs w:val="0"/>
          <w:color w:val="auto"/>
          <w:lang w:val="en-US" w:eastAsia="zh-CN"/>
        </w:rPr>
      </w:pPr>
      <w:bookmarkStart w:id="789" w:name="_Toc1257"/>
      <w:bookmarkEnd w:id="789"/>
      <w:bookmarkStart w:id="790" w:name="_Toc14796"/>
      <w:bookmarkEnd w:id="790"/>
      <w:bookmarkStart w:id="791" w:name="_Toc26030"/>
      <w:bookmarkEnd w:id="791"/>
      <w:bookmarkStart w:id="792" w:name="_Toc14293"/>
      <w:bookmarkEnd w:id="792"/>
      <w:bookmarkStart w:id="793" w:name="_Toc22967"/>
      <w:bookmarkEnd w:id="793"/>
      <w:bookmarkStart w:id="794" w:name="_Toc3414"/>
      <w:bookmarkEnd w:id="794"/>
      <w:bookmarkStart w:id="795" w:name="_Toc23652"/>
      <w:bookmarkEnd w:id="795"/>
      <w:bookmarkStart w:id="796" w:name="_Toc25473"/>
      <w:bookmarkEnd w:id="796"/>
      <w:bookmarkStart w:id="797" w:name="_Toc4808"/>
      <w:bookmarkEnd w:id="797"/>
      <w:bookmarkStart w:id="798" w:name="_Toc1655"/>
      <w:bookmarkEnd w:id="798"/>
      <w:bookmarkStart w:id="799" w:name="_Toc1789"/>
      <w:bookmarkEnd w:id="799"/>
      <w:bookmarkStart w:id="800" w:name="_Toc13874"/>
      <w:bookmarkEnd w:id="800"/>
      <w:bookmarkStart w:id="801" w:name="_Toc10647"/>
      <w:bookmarkEnd w:id="801"/>
      <w:r>
        <w:rPr>
          <w:rFonts w:hint="eastAsia" w:cs="华文仿宋"/>
          <w:b w:val="0"/>
          <w:bCs w:val="0"/>
          <w:color w:val="auto"/>
          <w:lang w:val="en-US" w:eastAsia="zh-CN"/>
        </w:rPr>
        <w:t>本项目为专门面向中小企业项目，供应商应为中型、小型、微型企业或监狱企业或残疾人福利性单位。供应商为中型、小型、微型企业的，提供《中小企业声明函》，且中型、小型、微型企业的划分标准所属行业一标段为</w:t>
      </w:r>
      <w:r>
        <w:rPr>
          <w:rFonts w:hint="eastAsia" w:cs="华文仿宋"/>
          <w:b/>
          <w:bCs/>
          <w:color w:val="auto"/>
          <w:u w:val="single"/>
          <w:lang w:val="en-US" w:eastAsia="zh-CN"/>
        </w:rPr>
        <w:t>其他未列明行业</w:t>
      </w:r>
      <w:r>
        <w:rPr>
          <w:rFonts w:hint="eastAsia" w:cs="华文仿宋"/>
          <w:b w:val="0"/>
          <w:bCs w:val="0"/>
          <w:color w:val="auto"/>
          <w:lang w:val="en-US" w:eastAsia="zh-CN"/>
        </w:rPr>
        <w:t>，二标段为</w:t>
      </w:r>
      <w:r>
        <w:rPr>
          <w:rFonts w:hint="eastAsia"/>
          <w:b/>
          <w:bCs/>
          <w:color w:val="auto"/>
          <w:u w:val="single"/>
          <w:lang w:val="en-US" w:eastAsia="zh-CN"/>
        </w:rPr>
        <w:t>物业管理</w:t>
      </w:r>
      <w:r>
        <w:rPr>
          <w:rFonts w:hint="eastAsia" w:cs="华文仿宋"/>
          <w:b w:val="0"/>
          <w:bCs w:val="0"/>
          <w:color w:val="auto"/>
          <w:lang w:val="en-US" w:eastAsia="zh-CN"/>
        </w:rPr>
        <w:t>；供应商为监狱企业的，应提供监狱企业的证明文件；供应商为残疾人福利性单位的，应提供《残疾人福利性单位声明函》（监狱企业或残疾人福利性单位视同小型、微型企业）。</w:t>
      </w:r>
    </w:p>
    <w:p w14:paraId="056A6743">
      <w:pPr>
        <w:pStyle w:val="63"/>
        <w:ind w:firstLine="567"/>
        <w:outlineLvl w:val="9"/>
        <w:rPr>
          <w:rFonts w:ascii="华文仿宋" w:hAnsi="华文仿宋" w:cs="华文仿宋"/>
          <w:b w:val="0"/>
          <w:bCs w:val="0"/>
          <w:color w:val="auto"/>
          <w:sz w:val="28"/>
          <w:szCs w:val="28"/>
        </w:rPr>
      </w:pPr>
      <w:r>
        <w:rPr>
          <w:rFonts w:hint="eastAsia" w:ascii="华文仿宋" w:hAnsi="华文仿宋" w:cs="华文仿宋"/>
          <w:b w:val="0"/>
          <w:bCs w:val="0"/>
          <w:color w:val="auto"/>
          <w:sz w:val="28"/>
          <w:szCs w:val="28"/>
        </w:rPr>
        <w:t>（一）关于</w:t>
      </w:r>
      <w:r>
        <w:rPr>
          <w:rFonts w:hint="eastAsia" w:ascii="华文仿宋" w:hAnsi="华文仿宋" w:cs="华文仿宋"/>
          <w:b w:val="0"/>
          <w:bCs w:val="0"/>
          <w:color w:val="auto"/>
          <w:sz w:val="28"/>
          <w:szCs w:val="28"/>
          <w:lang w:val="en-US" w:eastAsia="zh-CN"/>
        </w:rPr>
        <w:t>中小</w:t>
      </w:r>
      <w:r>
        <w:rPr>
          <w:rFonts w:hint="eastAsia" w:ascii="华文仿宋" w:hAnsi="华文仿宋" w:cs="华文仿宋"/>
          <w:b w:val="0"/>
          <w:bCs w:val="0"/>
          <w:color w:val="auto"/>
          <w:sz w:val="28"/>
          <w:szCs w:val="28"/>
        </w:rPr>
        <w:t>企业判定</w:t>
      </w:r>
    </w:p>
    <w:p w14:paraId="2CCE96B8">
      <w:pPr>
        <w:spacing w:line="500" w:lineRule="exact"/>
        <w:ind w:firstLine="566" w:firstLineChars="200"/>
        <w:rPr>
          <w:color w:val="auto"/>
        </w:rPr>
      </w:pPr>
      <w:r>
        <w:rPr>
          <w:rFonts w:hint="eastAsia"/>
          <w:color w:val="auto"/>
        </w:rPr>
        <w:t>本项目采购标的对应的中小企业划分标准所属行业</w:t>
      </w:r>
      <w:r>
        <w:rPr>
          <w:rFonts w:hint="eastAsia" w:cs="华文仿宋"/>
          <w:b w:val="0"/>
          <w:bCs w:val="0"/>
          <w:color w:val="auto"/>
          <w:lang w:val="en-US" w:eastAsia="zh-CN"/>
        </w:rPr>
        <w:t>一标段为</w:t>
      </w:r>
      <w:r>
        <w:rPr>
          <w:rFonts w:hint="eastAsia" w:cs="华文仿宋"/>
          <w:b/>
          <w:bCs/>
          <w:color w:val="auto"/>
          <w:u w:val="single"/>
          <w:lang w:val="en-US" w:eastAsia="zh-CN"/>
        </w:rPr>
        <w:t>其他未列明行业</w:t>
      </w:r>
      <w:r>
        <w:rPr>
          <w:rFonts w:hint="eastAsia" w:cs="华文仿宋"/>
          <w:b w:val="0"/>
          <w:bCs w:val="0"/>
          <w:color w:val="auto"/>
          <w:lang w:val="en-US" w:eastAsia="zh-CN"/>
        </w:rPr>
        <w:t>，二标段为</w:t>
      </w:r>
      <w:r>
        <w:rPr>
          <w:rFonts w:hint="eastAsia"/>
          <w:b/>
          <w:bCs/>
          <w:color w:val="auto"/>
          <w:u w:val="single"/>
          <w:lang w:val="en-US" w:eastAsia="zh-CN"/>
        </w:rPr>
        <w:t>物业管理。</w:t>
      </w:r>
    </w:p>
    <w:p w14:paraId="2D831E40">
      <w:pPr>
        <w:spacing w:line="500" w:lineRule="exact"/>
        <w:ind w:firstLine="566" w:firstLineChars="200"/>
        <w:rPr>
          <w:rFonts w:hint="default" w:ascii="华文仿宋" w:hAnsi="华文仿宋" w:eastAsia="华文仿宋" w:cs="华文仿宋"/>
          <w:color w:val="auto"/>
          <w:lang w:val="en-US" w:eastAsia="zh-CN"/>
        </w:rPr>
      </w:pPr>
      <w:r>
        <w:rPr>
          <w:rFonts w:hint="eastAsia" w:ascii="华文仿宋" w:hAnsi="华文仿宋" w:cs="华文仿宋"/>
          <w:color w:val="auto"/>
        </w:rPr>
        <w:t>各供应商可根据企业从业人员、营业收入、资产总额等指标，按照</w:t>
      </w:r>
      <w:r>
        <w:rPr>
          <w:rFonts w:hint="eastAsia" w:ascii="华文仿宋" w:hAnsi="华文仿宋" w:cs="华文仿宋"/>
          <w:color w:val="auto"/>
          <w:lang w:eastAsia="zh-CN"/>
        </w:rPr>
        <w:t>电子磋商文件</w:t>
      </w:r>
      <w:r>
        <w:rPr>
          <w:rFonts w:hint="eastAsia" w:ascii="华文仿宋" w:hAnsi="华文仿宋" w:cs="华文仿宋"/>
          <w:color w:val="auto"/>
        </w:rPr>
        <w:t>约定的采购标的对应的</w:t>
      </w:r>
      <w:r>
        <w:rPr>
          <w:rFonts w:hint="eastAsia" w:ascii="华文仿宋" w:hAnsi="华文仿宋" w:cs="华文仿宋"/>
          <w:b w:val="0"/>
          <w:bCs w:val="0"/>
          <w:color w:val="auto"/>
          <w:sz w:val="28"/>
          <w:szCs w:val="28"/>
          <w:lang w:val="en-US" w:eastAsia="zh-CN"/>
        </w:rPr>
        <w:t>中小</w:t>
      </w:r>
      <w:r>
        <w:rPr>
          <w:rFonts w:hint="eastAsia" w:ascii="华文仿宋" w:hAnsi="华文仿宋" w:cs="华文仿宋"/>
          <w:color w:val="auto"/>
        </w:rPr>
        <w:t>企业划分标准所属行业和《中小</w:t>
      </w:r>
      <w:r>
        <w:rPr>
          <w:rFonts w:hint="eastAsia" w:ascii="华文仿宋" w:hAnsi="华文仿宋" w:cs="华文仿宋"/>
          <w:color w:val="000000"/>
        </w:rPr>
        <w:t>企业划型标准规定》（工信部联企业〔2011〕300号）进行自测，判断属于中型、小型还是微型企业。也可</w:t>
      </w:r>
      <w:r>
        <w:rPr>
          <w:rFonts w:hint="eastAsia" w:ascii="华文仿宋" w:hAnsi="华文仿宋" w:cs="华文仿宋"/>
          <w:color w:val="auto"/>
          <w:lang w:val="en-US" w:eastAsia="zh-CN"/>
        </w:rPr>
        <w:t>在微信小程序中搜索</w:t>
      </w:r>
      <w:r>
        <w:rPr>
          <w:rFonts w:hint="eastAsia" w:ascii="华文仿宋" w:hAnsi="华文仿宋" w:cs="华文仿宋"/>
          <w:b w:val="0"/>
          <w:bCs w:val="0"/>
          <w:color w:val="000000"/>
          <w:sz w:val="28"/>
          <w:szCs w:val="28"/>
          <w:lang w:eastAsia="zh-CN"/>
        </w:rPr>
        <w:t>中</w:t>
      </w:r>
      <w:r>
        <w:rPr>
          <w:rFonts w:hint="eastAsia" w:ascii="华文仿宋" w:hAnsi="华文仿宋" w:cs="华文仿宋"/>
          <w:b w:val="0"/>
          <w:bCs w:val="0"/>
          <w:color w:val="000000"/>
          <w:sz w:val="28"/>
          <w:szCs w:val="28"/>
        </w:rPr>
        <w:t>小</w:t>
      </w:r>
      <w:r>
        <w:rPr>
          <w:rFonts w:hint="eastAsia" w:ascii="华文仿宋" w:hAnsi="华文仿宋" w:cs="华文仿宋"/>
          <w:color w:val="auto"/>
          <w:lang w:val="en-US" w:eastAsia="zh-CN"/>
        </w:rPr>
        <w:t>企业规模类型自测小程序进行测算。</w:t>
      </w:r>
    </w:p>
    <w:p w14:paraId="3ABC0916">
      <w:pPr>
        <w:spacing w:line="500" w:lineRule="exact"/>
        <w:ind w:firstLine="566" w:firstLineChars="200"/>
        <w:rPr>
          <w:rFonts w:ascii="华文仿宋" w:hAnsi="华文仿宋" w:cs="华文仿宋"/>
          <w:color w:val="000000"/>
        </w:rPr>
      </w:pPr>
    </w:p>
    <w:p w14:paraId="7554FE2C">
      <w:pPr>
        <w:spacing w:line="500" w:lineRule="exact"/>
        <w:ind w:firstLine="426" w:firstLineChars="200"/>
        <w:rPr>
          <w:rFonts w:ascii="宋体" w:hAnsi="宋体" w:eastAsia="宋体" w:cs="宋体"/>
          <w:color w:val="auto"/>
          <w:sz w:val="21"/>
          <w:szCs w:val="21"/>
        </w:rPr>
      </w:pPr>
    </w:p>
    <w:p w14:paraId="0EFC077D">
      <w:pPr>
        <w:spacing w:line="500" w:lineRule="exact"/>
        <w:ind w:firstLine="566" w:firstLineChars="200"/>
        <w:rPr>
          <w:rFonts w:ascii="华文仿宋" w:hAnsi="华文仿宋" w:cs="华文仿宋"/>
          <w:b/>
          <w:bCs/>
          <w:color w:val="auto"/>
        </w:rPr>
      </w:pPr>
      <w:r>
        <w:rPr>
          <w:rFonts w:hint="eastAsia" w:ascii="华文仿宋" w:hAnsi="华文仿宋" w:cs="华文仿宋"/>
          <w:b/>
          <w:bCs/>
          <w:color w:val="auto"/>
        </w:rPr>
        <w:t>特别提醒：</w:t>
      </w:r>
      <w:r>
        <w:rPr>
          <w:rFonts w:hint="eastAsia" w:ascii="华文仿宋" w:hAnsi="华文仿宋" w:cs="华文仿宋"/>
          <w:b/>
          <w:bCs/>
          <w:color w:val="auto"/>
          <w:lang w:val="en-US" w:eastAsia="zh-CN"/>
        </w:rPr>
        <w:t>中标</w:t>
      </w:r>
      <w:r>
        <w:rPr>
          <w:rFonts w:hint="eastAsia" w:ascii="华文仿宋" w:hAnsi="华文仿宋" w:cs="华文仿宋"/>
          <w:b/>
          <w:bCs/>
          <w:color w:val="auto"/>
        </w:rPr>
        <w:t>供应商的《中小企业声明函》</w:t>
      </w:r>
      <w:r>
        <w:rPr>
          <w:rFonts w:hint="eastAsia" w:ascii="华文仿宋" w:hAnsi="华文仿宋" w:cs="华文仿宋"/>
          <w:b/>
          <w:bCs/>
          <w:color w:val="auto"/>
          <w:lang w:eastAsia="zh-CN"/>
        </w:rPr>
        <w:t>或</w:t>
      </w:r>
      <w:r>
        <w:rPr>
          <w:rFonts w:hint="eastAsia" w:ascii="华文仿宋" w:hAnsi="华文仿宋" w:cs="华文仿宋"/>
          <w:b/>
          <w:bCs/>
          <w:color w:val="auto"/>
        </w:rPr>
        <w:t>《残疾人福利性单位声明函》或监狱企业证明文件将随成交结果公告一同公布，接受社会监督。</w:t>
      </w:r>
    </w:p>
    <w:p w14:paraId="2EAB211A">
      <w:pPr>
        <w:pageBreakBefore/>
        <w:widowControl w:val="0"/>
        <w:spacing w:before="190" w:beforeLines="50" w:after="190" w:afterLines="50" w:line="500" w:lineRule="exact"/>
        <w:jc w:val="center"/>
        <w:rPr>
          <w:rFonts w:ascii="华文仿宋" w:hAnsi="华文仿宋" w:cs="华文仿宋"/>
          <w:b/>
          <w:color w:val="000000"/>
          <w:kern w:val="0"/>
        </w:rPr>
      </w:pPr>
      <w:r>
        <w:rPr>
          <w:rFonts w:hint="eastAsia" w:ascii="华文仿宋" w:hAnsi="华文仿宋" w:cs="华文仿宋"/>
          <w:b/>
          <w:color w:val="000000"/>
          <w:kern w:val="0"/>
          <w:lang w:val="en-US" w:eastAsia="zh-CN"/>
        </w:rPr>
        <w:t>中小</w:t>
      </w:r>
      <w:r>
        <w:rPr>
          <w:rFonts w:hint="eastAsia" w:ascii="华文仿宋" w:hAnsi="华文仿宋" w:cs="华文仿宋"/>
          <w:b/>
          <w:color w:val="000000"/>
          <w:kern w:val="0"/>
        </w:rPr>
        <w:t>企业声明函</w:t>
      </w:r>
    </w:p>
    <w:p w14:paraId="0C6A601A">
      <w:pPr>
        <w:spacing w:line="500" w:lineRule="exact"/>
        <w:ind w:firstLine="566" w:firstLineChars="200"/>
        <w:jc w:val="left"/>
        <w:rPr>
          <w:rFonts w:ascii="华文仿宋" w:hAnsi="华文仿宋" w:cs="华文仿宋"/>
          <w:color w:val="auto"/>
        </w:rPr>
      </w:pPr>
      <w:r>
        <w:rPr>
          <w:rFonts w:hint="eastAsia" w:ascii="华文仿宋" w:hAnsi="华文仿宋" w:cs="华文仿宋"/>
          <w:color w:val="auto"/>
          <w:kern w:val="0"/>
        </w:rPr>
        <w:t>本公司郑重声明，根据《政府采购促进中小企业发展管理办法》（财库</w:t>
      </w:r>
      <w:r>
        <w:rPr>
          <w:rFonts w:hint="eastAsia" w:ascii="仿宋" w:hAnsi="仿宋" w:eastAsia="仿宋" w:cs="仿宋"/>
          <w:color w:val="auto"/>
          <w:kern w:val="0"/>
        </w:rPr>
        <w:t>﹝2020﹞46</w:t>
      </w:r>
      <w:r>
        <w:rPr>
          <w:rFonts w:hint="eastAsia" w:ascii="华文仿宋" w:hAnsi="华文仿宋" w:cs="华文仿宋"/>
          <w:color w:val="auto"/>
          <w:kern w:val="0"/>
        </w:rPr>
        <w:t>号）的规定，本公司参加</w:t>
      </w:r>
      <w:r>
        <w:rPr>
          <w:rFonts w:hint="eastAsia" w:ascii="华文仿宋" w:hAnsi="华文仿宋" w:cs="华文仿宋"/>
          <w:color w:val="auto"/>
          <w:kern w:val="0"/>
          <w:lang w:eastAsia="zh-CN"/>
        </w:rPr>
        <w:t>延安市公共资源交易中心（延安市市直单位政府采购中心）</w:t>
      </w:r>
      <w:r>
        <w:rPr>
          <w:rFonts w:hint="eastAsia" w:ascii="华文仿宋" w:hAnsi="华文仿宋" w:cs="华文仿宋"/>
          <w:color w:val="auto"/>
          <w:kern w:val="0"/>
        </w:rPr>
        <w:t>组织的</w:t>
      </w:r>
      <w:r>
        <w:rPr>
          <w:rFonts w:hint="eastAsia" w:ascii="华文仿宋" w:hAnsi="华文仿宋" w:cs="华文仿宋"/>
          <w:iCs/>
          <w:color w:val="auto"/>
          <w:kern w:val="0"/>
          <w:u w:val="single"/>
        </w:rPr>
        <w:t>（项目名称）</w:t>
      </w:r>
      <w:r>
        <w:rPr>
          <w:rFonts w:hint="eastAsia" w:ascii="华文仿宋" w:hAnsi="华文仿宋" w:cs="华文仿宋"/>
          <w:color w:val="000000"/>
        </w:rPr>
        <w:t>第___标段</w:t>
      </w:r>
      <w:r>
        <w:rPr>
          <w:rFonts w:hint="eastAsia" w:ascii="华文仿宋" w:hAnsi="华文仿宋" w:cs="华文仿宋"/>
          <w:iCs/>
          <w:color w:val="auto"/>
          <w:kern w:val="0"/>
        </w:rPr>
        <w:t>的</w:t>
      </w:r>
      <w:r>
        <w:rPr>
          <w:rFonts w:hint="eastAsia" w:ascii="华文仿宋" w:hAnsi="华文仿宋" w:cs="华文仿宋"/>
          <w:color w:val="auto"/>
          <w:kern w:val="0"/>
        </w:rPr>
        <w:t>采购活动，服务全部由符合政策要求的</w:t>
      </w:r>
      <w:r>
        <w:rPr>
          <w:rFonts w:hint="eastAsia" w:ascii="华文仿宋" w:hAnsi="华文仿宋" w:cs="华文仿宋"/>
          <w:color w:val="auto"/>
          <w:kern w:val="0"/>
          <w:lang w:val="en-US" w:eastAsia="zh-CN"/>
        </w:rPr>
        <w:t>中小</w:t>
      </w:r>
      <w:r>
        <w:rPr>
          <w:rFonts w:hint="eastAsia" w:ascii="华文仿宋" w:hAnsi="华文仿宋" w:cs="华文仿宋"/>
          <w:color w:val="auto"/>
          <w:kern w:val="0"/>
        </w:rPr>
        <w:t>企业承接。相关企业的具体情况如下：</w:t>
      </w:r>
    </w:p>
    <w:p w14:paraId="1C7ECE2D">
      <w:pPr>
        <w:spacing w:line="500" w:lineRule="exact"/>
        <w:ind w:firstLine="566" w:firstLineChars="200"/>
        <w:jc w:val="left"/>
        <w:rPr>
          <w:rFonts w:ascii="华文仿宋" w:hAnsi="华文仿宋" w:cs="华文仿宋"/>
          <w:color w:val="auto"/>
          <w:kern w:val="0"/>
        </w:rPr>
      </w:pPr>
      <w:r>
        <w:rPr>
          <w:rFonts w:hint="eastAsia" w:ascii="华文仿宋" w:hAnsi="华文仿宋" w:cs="华文仿宋"/>
          <w:color w:val="auto"/>
          <w:kern w:val="0"/>
          <w:u w:val="single"/>
        </w:rPr>
        <w:t xml:space="preserve">（项目名称） </w:t>
      </w:r>
      <w:r>
        <w:rPr>
          <w:rFonts w:hint="eastAsia" w:ascii="华文仿宋" w:hAnsi="华文仿宋" w:cs="华文仿宋"/>
          <w:color w:val="auto"/>
          <w:kern w:val="0"/>
        </w:rPr>
        <w:t>，属于</w:t>
      </w:r>
      <w:r>
        <w:rPr>
          <w:rFonts w:hint="eastAsia" w:ascii="华文仿宋" w:hAnsi="华文仿宋" w:cs="华文仿宋"/>
          <w:iCs/>
          <w:color w:val="auto"/>
          <w:kern w:val="0"/>
          <w:u w:val="single"/>
        </w:rPr>
        <w:t xml:space="preserve">       </w:t>
      </w:r>
      <w:r>
        <w:rPr>
          <w:rFonts w:hint="eastAsia" w:ascii="华文仿宋" w:hAnsi="华文仿宋" w:cs="华文仿宋"/>
          <w:color w:val="auto"/>
          <w:kern w:val="0"/>
        </w:rPr>
        <w:t>（</w:t>
      </w:r>
      <w:r>
        <w:rPr>
          <w:rFonts w:hint="eastAsia" w:ascii="华文仿宋" w:hAnsi="华文仿宋" w:cs="华文仿宋"/>
          <w:color w:val="auto"/>
          <w:kern w:val="0"/>
          <w:lang w:val="en-US" w:eastAsia="zh-CN"/>
        </w:rPr>
        <w:t>采购</w:t>
      </w:r>
      <w:r>
        <w:rPr>
          <w:rFonts w:hint="eastAsia" w:ascii="华文仿宋" w:hAnsi="华文仿宋" w:cs="华文仿宋"/>
          <w:color w:val="auto"/>
          <w:kern w:val="0"/>
          <w:lang w:eastAsia="zh-CN"/>
        </w:rPr>
        <w:t>文件</w:t>
      </w:r>
      <w:r>
        <w:rPr>
          <w:rFonts w:hint="eastAsia" w:ascii="华文仿宋" w:hAnsi="华文仿宋" w:cs="华文仿宋"/>
          <w:color w:val="auto"/>
          <w:kern w:val="0"/>
        </w:rPr>
        <w:t>中明确的所属行业）；承接企业为</w:t>
      </w:r>
      <w:r>
        <w:rPr>
          <w:rFonts w:hint="eastAsia" w:ascii="华文仿宋" w:hAnsi="华文仿宋" w:cs="华文仿宋"/>
          <w:color w:val="auto"/>
          <w:kern w:val="0"/>
          <w:u w:val="single"/>
        </w:rPr>
        <w:t>（企业名称）</w:t>
      </w:r>
      <w:r>
        <w:rPr>
          <w:rFonts w:hint="eastAsia" w:ascii="华文仿宋" w:hAnsi="华文仿宋" w:cs="华文仿宋"/>
          <w:color w:val="auto"/>
          <w:kern w:val="0"/>
        </w:rPr>
        <w:t>，从业人员</w:t>
      </w:r>
      <w:r>
        <w:rPr>
          <w:rFonts w:hint="eastAsia" w:ascii="华文仿宋" w:hAnsi="华文仿宋" w:cs="华文仿宋"/>
          <w:iCs/>
          <w:color w:val="auto"/>
          <w:kern w:val="0"/>
          <w:u w:val="single"/>
        </w:rPr>
        <w:t xml:space="preserve">       </w:t>
      </w:r>
      <w:r>
        <w:rPr>
          <w:rFonts w:hint="eastAsia" w:ascii="华文仿宋" w:hAnsi="华文仿宋" w:cs="华文仿宋"/>
          <w:color w:val="auto"/>
          <w:kern w:val="0"/>
        </w:rPr>
        <w:t>人，营业收入为</w:t>
      </w:r>
      <w:r>
        <w:rPr>
          <w:rFonts w:hint="eastAsia" w:ascii="华文仿宋" w:hAnsi="华文仿宋" w:cs="华文仿宋"/>
          <w:iCs/>
          <w:color w:val="auto"/>
          <w:kern w:val="0"/>
          <w:u w:val="single"/>
        </w:rPr>
        <w:t xml:space="preserve">       </w:t>
      </w:r>
      <w:r>
        <w:rPr>
          <w:rFonts w:hint="eastAsia" w:ascii="华文仿宋" w:hAnsi="华文仿宋" w:cs="华文仿宋"/>
          <w:color w:val="auto"/>
          <w:kern w:val="0"/>
        </w:rPr>
        <w:t>万元，资产总额为</w:t>
      </w:r>
      <w:r>
        <w:rPr>
          <w:rFonts w:hint="eastAsia" w:ascii="华文仿宋" w:hAnsi="华文仿宋" w:cs="华文仿宋"/>
          <w:iCs/>
          <w:color w:val="auto"/>
          <w:kern w:val="0"/>
          <w:u w:val="single"/>
        </w:rPr>
        <w:t xml:space="preserve">       </w:t>
      </w:r>
      <w:r>
        <w:rPr>
          <w:rFonts w:hint="eastAsia" w:ascii="华文仿宋" w:hAnsi="华文仿宋" w:cs="华文仿宋"/>
          <w:color w:val="auto"/>
          <w:kern w:val="0"/>
        </w:rPr>
        <w:t>万元，属于</w:t>
      </w:r>
      <w:r>
        <w:rPr>
          <w:rFonts w:hint="eastAsia" w:ascii="华文仿宋" w:hAnsi="华文仿宋" w:cs="华文仿宋"/>
          <w:iCs/>
          <w:color w:val="auto"/>
          <w:kern w:val="0"/>
          <w:u w:val="single"/>
        </w:rPr>
        <w:t xml:space="preserve">       </w:t>
      </w:r>
      <w:r>
        <w:rPr>
          <w:rFonts w:hint="eastAsia" w:ascii="华文仿宋" w:hAnsi="华文仿宋" w:cs="华文仿宋"/>
          <w:color w:val="auto"/>
          <w:kern w:val="0"/>
        </w:rPr>
        <w:t>（</w:t>
      </w:r>
      <w:r>
        <w:rPr>
          <w:rFonts w:hint="eastAsia" w:ascii="华文仿宋" w:hAnsi="华文仿宋" w:cs="华文仿宋"/>
          <w:color w:val="auto"/>
          <w:kern w:val="0"/>
          <w:lang w:val="en-US" w:eastAsia="zh-CN"/>
        </w:rPr>
        <w:t>中</w:t>
      </w:r>
      <w:r>
        <w:rPr>
          <w:rFonts w:hint="eastAsia" w:ascii="华文仿宋" w:hAnsi="华文仿宋" w:cs="华文仿宋"/>
          <w:color w:val="auto"/>
          <w:kern w:val="0"/>
        </w:rPr>
        <w:t>型企业、小型企业、微型企业）。</w:t>
      </w:r>
    </w:p>
    <w:p w14:paraId="56BA943C">
      <w:pPr>
        <w:spacing w:line="500" w:lineRule="exact"/>
        <w:ind w:firstLine="566" w:firstLineChars="200"/>
        <w:jc w:val="left"/>
        <w:rPr>
          <w:rFonts w:ascii="华文仿宋" w:hAnsi="华文仿宋" w:cs="华文仿宋"/>
          <w:color w:val="auto"/>
          <w:kern w:val="0"/>
        </w:rPr>
      </w:pPr>
      <w:r>
        <w:rPr>
          <w:rFonts w:hint="eastAsia" w:ascii="华文仿宋" w:hAnsi="华文仿宋" w:cs="华文仿宋"/>
          <w:color w:val="auto"/>
          <w:kern w:val="0"/>
        </w:rPr>
        <w:t>以上企业，不属于大企业的分支机构，不存在控股股东为大企业的情形，也不存在与大企业的负责人为同一人的情形。</w:t>
      </w:r>
    </w:p>
    <w:p w14:paraId="03A4F4F2">
      <w:pPr>
        <w:spacing w:line="500" w:lineRule="exact"/>
        <w:ind w:firstLine="566" w:firstLineChars="200"/>
        <w:jc w:val="left"/>
        <w:rPr>
          <w:rFonts w:ascii="华文仿宋" w:hAnsi="华文仿宋" w:cs="华文仿宋"/>
          <w:color w:val="auto"/>
          <w:kern w:val="0"/>
        </w:rPr>
      </w:pPr>
      <w:r>
        <w:rPr>
          <w:rFonts w:hint="eastAsia" w:ascii="华文仿宋" w:hAnsi="华文仿宋" w:cs="华文仿宋"/>
          <w:color w:val="auto"/>
          <w:kern w:val="0"/>
        </w:rPr>
        <w:t xml:space="preserve">本企业对上述声明内容的真实性负责。如有虚假，将依法承担相应责任。 </w:t>
      </w:r>
    </w:p>
    <w:p w14:paraId="144F6AE4">
      <w:pPr>
        <w:pStyle w:val="7"/>
        <w:rPr>
          <w:color w:val="auto"/>
        </w:rPr>
      </w:pPr>
    </w:p>
    <w:p w14:paraId="6F87C7EA">
      <w:pPr>
        <w:spacing w:line="500" w:lineRule="exact"/>
        <w:ind w:firstLine="5094" w:firstLineChars="1800"/>
        <w:rPr>
          <w:rFonts w:hint="eastAsia" w:ascii="华文仿宋" w:hAnsi="华文仿宋" w:cs="华文仿宋"/>
          <w:color w:val="auto"/>
          <w:kern w:val="0"/>
        </w:rPr>
      </w:pPr>
    </w:p>
    <w:p w14:paraId="3CEBC9CF">
      <w:pPr>
        <w:spacing w:line="500" w:lineRule="exact"/>
        <w:ind w:firstLine="5943" w:firstLineChars="2100"/>
        <w:rPr>
          <w:rFonts w:ascii="华文仿宋" w:hAnsi="华文仿宋" w:cs="华文仿宋"/>
          <w:color w:val="auto"/>
          <w:kern w:val="0"/>
        </w:rPr>
      </w:pPr>
      <w:r>
        <w:rPr>
          <w:rFonts w:hint="eastAsia" w:ascii="华文仿宋" w:hAnsi="华文仿宋" w:cs="华文仿宋"/>
          <w:color w:val="auto"/>
          <w:kern w:val="0"/>
        </w:rPr>
        <w:t>供应商：</w:t>
      </w:r>
      <w:r>
        <w:rPr>
          <w:rFonts w:hint="eastAsia" w:ascii="华文仿宋" w:hAnsi="华文仿宋" w:cs="华文仿宋"/>
          <w:color w:val="auto"/>
          <w:kern w:val="0"/>
          <w:u w:val="single"/>
        </w:rPr>
        <w:t>名称</w:t>
      </w:r>
      <w:r>
        <w:rPr>
          <w:rFonts w:hint="eastAsia" w:ascii="华文仿宋" w:hAnsi="华文仿宋" w:cs="华文仿宋"/>
          <w:color w:val="auto"/>
          <w:kern w:val="0"/>
        </w:rPr>
        <w:t xml:space="preserve">（加盖公章） </w:t>
      </w:r>
    </w:p>
    <w:p w14:paraId="435902DA">
      <w:pPr>
        <w:spacing w:line="500" w:lineRule="exact"/>
        <w:ind w:firstLine="566" w:firstLineChars="200"/>
        <w:jc w:val="right"/>
        <w:rPr>
          <w:rFonts w:ascii="华文仿宋" w:hAnsi="华文仿宋" w:cs="华文仿宋"/>
          <w:color w:val="000000"/>
          <w:kern w:val="0"/>
        </w:rPr>
      </w:pPr>
      <w:r>
        <w:rPr>
          <w:rFonts w:hint="eastAsia" w:ascii="华文仿宋" w:hAnsi="华文仿宋" w:cs="华文仿宋"/>
          <w:color w:val="auto"/>
          <w:kern w:val="0"/>
        </w:rPr>
        <w:t xml:space="preserve">              日期：    年  月  日</w:t>
      </w:r>
    </w:p>
    <w:p w14:paraId="7E997D5E">
      <w:pPr>
        <w:pStyle w:val="27"/>
        <w:spacing w:line="500" w:lineRule="exact"/>
        <w:ind w:firstLine="0" w:firstLineChars="0"/>
        <w:rPr>
          <w:rFonts w:ascii="仿宋" w:hAnsi="仿宋" w:eastAsia="仿宋" w:cs="仿宋"/>
          <w:b/>
          <w:bCs/>
          <w:color w:val="000000"/>
          <w:sz w:val="28"/>
          <w:szCs w:val="32"/>
        </w:rPr>
      </w:pPr>
    </w:p>
    <w:p w14:paraId="634CFD31">
      <w:pPr>
        <w:tabs>
          <w:tab w:val="left" w:pos="5670"/>
        </w:tabs>
        <w:ind w:firstLine="426" w:firstLineChars="200"/>
        <w:jc w:val="left"/>
        <w:rPr>
          <w:rFonts w:ascii="宋体" w:hAnsi="宋体" w:eastAsia="宋体" w:cs="宋体"/>
          <w:color w:val="000000"/>
          <w:sz w:val="21"/>
          <w:szCs w:val="21"/>
        </w:rPr>
      </w:pPr>
      <w:r>
        <w:rPr>
          <w:rFonts w:hint="eastAsia" w:ascii="宋体" w:hAnsi="宋体" w:eastAsia="宋体" w:cs="宋体"/>
          <w:b/>
          <w:bCs/>
          <w:color w:val="000000"/>
          <w:sz w:val="21"/>
          <w:szCs w:val="21"/>
        </w:rPr>
        <w:t>备注：</w:t>
      </w:r>
      <w:r>
        <w:rPr>
          <w:rFonts w:ascii="宋体" w:hAnsi="宋体" w:eastAsia="宋体" w:cs="宋体"/>
          <w:color w:val="000000"/>
          <w:sz w:val="21"/>
          <w:szCs w:val="21"/>
        </w:rPr>
        <w:t>1</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填写前请认真阅读《工业和信息化部、国家统计局、国家发展和改革委员会、财政部关于印发中小企业划型标准规定的通知》（工信部联企业﹝20</w:t>
      </w:r>
      <w:r>
        <w:rPr>
          <w:rFonts w:hint="eastAsia" w:ascii="宋体" w:hAnsi="宋体" w:eastAsia="宋体" w:cs="宋体"/>
          <w:color w:val="000000"/>
          <w:sz w:val="21"/>
          <w:szCs w:val="21"/>
          <w:lang w:val="en-US" w:eastAsia="zh-CN"/>
        </w:rPr>
        <w:t>11</w:t>
      </w:r>
      <w:r>
        <w:rPr>
          <w:rFonts w:hint="eastAsia" w:ascii="宋体" w:hAnsi="宋体" w:eastAsia="宋体" w:cs="宋体"/>
          <w:color w:val="000000"/>
          <w:sz w:val="21"/>
          <w:szCs w:val="21"/>
        </w:rPr>
        <w:t>﹞300号）和财政部、工业和信息化部关于印发《政府采购促进中小企业发展管理办法》的通知(财库﹝2020﹞46号)相关规定。</w:t>
      </w:r>
    </w:p>
    <w:p w14:paraId="1D6A0702">
      <w:pPr>
        <w:pStyle w:val="27"/>
        <w:spacing w:line="400" w:lineRule="exact"/>
        <w:ind w:firstLine="426" w:firstLineChars="200"/>
        <w:rPr>
          <w:rFonts w:ascii="宋体" w:hAnsi="宋体" w:eastAsia="宋体" w:cs="宋体"/>
          <w:color w:val="000000"/>
          <w:sz w:val="21"/>
          <w:szCs w:val="21"/>
        </w:rPr>
      </w:pPr>
      <w:r>
        <w:rPr>
          <w:rFonts w:hint="eastAsia" w:ascii="宋体" w:hAnsi="宋体" w:eastAsia="宋体" w:cs="宋体"/>
          <w:color w:val="000000"/>
          <w:sz w:val="21"/>
          <w:szCs w:val="21"/>
        </w:rPr>
        <w:t>2</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从业人员、营业收入、资产总额填报上一年度数据，无上一年度数据的新成立企业可不填报。</w:t>
      </w:r>
    </w:p>
    <w:p w14:paraId="0EB2B985">
      <w:pPr>
        <w:tabs>
          <w:tab w:val="left" w:pos="5670"/>
        </w:tabs>
        <w:spacing w:line="360" w:lineRule="exact"/>
        <w:ind w:firstLine="426" w:firstLineChars="200"/>
        <w:rPr>
          <w:rFonts w:ascii="宋体" w:hAnsi="宋体" w:eastAsia="宋体" w:cs="宋体"/>
          <w:color w:val="auto"/>
          <w:sz w:val="21"/>
          <w:szCs w:val="21"/>
        </w:rPr>
      </w:pPr>
    </w:p>
    <w:p w14:paraId="2EF96248">
      <w:pPr>
        <w:tabs>
          <w:tab w:val="left" w:pos="5670"/>
        </w:tabs>
        <w:spacing w:after="190" w:afterLines="50" w:line="500" w:lineRule="exact"/>
        <w:jc w:val="center"/>
        <w:rPr>
          <w:rFonts w:cs="Times New Roman"/>
          <w:b/>
          <w:bCs/>
          <w:color w:val="auto"/>
          <w:sz w:val="30"/>
          <w:szCs w:val="30"/>
        </w:rPr>
      </w:pPr>
      <w:r>
        <w:rPr>
          <w:rFonts w:hint="eastAsia" w:cs="华文仿宋"/>
          <w:b/>
          <w:bCs/>
          <w:color w:val="auto"/>
          <w:sz w:val="30"/>
          <w:szCs w:val="30"/>
        </w:rPr>
        <w:br w:type="page"/>
      </w:r>
      <w:r>
        <w:rPr>
          <w:rFonts w:hint="eastAsia" w:cs="华文仿宋"/>
          <w:b/>
          <w:bCs/>
          <w:color w:val="auto"/>
          <w:sz w:val="30"/>
          <w:szCs w:val="30"/>
        </w:rPr>
        <w:t>监狱企业证明函</w:t>
      </w:r>
    </w:p>
    <w:p w14:paraId="03426823">
      <w:pPr>
        <w:spacing w:line="500" w:lineRule="exact"/>
        <w:ind w:firstLine="566" w:firstLineChars="200"/>
        <w:jc w:val="left"/>
        <w:rPr>
          <w:rFonts w:cs="Times New Roman"/>
          <w:color w:val="auto"/>
        </w:rPr>
      </w:pPr>
      <w:r>
        <w:rPr>
          <w:rFonts w:hint="eastAsia" w:cs="华文仿宋"/>
          <w:color w:val="auto"/>
        </w:rPr>
        <w:t>根据财政部、司法部《关于政府采购支持监狱企业发展有关问题的通知》（财库</w:t>
      </w:r>
      <w:r>
        <w:rPr>
          <w:rFonts w:hint="eastAsia" w:ascii="仿宋" w:hAnsi="仿宋" w:eastAsia="仿宋" w:cs="仿宋"/>
          <w:color w:val="auto"/>
        </w:rPr>
        <w:t>〔</w:t>
      </w:r>
      <w:r>
        <w:rPr>
          <w:rFonts w:ascii="仿宋" w:hAnsi="仿宋" w:eastAsia="仿宋" w:cs="仿宋"/>
          <w:color w:val="auto"/>
        </w:rPr>
        <w:t>2014</w:t>
      </w:r>
      <w:r>
        <w:rPr>
          <w:rFonts w:hint="eastAsia" w:ascii="仿宋" w:hAnsi="仿宋" w:eastAsia="仿宋" w:cs="仿宋"/>
          <w:color w:val="auto"/>
        </w:rPr>
        <w:t>〕</w:t>
      </w:r>
      <w:r>
        <w:rPr>
          <w:rFonts w:ascii="仿宋" w:hAnsi="仿宋" w:eastAsia="仿宋" w:cs="仿宋"/>
          <w:color w:val="auto"/>
        </w:rPr>
        <w:t>68</w:t>
      </w:r>
      <w:r>
        <w:rPr>
          <w:rFonts w:hint="eastAsia" w:cs="华文仿宋"/>
          <w:color w:val="auto"/>
        </w:rPr>
        <w:t>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A6D59C8">
      <w:pPr>
        <w:spacing w:line="500" w:lineRule="exact"/>
        <w:ind w:firstLine="566" w:firstLineChars="200"/>
        <w:jc w:val="left"/>
        <w:rPr>
          <w:rFonts w:hint="eastAsia" w:cs="华文仿宋"/>
          <w:color w:val="auto"/>
        </w:rPr>
      </w:pPr>
      <w:r>
        <w:rPr>
          <w:rFonts w:hint="eastAsia" w:cs="华文仿宋"/>
          <w:color w:val="auto"/>
        </w:rPr>
        <w:t>监狱企业参加政府采购活动时，应当提供由省级以上监狱管理局、戒毒管理局（含新疆生产建设兵团）出具的属于监狱企业的证明文件。</w:t>
      </w:r>
    </w:p>
    <w:p w14:paraId="791E5FB6">
      <w:pPr>
        <w:spacing w:line="500" w:lineRule="exact"/>
        <w:ind w:firstLine="566" w:firstLineChars="200"/>
        <w:jc w:val="center"/>
        <w:rPr>
          <w:rFonts w:cs="Times New Roman"/>
          <w:b/>
          <w:bCs/>
          <w:color w:val="auto"/>
          <w:sz w:val="30"/>
          <w:szCs w:val="30"/>
        </w:rPr>
      </w:pPr>
      <w:r>
        <w:rPr>
          <w:rFonts w:hint="eastAsia" w:cs="华文仿宋"/>
          <w:color w:val="auto"/>
        </w:rPr>
        <w:br w:type="page"/>
      </w:r>
      <w:r>
        <w:rPr>
          <w:rFonts w:hint="eastAsia" w:cs="华文仿宋"/>
          <w:b/>
          <w:bCs/>
          <w:color w:val="auto"/>
          <w:sz w:val="30"/>
          <w:szCs w:val="30"/>
        </w:rPr>
        <w:t>残疾人福利性单位声明函</w:t>
      </w:r>
      <w:r>
        <w:rPr>
          <w:rFonts w:hint="eastAsia"/>
          <w:b/>
          <w:color w:val="auto"/>
          <w:sz w:val="30"/>
          <w:szCs w:val="30"/>
        </w:rPr>
        <w:t>（格式）</w:t>
      </w:r>
    </w:p>
    <w:p w14:paraId="78005DF7">
      <w:pPr>
        <w:spacing w:line="500" w:lineRule="exact"/>
        <w:ind w:firstLine="566" w:firstLineChars="200"/>
        <w:jc w:val="left"/>
        <w:rPr>
          <w:rFonts w:cs="Times New Roman"/>
          <w:color w:val="auto"/>
        </w:rPr>
      </w:pPr>
      <w:r>
        <w:rPr>
          <w:rFonts w:hint="eastAsia" w:cs="华文仿宋"/>
          <w:color w:val="auto"/>
        </w:rPr>
        <w:t>本单位郑重声明，根据《财政部民政部中国残疾人联合会关于促进残疾人就业政府采购政策的通知》（财库</w:t>
      </w:r>
      <w:r>
        <w:rPr>
          <w:rFonts w:hint="eastAsia" w:ascii="仿宋" w:hAnsi="仿宋" w:eastAsia="仿宋" w:cs="仿宋"/>
          <w:color w:val="auto"/>
        </w:rPr>
        <w:t>〔</w:t>
      </w:r>
      <w:r>
        <w:rPr>
          <w:rFonts w:ascii="仿宋" w:hAnsi="仿宋" w:eastAsia="仿宋" w:cs="仿宋"/>
          <w:color w:val="auto"/>
        </w:rPr>
        <w:t>2017</w:t>
      </w:r>
      <w:r>
        <w:rPr>
          <w:rFonts w:hint="eastAsia" w:ascii="仿宋" w:hAnsi="仿宋" w:eastAsia="仿宋" w:cs="仿宋"/>
          <w:color w:val="auto"/>
        </w:rPr>
        <w:t>〕</w:t>
      </w:r>
      <w:r>
        <w:rPr>
          <w:rFonts w:ascii="仿宋" w:hAnsi="仿宋" w:eastAsia="仿宋" w:cs="仿宋"/>
          <w:color w:val="auto"/>
        </w:rPr>
        <w:t>141</w:t>
      </w:r>
      <w:r>
        <w:rPr>
          <w:rFonts w:hint="eastAsia" w:cs="华文仿宋"/>
          <w:color w:val="auto"/>
        </w:rPr>
        <w:t>号）的规定，本单位为符合条件的残疾人福利性单位，且本单位参加</w:t>
      </w:r>
      <w:r>
        <w:rPr>
          <w:rFonts w:hint="eastAsia" w:cs="华文仿宋"/>
          <w:color w:val="auto"/>
          <w:u w:val="single"/>
        </w:rPr>
        <w:t>项目名称</w:t>
      </w:r>
      <w:r>
        <w:rPr>
          <w:rFonts w:hint="eastAsia" w:cs="华文仿宋"/>
          <w:color w:val="auto"/>
        </w:rPr>
        <w:t>（项目编号：</w:t>
      </w:r>
      <w:r>
        <w:rPr>
          <w:rFonts w:hint="eastAsia" w:ascii="华文仿宋" w:hAnsi="华文仿宋" w:cs="华文仿宋"/>
          <w:color w:val="auto"/>
          <w:u w:val="single"/>
        </w:rPr>
        <w:t xml:space="preserve">    </w:t>
      </w:r>
      <w:r>
        <w:rPr>
          <w:rFonts w:hint="eastAsia" w:cs="华文仿宋"/>
          <w:color w:val="auto"/>
        </w:rPr>
        <w:t>）</w:t>
      </w:r>
      <w:r>
        <w:rPr>
          <w:rFonts w:hint="eastAsia" w:ascii="华文仿宋" w:hAnsi="华文仿宋" w:cs="华文仿宋"/>
          <w:color w:val="auto"/>
        </w:rPr>
        <w:t>第</w:t>
      </w:r>
      <w:r>
        <w:rPr>
          <w:rFonts w:hint="eastAsia" w:ascii="华文仿宋" w:hAnsi="华文仿宋" w:cs="华文仿宋"/>
          <w:color w:val="auto"/>
          <w:u w:val="single"/>
        </w:rPr>
        <w:t xml:space="preserve">    </w:t>
      </w:r>
      <w:r>
        <w:rPr>
          <w:rFonts w:hint="eastAsia" w:ascii="华文仿宋" w:hAnsi="华文仿宋" w:cs="华文仿宋"/>
          <w:color w:val="auto"/>
        </w:rPr>
        <w:t>标段</w:t>
      </w:r>
      <w:r>
        <w:rPr>
          <w:rFonts w:hint="eastAsia" w:cs="华文仿宋"/>
          <w:color w:val="auto"/>
        </w:rPr>
        <w:t>采购活动提供本单位制造的货物（由本单位承担工程</w:t>
      </w:r>
      <w:r>
        <w:rPr>
          <w:color w:val="auto"/>
        </w:rPr>
        <w:t>/</w:t>
      </w:r>
      <w:r>
        <w:rPr>
          <w:rFonts w:hint="eastAsia" w:cs="华文仿宋"/>
          <w:color w:val="auto"/>
        </w:rPr>
        <w:t>提供服务），或者提供其他残疾人福利性单位制造的货物（不包括使用非残疾人福利性单位注册商标的货物）。</w:t>
      </w:r>
    </w:p>
    <w:p w14:paraId="18BCC4F5">
      <w:pPr>
        <w:spacing w:line="500" w:lineRule="exact"/>
        <w:ind w:firstLine="566" w:firstLineChars="200"/>
        <w:jc w:val="left"/>
        <w:rPr>
          <w:rFonts w:cs="Times New Roman"/>
          <w:color w:val="auto"/>
        </w:rPr>
      </w:pPr>
      <w:r>
        <w:rPr>
          <w:rFonts w:hint="eastAsia" w:cs="华文仿宋"/>
          <w:color w:val="auto"/>
        </w:rPr>
        <w:t>本单位对上述声明的真实性负责。如有虚假，将依法承担相应责任。</w:t>
      </w:r>
    </w:p>
    <w:p w14:paraId="36A82453">
      <w:pPr>
        <w:spacing w:line="500" w:lineRule="exact"/>
        <w:ind w:firstLine="566" w:firstLineChars="200"/>
        <w:jc w:val="left"/>
        <w:rPr>
          <w:rFonts w:cs="Times New Roman"/>
          <w:color w:val="auto"/>
        </w:rPr>
      </w:pPr>
    </w:p>
    <w:p w14:paraId="62933B38">
      <w:pPr>
        <w:tabs>
          <w:tab w:val="left" w:pos="5670"/>
        </w:tabs>
        <w:spacing w:line="500" w:lineRule="exact"/>
        <w:ind w:firstLine="5094" w:firstLineChars="1800"/>
        <w:jc w:val="left"/>
        <w:rPr>
          <w:rFonts w:cs="Times New Roman"/>
          <w:color w:val="auto"/>
        </w:rPr>
      </w:pPr>
      <w:r>
        <w:rPr>
          <w:rFonts w:hint="eastAsia" w:ascii="华文仿宋" w:hAnsi="华文仿宋" w:cs="华文仿宋"/>
          <w:color w:val="auto"/>
        </w:rPr>
        <w:t>投标人</w:t>
      </w:r>
      <w:r>
        <w:rPr>
          <w:rFonts w:hint="eastAsia" w:cs="华文仿宋"/>
          <w:color w:val="auto"/>
        </w:rPr>
        <w:t>：</w:t>
      </w:r>
      <w:r>
        <w:rPr>
          <w:rFonts w:hint="eastAsia" w:cs="华文仿宋"/>
          <w:color w:val="auto"/>
          <w:u w:val="single"/>
        </w:rPr>
        <w:t>名称</w:t>
      </w:r>
      <w:r>
        <w:rPr>
          <w:rFonts w:hint="eastAsia" w:cs="华文仿宋"/>
          <w:color w:val="auto"/>
        </w:rPr>
        <w:t>（加盖公章）</w:t>
      </w:r>
    </w:p>
    <w:p w14:paraId="79D98C4F">
      <w:pPr>
        <w:tabs>
          <w:tab w:val="left" w:pos="5670"/>
        </w:tabs>
        <w:spacing w:line="500" w:lineRule="exact"/>
        <w:ind w:firstLine="5377" w:firstLineChars="1900"/>
        <w:jc w:val="left"/>
        <w:rPr>
          <w:rFonts w:cs="Times New Roman"/>
          <w:color w:val="auto"/>
        </w:rPr>
      </w:pPr>
      <w:r>
        <w:rPr>
          <w:rFonts w:hint="eastAsia" w:cs="华文仿宋"/>
          <w:color w:val="auto"/>
        </w:rPr>
        <w:t>日期：　　年　月　日</w:t>
      </w:r>
    </w:p>
    <w:p w14:paraId="2B912A80">
      <w:pPr>
        <w:tabs>
          <w:tab w:val="left" w:pos="5670"/>
        </w:tabs>
        <w:spacing w:line="240" w:lineRule="auto"/>
        <w:ind w:firstLine="566"/>
        <w:jc w:val="left"/>
        <w:rPr>
          <w:rFonts w:ascii="宋体" w:hAnsi="宋体" w:eastAsia="宋体" w:cs="宋体"/>
          <w:b/>
          <w:bCs/>
          <w:color w:val="auto"/>
          <w:sz w:val="21"/>
          <w:szCs w:val="21"/>
        </w:rPr>
      </w:pPr>
    </w:p>
    <w:p w14:paraId="39880D3B">
      <w:pPr>
        <w:tabs>
          <w:tab w:val="left" w:pos="5670"/>
        </w:tabs>
        <w:spacing w:line="240" w:lineRule="auto"/>
        <w:ind w:firstLine="566"/>
        <w:jc w:val="left"/>
        <w:rPr>
          <w:rFonts w:ascii="宋体" w:hAnsi="宋体" w:eastAsia="宋体" w:cs="宋体"/>
          <w:b/>
          <w:bCs/>
          <w:color w:val="auto"/>
          <w:sz w:val="21"/>
          <w:szCs w:val="21"/>
        </w:rPr>
      </w:pPr>
    </w:p>
    <w:p w14:paraId="2DDA0CD2">
      <w:pPr>
        <w:ind w:firstLine="426" w:firstLineChars="200"/>
        <w:rPr>
          <w:rFonts w:hint="default" w:ascii="宋体" w:hAnsi="宋体" w:eastAsia="宋体" w:cs="宋体"/>
          <w:color w:val="auto"/>
          <w:sz w:val="21"/>
          <w:szCs w:val="21"/>
          <w:lang w:val="en-US" w:eastAsia="zh-CN"/>
        </w:rPr>
      </w:pPr>
      <w:r>
        <w:rPr>
          <w:rFonts w:hint="eastAsia" w:ascii="宋体" w:hAnsi="宋体" w:eastAsia="宋体" w:cs="宋体"/>
          <w:b/>
          <w:bCs/>
          <w:color w:val="auto"/>
          <w:sz w:val="21"/>
          <w:szCs w:val="21"/>
        </w:rPr>
        <w:t>备注：</w:t>
      </w:r>
      <w:r>
        <w:rPr>
          <w:rFonts w:hint="eastAsia" w:ascii="宋体" w:hAnsi="宋体" w:eastAsia="宋体" w:cs="宋体"/>
          <w:b/>
          <w:bCs/>
          <w:color w:val="auto"/>
          <w:sz w:val="21"/>
          <w:szCs w:val="21"/>
          <w:lang w:val="en-US" w:eastAsia="zh-CN"/>
        </w:rPr>
        <w:t>非残疾人福利性单位不用填写此声明函。</w:t>
      </w:r>
    </w:p>
    <w:p w14:paraId="10DF7252">
      <w:pPr>
        <w:tabs>
          <w:tab w:val="left" w:pos="5670"/>
        </w:tabs>
        <w:spacing w:line="240" w:lineRule="auto"/>
        <w:ind w:firstLine="566"/>
        <w:jc w:val="left"/>
        <w:rPr>
          <w:rFonts w:ascii="宋体" w:hAnsi="宋体" w:eastAsia="宋体" w:cs="Times New Roman"/>
          <w:color w:val="auto"/>
          <w:sz w:val="21"/>
          <w:szCs w:val="21"/>
        </w:rPr>
      </w:pPr>
      <w:r>
        <w:rPr>
          <w:rFonts w:hint="eastAsia" w:ascii="宋体" w:hAnsi="宋体" w:eastAsia="宋体" w:cs="宋体"/>
          <w:color w:val="auto"/>
          <w:sz w:val="21"/>
          <w:szCs w:val="21"/>
        </w:rPr>
        <w:t>项目不分标段的，第</w:t>
      </w:r>
      <w:r>
        <w:rPr>
          <w:rFonts w:ascii="宋体" w:hAnsi="宋体" w:eastAsia="宋体" w:cs="宋体"/>
          <w:color w:val="auto"/>
          <w:sz w:val="21"/>
          <w:szCs w:val="21"/>
        </w:rPr>
        <w:t>___</w:t>
      </w:r>
      <w:r>
        <w:rPr>
          <w:rFonts w:hint="eastAsia" w:ascii="宋体" w:hAnsi="宋体" w:eastAsia="宋体" w:cs="宋体"/>
          <w:color w:val="auto"/>
          <w:sz w:val="21"/>
          <w:szCs w:val="21"/>
        </w:rPr>
        <w:t>标段空白处填写“</w:t>
      </w:r>
      <w:r>
        <w:rPr>
          <w:rFonts w:ascii="宋体" w:hAnsi="宋体" w:eastAsia="宋体" w:cs="宋体"/>
          <w:color w:val="auto"/>
          <w:sz w:val="21"/>
          <w:szCs w:val="21"/>
        </w:rPr>
        <w:t>/</w:t>
      </w:r>
      <w:r>
        <w:rPr>
          <w:rFonts w:hint="eastAsia" w:ascii="宋体" w:hAnsi="宋体" w:eastAsia="宋体" w:cs="宋体"/>
          <w:color w:val="auto"/>
          <w:sz w:val="21"/>
          <w:szCs w:val="21"/>
        </w:rPr>
        <w:t>”。</w:t>
      </w:r>
    </w:p>
    <w:p w14:paraId="6BADCE0D">
      <w:pPr>
        <w:tabs>
          <w:tab w:val="left" w:pos="5670"/>
        </w:tabs>
        <w:spacing w:line="240" w:lineRule="auto"/>
        <w:ind w:firstLine="566"/>
        <w:jc w:val="left"/>
        <w:rPr>
          <w:rFonts w:ascii="宋体" w:hAnsi="宋体" w:eastAsia="宋体" w:cs="Times New Roman"/>
          <w:color w:val="auto"/>
          <w:sz w:val="21"/>
          <w:szCs w:val="21"/>
        </w:rPr>
      </w:pPr>
      <w:r>
        <w:rPr>
          <w:rFonts w:hint="eastAsia" w:ascii="宋体" w:hAnsi="宋体" w:eastAsia="宋体" w:cs="宋体"/>
          <w:color w:val="auto"/>
          <w:sz w:val="21"/>
          <w:szCs w:val="21"/>
        </w:rPr>
        <w:t>根据《财政部民政部中国残疾人联合会关于促进残疾人就业政府采购政策的通知》（财库〔</w:t>
      </w:r>
      <w:r>
        <w:rPr>
          <w:rFonts w:ascii="宋体" w:hAnsi="宋体" w:eastAsia="宋体" w:cs="宋体"/>
          <w:color w:val="auto"/>
          <w:sz w:val="21"/>
          <w:szCs w:val="21"/>
        </w:rPr>
        <w:t>2017</w:t>
      </w:r>
      <w:r>
        <w:rPr>
          <w:rFonts w:hint="eastAsia" w:ascii="宋体" w:hAnsi="宋体" w:eastAsia="宋体" w:cs="宋体"/>
          <w:color w:val="auto"/>
          <w:sz w:val="21"/>
          <w:szCs w:val="21"/>
        </w:rPr>
        <w:t>〕</w:t>
      </w:r>
      <w:r>
        <w:rPr>
          <w:rFonts w:ascii="宋体" w:hAnsi="宋体" w:eastAsia="宋体" w:cs="宋体"/>
          <w:color w:val="auto"/>
          <w:sz w:val="21"/>
          <w:szCs w:val="21"/>
        </w:rPr>
        <w:t>141</w:t>
      </w:r>
      <w:r>
        <w:rPr>
          <w:rFonts w:hint="eastAsia" w:ascii="宋体" w:hAnsi="宋体" w:eastAsia="宋体" w:cs="宋体"/>
          <w:color w:val="auto"/>
          <w:sz w:val="21"/>
          <w:szCs w:val="21"/>
        </w:rPr>
        <w:t>号）的规定：</w:t>
      </w:r>
    </w:p>
    <w:p w14:paraId="52813AA1">
      <w:pPr>
        <w:tabs>
          <w:tab w:val="left" w:pos="5670"/>
        </w:tabs>
        <w:spacing w:line="240" w:lineRule="auto"/>
        <w:ind w:firstLine="566"/>
        <w:jc w:val="left"/>
        <w:rPr>
          <w:rFonts w:ascii="宋体" w:hAnsi="宋体" w:eastAsia="宋体" w:cs="Times New Roman"/>
          <w:color w:val="auto"/>
          <w:sz w:val="21"/>
          <w:szCs w:val="21"/>
        </w:rPr>
      </w:pPr>
      <w:r>
        <w:rPr>
          <w:rFonts w:hint="eastAsia" w:ascii="宋体" w:hAnsi="宋体" w:eastAsia="宋体" w:cs="宋体"/>
          <w:color w:val="auto"/>
          <w:sz w:val="21"/>
          <w:szCs w:val="21"/>
        </w:rPr>
        <w:t>一、享受政府采购支持政策的残疾人福利性单位应当同时满足以下条件：</w:t>
      </w:r>
    </w:p>
    <w:p w14:paraId="3EAED154">
      <w:pPr>
        <w:tabs>
          <w:tab w:val="left" w:pos="5670"/>
        </w:tabs>
        <w:spacing w:line="240" w:lineRule="auto"/>
        <w:ind w:firstLine="566"/>
        <w:jc w:val="left"/>
        <w:rPr>
          <w:rFonts w:ascii="宋体" w:hAnsi="宋体" w:eastAsia="宋体" w:cs="Times New Roman"/>
          <w:color w:val="auto"/>
          <w:sz w:val="21"/>
          <w:szCs w:val="21"/>
        </w:rPr>
      </w:pPr>
      <w:r>
        <w:rPr>
          <w:rFonts w:hint="eastAsia" w:ascii="宋体" w:hAnsi="宋体" w:eastAsia="宋体" w:cs="宋体"/>
          <w:color w:val="auto"/>
          <w:sz w:val="21"/>
          <w:szCs w:val="21"/>
        </w:rPr>
        <w:t>（一）安置的残疾人占本单位在职职工人数的比例不低于</w:t>
      </w:r>
      <w:r>
        <w:rPr>
          <w:rFonts w:ascii="宋体" w:hAnsi="宋体" w:eastAsia="宋体" w:cs="宋体"/>
          <w:color w:val="auto"/>
          <w:sz w:val="21"/>
          <w:szCs w:val="21"/>
        </w:rPr>
        <w:t>25%</w:t>
      </w:r>
      <w:r>
        <w:rPr>
          <w:rFonts w:hint="eastAsia" w:ascii="宋体" w:hAnsi="宋体" w:eastAsia="宋体" w:cs="宋体"/>
          <w:color w:val="auto"/>
          <w:sz w:val="21"/>
          <w:szCs w:val="21"/>
        </w:rPr>
        <w:t>（含</w:t>
      </w:r>
      <w:r>
        <w:rPr>
          <w:rFonts w:ascii="宋体" w:hAnsi="宋体" w:eastAsia="宋体" w:cs="宋体"/>
          <w:color w:val="auto"/>
          <w:sz w:val="21"/>
          <w:szCs w:val="21"/>
        </w:rPr>
        <w:t>25%</w:t>
      </w:r>
      <w:r>
        <w:rPr>
          <w:rFonts w:hint="eastAsia" w:ascii="宋体" w:hAnsi="宋体" w:eastAsia="宋体" w:cs="宋体"/>
          <w:color w:val="auto"/>
          <w:sz w:val="21"/>
          <w:szCs w:val="21"/>
        </w:rPr>
        <w:t>），并且安置的残疾人人数不少于</w:t>
      </w:r>
      <w:r>
        <w:rPr>
          <w:rFonts w:ascii="宋体" w:hAnsi="宋体" w:eastAsia="宋体" w:cs="宋体"/>
          <w:color w:val="auto"/>
          <w:sz w:val="21"/>
          <w:szCs w:val="21"/>
        </w:rPr>
        <w:t>10</w:t>
      </w:r>
      <w:r>
        <w:rPr>
          <w:rFonts w:hint="eastAsia" w:ascii="宋体" w:hAnsi="宋体" w:eastAsia="宋体" w:cs="宋体"/>
          <w:color w:val="auto"/>
          <w:sz w:val="21"/>
          <w:szCs w:val="21"/>
        </w:rPr>
        <w:t>人（含</w:t>
      </w:r>
      <w:r>
        <w:rPr>
          <w:rFonts w:ascii="宋体" w:hAnsi="宋体" w:eastAsia="宋体" w:cs="宋体"/>
          <w:color w:val="auto"/>
          <w:sz w:val="21"/>
          <w:szCs w:val="21"/>
        </w:rPr>
        <w:t>10</w:t>
      </w:r>
      <w:r>
        <w:rPr>
          <w:rFonts w:hint="eastAsia" w:ascii="宋体" w:hAnsi="宋体" w:eastAsia="宋体" w:cs="宋体"/>
          <w:color w:val="auto"/>
          <w:sz w:val="21"/>
          <w:szCs w:val="21"/>
        </w:rPr>
        <w:t>人）；</w:t>
      </w:r>
    </w:p>
    <w:p w14:paraId="0D1A5A79">
      <w:pPr>
        <w:tabs>
          <w:tab w:val="left" w:pos="5670"/>
        </w:tabs>
        <w:spacing w:line="240" w:lineRule="auto"/>
        <w:ind w:firstLine="566"/>
        <w:jc w:val="left"/>
        <w:rPr>
          <w:rFonts w:ascii="宋体" w:hAnsi="宋体" w:eastAsia="宋体" w:cs="Times New Roman"/>
          <w:color w:val="auto"/>
          <w:sz w:val="21"/>
          <w:szCs w:val="21"/>
        </w:rPr>
      </w:pPr>
      <w:r>
        <w:rPr>
          <w:rFonts w:hint="eastAsia" w:ascii="宋体" w:hAnsi="宋体" w:eastAsia="宋体" w:cs="宋体"/>
          <w:color w:val="auto"/>
          <w:sz w:val="21"/>
          <w:szCs w:val="21"/>
        </w:rPr>
        <w:t>（二）依法与安置的每位残疾人签订了一年以上（含一年）的劳动合同或服务协议；</w:t>
      </w:r>
    </w:p>
    <w:p w14:paraId="1ADAE0E5">
      <w:pPr>
        <w:tabs>
          <w:tab w:val="left" w:pos="5670"/>
        </w:tabs>
        <w:spacing w:line="240" w:lineRule="auto"/>
        <w:ind w:firstLine="566"/>
        <w:jc w:val="left"/>
        <w:rPr>
          <w:rFonts w:ascii="宋体" w:hAnsi="宋体" w:eastAsia="宋体" w:cs="Times New Roman"/>
          <w:color w:val="auto"/>
          <w:sz w:val="21"/>
          <w:szCs w:val="21"/>
        </w:rPr>
      </w:pPr>
      <w:r>
        <w:rPr>
          <w:rFonts w:hint="eastAsia" w:ascii="宋体" w:hAnsi="宋体" w:eastAsia="宋体" w:cs="宋体"/>
          <w:color w:val="auto"/>
          <w:sz w:val="21"/>
          <w:szCs w:val="21"/>
        </w:rPr>
        <w:t>（三）为安置的每位残疾人按月足额缴纳了基本养老保险、基本医疗保险、失业保险、工伤保险和生育保险等社会保险费；</w:t>
      </w:r>
    </w:p>
    <w:p w14:paraId="0C99FCEF">
      <w:pPr>
        <w:tabs>
          <w:tab w:val="left" w:pos="5670"/>
        </w:tabs>
        <w:spacing w:line="240" w:lineRule="auto"/>
        <w:ind w:firstLine="566"/>
        <w:jc w:val="left"/>
        <w:rPr>
          <w:rFonts w:ascii="宋体" w:hAnsi="宋体" w:eastAsia="宋体" w:cs="Times New Roman"/>
          <w:color w:val="auto"/>
          <w:sz w:val="21"/>
          <w:szCs w:val="21"/>
        </w:rPr>
      </w:pPr>
      <w:r>
        <w:rPr>
          <w:rFonts w:hint="eastAsia" w:ascii="宋体" w:hAnsi="宋体" w:eastAsia="宋体" w:cs="宋体"/>
          <w:color w:val="auto"/>
          <w:sz w:val="21"/>
          <w:szCs w:val="21"/>
        </w:rPr>
        <w:t>（四）通过银行等金融机构向安置的每位残疾人，按月支付了不低于单位所在区县适用的经省级人民政府批准的月最低工资标准的工资；</w:t>
      </w:r>
    </w:p>
    <w:p w14:paraId="3116491C">
      <w:pPr>
        <w:tabs>
          <w:tab w:val="left" w:pos="5670"/>
        </w:tabs>
        <w:spacing w:line="240" w:lineRule="auto"/>
        <w:ind w:firstLine="566"/>
        <w:jc w:val="left"/>
        <w:rPr>
          <w:rFonts w:ascii="宋体" w:hAnsi="宋体" w:eastAsia="宋体" w:cs="Times New Roman"/>
          <w:color w:val="auto"/>
          <w:sz w:val="21"/>
          <w:szCs w:val="21"/>
        </w:rPr>
      </w:pPr>
      <w:r>
        <w:rPr>
          <w:rFonts w:hint="eastAsia" w:ascii="宋体" w:hAnsi="宋体" w:eastAsia="宋体" w:cs="宋体"/>
          <w:color w:val="auto"/>
          <w:sz w:val="21"/>
          <w:szCs w:val="21"/>
        </w:rPr>
        <w:t>（五）提供本单位制造的货物、承担的工程或者服务（以下简称产品），或者提供其他残疾人福利性单位制造的货物（不包括使用非残疾人福利性单位注册商标的货物）。</w:t>
      </w:r>
    </w:p>
    <w:p w14:paraId="05A3E895">
      <w:pPr>
        <w:tabs>
          <w:tab w:val="left" w:pos="5670"/>
        </w:tabs>
        <w:spacing w:line="240" w:lineRule="auto"/>
        <w:ind w:firstLine="566"/>
        <w:jc w:val="left"/>
        <w:rPr>
          <w:rFonts w:ascii="宋体" w:hAnsi="宋体" w:eastAsia="宋体" w:cs="Times New Roman"/>
          <w:color w:val="auto"/>
          <w:sz w:val="21"/>
          <w:szCs w:val="21"/>
        </w:rPr>
      </w:pPr>
      <w:r>
        <w:rPr>
          <w:rFonts w:hint="eastAsia" w:ascii="宋体" w:hAnsi="宋体" w:eastAsia="宋体" w:cs="宋体"/>
          <w:color w:val="auto"/>
          <w:sz w:val="21"/>
          <w:szCs w:val="21"/>
        </w:rPr>
        <w:t>前款所称残疾人是指法定劳动年龄内，持有《中华人民共和国残疾人证》或者《中华人民共和国残疾军人证（</w:t>
      </w:r>
      <w:r>
        <w:rPr>
          <w:rFonts w:ascii="宋体" w:hAnsi="宋体" w:eastAsia="宋体" w:cs="宋体"/>
          <w:color w:val="auto"/>
          <w:sz w:val="21"/>
          <w:szCs w:val="21"/>
        </w:rPr>
        <w:t>1</w:t>
      </w:r>
      <w:r>
        <w:rPr>
          <w:rFonts w:hint="eastAsia" w:ascii="宋体" w:hAnsi="宋体" w:eastAsia="宋体" w:cs="宋体"/>
          <w:color w:val="auto"/>
          <w:sz w:val="21"/>
          <w:szCs w:val="21"/>
        </w:rPr>
        <w:t>至</w:t>
      </w:r>
      <w:r>
        <w:rPr>
          <w:rFonts w:ascii="宋体" w:hAnsi="宋体" w:eastAsia="宋体" w:cs="宋体"/>
          <w:color w:val="auto"/>
          <w:sz w:val="21"/>
          <w:szCs w:val="21"/>
        </w:rPr>
        <w:t>8</w:t>
      </w:r>
      <w:r>
        <w:rPr>
          <w:rFonts w:hint="eastAsia" w:ascii="宋体" w:hAnsi="宋体" w:eastAsia="宋体" w:cs="宋体"/>
          <w:color w:val="auto"/>
          <w:sz w:val="21"/>
          <w:szCs w:val="21"/>
        </w:rPr>
        <w:t>级）》的自然人，包括具有劳动条件和劳动意愿的精神残疾人。在职职工人数是指与残疾人福利性单位建立劳动关系并依法签订劳动合同或者服务协议的雇员人数。</w:t>
      </w:r>
    </w:p>
    <w:p w14:paraId="39DE4545">
      <w:pPr>
        <w:tabs>
          <w:tab w:val="left" w:pos="5670"/>
        </w:tabs>
        <w:spacing w:line="240" w:lineRule="auto"/>
        <w:ind w:firstLine="426" w:firstLineChars="200"/>
        <w:jc w:val="left"/>
        <w:rPr>
          <w:rFonts w:ascii="宋体" w:hAnsi="宋体" w:eastAsia="宋体" w:cs="Times New Roman"/>
          <w:color w:val="auto"/>
          <w:sz w:val="21"/>
          <w:szCs w:val="21"/>
        </w:rPr>
      </w:pPr>
      <w:r>
        <w:rPr>
          <w:rFonts w:hint="eastAsia" w:ascii="宋体" w:hAnsi="宋体" w:eastAsia="宋体" w:cs="宋体"/>
          <w:color w:val="auto"/>
          <w:sz w:val="21"/>
          <w:szCs w:val="21"/>
        </w:rPr>
        <w:t>二、中标、成交供应商为残疾人福利性单位的，采购人或者其委托的采购代理机构应当随中标、成交结果同时公告其《残疾人福利性单位声明函》，接受社会监督。</w:t>
      </w:r>
    </w:p>
    <w:p w14:paraId="23169CBA">
      <w:pPr>
        <w:spacing w:line="500" w:lineRule="exact"/>
        <w:ind w:firstLine="566" w:firstLineChars="200"/>
        <w:rPr>
          <w:rFonts w:cs="Times New Roman"/>
          <w:color w:val="auto"/>
        </w:rPr>
      </w:pPr>
      <w:r>
        <w:rPr>
          <w:rFonts w:hint="eastAsia" w:cs="Times New Roman"/>
          <w:color w:val="auto"/>
        </w:rPr>
        <w:br w:type="page"/>
      </w:r>
      <w:r>
        <w:rPr>
          <w:rFonts w:hint="eastAsia" w:cs="Times New Roman"/>
          <w:b/>
          <w:bCs/>
          <w:color w:val="auto"/>
        </w:rPr>
        <w:t>（二）投标人概况</w:t>
      </w:r>
    </w:p>
    <w:p w14:paraId="5FEA13FF">
      <w:pPr>
        <w:spacing w:line="500" w:lineRule="exact"/>
        <w:ind w:firstLine="566" w:firstLineChars="200"/>
        <w:rPr>
          <w:rFonts w:cs="华文仿宋"/>
          <w:color w:val="auto"/>
        </w:rPr>
      </w:pPr>
      <w:r>
        <w:rPr>
          <w:rFonts w:hint="eastAsia" w:cs="Times New Roman"/>
          <w:color w:val="auto"/>
        </w:rPr>
        <w:t>包括但不限于成立时间、经营范围、股权变更、总公司分公司分布及经营状况、管理制度、人员配备、用户评价、正在实施的项目、评优获奖情况、以及投标人认为有利于本次中标的其他情况等说明。</w:t>
      </w:r>
    </w:p>
    <w:p w14:paraId="62832B42">
      <w:pPr>
        <w:spacing w:line="500" w:lineRule="exact"/>
        <w:ind w:firstLine="566" w:firstLineChars="200"/>
        <w:jc w:val="left"/>
        <w:rPr>
          <w:rFonts w:cs="华文仿宋"/>
          <w:color w:val="auto"/>
        </w:rPr>
      </w:pPr>
    </w:p>
    <w:p w14:paraId="570889E1">
      <w:pPr>
        <w:spacing w:line="500" w:lineRule="exact"/>
        <w:rPr>
          <w:rFonts w:cs="Times New Roman"/>
          <w:b/>
          <w:bCs/>
          <w:color w:val="auto"/>
        </w:rPr>
      </w:pPr>
    </w:p>
    <w:p w14:paraId="6F3EB6FD">
      <w:pPr>
        <w:spacing w:line="500" w:lineRule="exact"/>
        <w:rPr>
          <w:rFonts w:cs="Times New Roman"/>
          <w:b/>
          <w:bCs/>
          <w:color w:val="auto"/>
        </w:rPr>
      </w:pPr>
    </w:p>
    <w:p w14:paraId="426D8860">
      <w:pPr>
        <w:spacing w:line="500" w:lineRule="exact"/>
        <w:rPr>
          <w:rFonts w:cs="Times New Roman"/>
          <w:b/>
          <w:bCs/>
          <w:color w:val="auto"/>
        </w:rPr>
      </w:pPr>
    </w:p>
    <w:p w14:paraId="0574001C">
      <w:pPr>
        <w:spacing w:line="500" w:lineRule="exact"/>
        <w:rPr>
          <w:rFonts w:cs="Times New Roman"/>
          <w:b/>
          <w:bCs/>
          <w:color w:val="auto"/>
        </w:rPr>
      </w:pPr>
    </w:p>
    <w:p w14:paraId="4703F814">
      <w:pPr>
        <w:spacing w:line="500" w:lineRule="exact"/>
        <w:rPr>
          <w:rFonts w:cs="Times New Roman"/>
          <w:b/>
          <w:bCs/>
          <w:color w:val="auto"/>
        </w:rPr>
      </w:pPr>
    </w:p>
    <w:p w14:paraId="727A2D74">
      <w:pPr>
        <w:spacing w:line="500" w:lineRule="exact"/>
        <w:rPr>
          <w:rFonts w:cs="Times New Roman"/>
          <w:b/>
          <w:bCs/>
          <w:color w:val="auto"/>
        </w:rPr>
      </w:pPr>
    </w:p>
    <w:p w14:paraId="1A5D41D1">
      <w:pPr>
        <w:spacing w:line="500" w:lineRule="exact"/>
        <w:rPr>
          <w:rFonts w:cs="Times New Roman"/>
          <w:b/>
          <w:bCs/>
          <w:color w:val="auto"/>
        </w:rPr>
      </w:pPr>
    </w:p>
    <w:p w14:paraId="0E07691E">
      <w:pPr>
        <w:spacing w:line="500" w:lineRule="exact"/>
        <w:rPr>
          <w:rFonts w:cs="Times New Roman"/>
          <w:b/>
          <w:bCs/>
          <w:color w:val="auto"/>
        </w:rPr>
      </w:pPr>
    </w:p>
    <w:p w14:paraId="25CBD522">
      <w:pPr>
        <w:spacing w:line="500" w:lineRule="exact"/>
        <w:rPr>
          <w:rFonts w:cs="Times New Roman"/>
          <w:b/>
          <w:bCs/>
          <w:color w:val="auto"/>
        </w:rPr>
      </w:pPr>
    </w:p>
    <w:p w14:paraId="6A262DB4">
      <w:pPr>
        <w:spacing w:line="500" w:lineRule="exact"/>
        <w:rPr>
          <w:rFonts w:cs="Times New Roman"/>
          <w:b/>
          <w:bCs/>
          <w:color w:val="auto"/>
        </w:rPr>
      </w:pPr>
    </w:p>
    <w:p w14:paraId="6D2EE9FA">
      <w:pPr>
        <w:spacing w:line="500" w:lineRule="exact"/>
        <w:jc w:val="center"/>
        <w:rPr>
          <w:rFonts w:cs="Times New Roman"/>
          <w:b/>
          <w:bCs/>
          <w:color w:val="auto"/>
        </w:rPr>
      </w:pPr>
    </w:p>
    <w:p w14:paraId="31593876">
      <w:pPr>
        <w:spacing w:line="500" w:lineRule="exact"/>
        <w:outlineLvl w:val="2"/>
        <w:rPr>
          <w:rFonts w:ascii="华文仿宋" w:cs="Times New Roman"/>
          <w:color w:val="auto"/>
        </w:rPr>
      </w:pPr>
      <w:bookmarkStart w:id="802" w:name="_Toc3411"/>
      <w:bookmarkEnd w:id="802"/>
      <w:bookmarkStart w:id="803" w:name="_Toc12342"/>
      <w:bookmarkEnd w:id="803"/>
      <w:bookmarkStart w:id="804" w:name="_Toc1568"/>
      <w:bookmarkEnd w:id="804"/>
      <w:bookmarkStart w:id="805" w:name="_Toc3010"/>
      <w:bookmarkEnd w:id="805"/>
      <w:bookmarkStart w:id="806" w:name="_Toc24226"/>
      <w:bookmarkEnd w:id="806"/>
      <w:bookmarkStart w:id="807" w:name="_Toc14867"/>
      <w:bookmarkEnd w:id="807"/>
      <w:bookmarkStart w:id="808" w:name="_Toc13262"/>
      <w:bookmarkEnd w:id="808"/>
      <w:bookmarkStart w:id="809" w:name="_Toc15509"/>
      <w:bookmarkEnd w:id="809"/>
      <w:bookmarkStart w:id="810" w:name="_Toc6405"/>
      <w:bookmarkEnd w:id="810"/>
      <w:bookmarkStart w:id="811" w:name="_Toc8096"/>
      <w:bookmarkEnd w:id="811"/>
      <w:bookmarkStart w:id="812" w:name="_Toc16462"/>
      <w:bookmarkEnd w:id="812"/>
      <w:bookmarkStart w:id="813" w:name="_Toc2826"/>
      <w:bookmarkEnd w:id="813"/>
      <w:bookmarkStart w:id="814" w:name="_Toc603"/>
      <w:bookmarkEnd w:id="814"/>
      <w:bookmarkStart w:id="815" w:name="_Toc26403"/>
      <w:bookmarkEnd w:id="815"/>
      <w:bookmarkStart w:id="816" w:name="_Toc9336"/>
      <w:bookmarkEnd w:id="816"/>
      <w:bookmarkStart w:id="817" w:name="_Toc17436"/>
      <w:bookmarkEnd w:id="817"/>
      <w:bookmarkStart w:id="818" w:name="_Toc4295"/>
      <w:bookmarkEnd w:id="818"/>
      <w:r>
        <w:rPr>
          <w:rFonts w:ascii="华文仿宋" w:cs="Times New Roman"/>
          <w:b/>
          <w:bCs/>
          <w:color w:val="auto"/>
          <w:sz w:val="32"/>
          <w:szCs w:val="32"/>
        </w:rPr>
        <w:br w:type="page"/>
      </w:r>
      <w:r>
        <w:rPr>
          <w:rFonts w:hint="eastAsia" w:ascii="华文仿宋" w:hAnsi="华文仿宋" w:cs="华文仿宋"/>
          <w:b/>
          <w:bCs/>
          <w:color w:val="auto"/>
          <w:sz w:val="32"/>
          <w:szCs w:val="32"/>
        </w:rPr>
        <w:t>二、投标方案</w:t>
      </w:r>
    </w:p>
    <w:p w14:paraId="6C925188">
      <w:pPr>
        <w:spacing w:line="500" w:lineRule="exact"/>
        <w:ind w:firstLine="566" w:firstLineChars="200"/>
        <w:rPr>
          <w:bCs/>
          <w:color w:val="auto"/>
        </w:rPr>
      </w:pPr>
      <w:r>
        <w:rPr>
          <w:rFonts w:hint="eastAsia" w:cs="华文仿宋"/>
          <w:color w:val="auto"/>
          <w:lang w:eastAsia="zh-CN"/>
        </w:rPr>
        <w:t>（</w:t>
      </w:r>
      <w:r>
        <w:rPr>
          <w:rFonts w:hint="eastAsia" w:cs="华文仿宋"/>
          <w:color w:val="auto"/>
          <w:lang w:val="en-US" w:eastAsia="zh-CN"/>
        </w:rPr>
        <w:t>一</w:t>
      </w:r>
      <w:r>
        <w:rPr>
          <w:rFonts w:hint="eastAsia" w:cs="华文仿宋"/>
          <w:color w:val="auto"/>
          <w:lang w:eastAsia="zh-CN"/>
        </w:rPr>
        <w:t>）</w:t>
      </w:r>
      <w:r>
        <w:rPr>
          <w:rFonts w:hint="eastAsia" w:cs="华文仿宋"/>
          <w:color w:val="auto"/>
        </w:rPr>
        <w:t>参照招标文件第二章第八项《组织评标》各条款的要求，</w:t>
      </w:r>
      <w:r>
        <w:rPr>
          <w:bCs/>
          <w:color w:val="auto"/>
        </w:rPr>
        <w:t>结合第</w:t>
      </w:r>
      <w:r>
        <w:rPr>
          <w:rFonts w:hint="eastAsia"/>
          <w:bCs/>
          <w:color w:val="auto"/>
        </w:rPr>
        <w:t>四</w:t>
      </w:r>
      <w:r>
        <w:rPr>
          <w:bCs/>
          <w:color w:val="auto"/>
        </w:rPr>
        <w:t>章</w:t>
      </w:r>
      <w:r>
        <w:rPr>
          <w:rFonts w:hint="eastAsia" w:ascii="华文仿宋" w:hAnsi="华文仿宋" w:cs="华文仿宋"/>
          <w:color w:val="auto"/>
          <w:lang w:eastAsia="zh-CN"/>
        </w:rPr>
        <w:t>《</w:t>
      </w:r>
      <w:r>
        <w:rPr>
          <w:rFonts w:hint="eastAsia" w:ascii="华文仿宋" w:hAnsi="华文仿宋" w:cs="华文仿宋"/>
          <w:color w:val="auto"/>
        </w:rPr>
        <w:t>招标内容及采购要</w:t>
      </w:r>
      <w:r>
        <w:rPr>
          <w:rFonts w:hint="eastAsia" w:ascii="华文仿宋" w:hAnsi="华文仿宋" w:cs="华文仿宋"/>
          <w:color w:val="auto"/>
          <w:lang w:val="en-US" w:eastAsia="zh-CN"/>
        </w:rPr>
        <w:t>求</w:t>
      </w:r>
      <w:r>
        <w:rPr>
          <w:rFonts w:hint="eastAsia" w:ascii="华文仿宋" w:hAnsi="华文仿宋" w:cs="华文仿宋"/>
          <w:color w:val="auto"/>
          <w:lang w:eastAsia="zh-CN"/>
        </w:rPr>
        <w:t>》</w:t>
      </w:r>
      <w:r>
        <w:rPr>
          <w:rFonts w:hint="eastAsia" w:ascii="华文仿宋" w:hAnsi="华文仿宋" w:cs="华文仿宋"/>
          <w:color w:val="auto"/>
          <w:lang w:val="en-US" w:eastAsia="zh-CN"/>
        </w:rPr>
        <w:t>编制投标方案</w:t>
      </w:r>
      <w:r>
        <w:rPr>
          <w:bCs/>
          <w:color w:val="auto"/>
        </w:rPr>
        <w:t>。</w:t>
      </w:r>
    </w:p>
    <w:p w14:paraId="0E133F50">
      <w:pPr>
        <w:widowControl w:val="0"/>
        <w:ind w:firstLine="426" w:firstLineChars="200"/>
        <w:rPr>
          <w:rFonts w:ascii="宋体" w:hAnsi="宋体" w:eastAsia="宋体" w:cs="宋体"/>
          <w:b/>
          <w:bCs/>
          <w:color w:val="auto"/>
          <w:sz w:val="21"/>
          <w:szCs w:val="21"/>
        </w:rPr>
      </w:pPr>
    </w:p>
    <w:p w14:paraId="413877B9">
      <w:pPr>
        <w:keepNext/>
        <w:keepLines/>
        <w:rPr>
          <w:color w:val="auto"/>
        </w:rPr>
      </w:pPr>
    </w:p>
    <w:p w14:paraId="34846CB1">
      <w:pPr>
        <w:spacing w:line="500" w:lineRule="exact"/>
        <w:ind w:firstLine="566" w:firstLineChars="200"/>
        <w:rPr>
          <w:rFonts w:hint="eastAsia" w:ascii="仿宋" w:hAnsi="仿宋" w:eastAsia="仿宋" w:cs="Calibri"/>
          <w:b/>
          <w:color w:val="auto"/>
        </w:rPr>
      </w:pPr>
    </w:p>
    <w:p w14:paraId="3AB48BBB">
      <w:pPr>
        <w:spacing w:line="500" w:lineRule="exact"/>
        <w:ind w:firstLine="566" w:firstLineChars="200"/>
        <w:rPr>
          <w:rFonts w:hint="eastAsia" w:ascii="仿宋" w:hAnsi="仿宋" w:eastAsia="仿宋" w:cs="Calibri"/>
          <w:b/>
          <w:color w:val="auto"/>
        </w:rPr>
      </w:pPr>
    </w:p>
    <w:p w14:paraId="1BD9005E">
      <w:pPr>
        <w:spacing w:line="500" w:lineRule="exact"/>
        <w:ind w:firstLine="566" w:firstLineChars="200"/>
        <w:rPr>
          <w:rFonts w:hint="eastAsia" w:ascii="仿宋" w:hAnsi="仿宋" w:eastAsia="仿宋" w:cs="Calibri"/>
          <w:b/>
          <w:color w:val="auto"/>
        </w:rPr>
      </w:pPr>
    </w:p>
    <w:p w14:paraId="5F3FD0FF">
      <w:pPr>
        <w:spacing w:line="500" w:lineRule="exact"/>
        <w:ind w:firstLine="566" w:firstLineChars="200"/>
        <w:rPr>
          <w:rFonts w:hint="eastAsia" w:ascii="仿宋" w:hAnsi="仿宋" w:eastAsia="仿宋" w:cs="Calibri"/>
          <w:b/>
          <w:color w:val="auto"/>
        </w:rPr>
      </w:pPr>
    </w:p>
    <w:p w14:paraId="35C9423E">
      <w:pPr>
        <w:spacing w:line="500" w:lineRule="exact"/>
        <w:ind w:firstLine="566" w:firstLineChars="200"/>
        <w:rPr>
          <w:rFonts w:hint="eastAsia" w:ascii="仿宋" w:hAnsi="仿宋" w:eastAsia="仿宋" w:cs="Calibri"/>
          <w:b/>
          <w:color w:val="auto"/>
        </w:rPr>
      </w:pPr>
    </w:p>
    <w:p w14:paraId="1AD5B61E">
      <w:pPr>
        <w:spacing w:line="500" w:lineRule="exact"/>
        <w:ind w:firstLine="566" w:firstLineChars="200"/>
        <w:rPr>
          <w:rFonts w:hint="eastAsia" w:ascii="仿宋" w:hAnsi="仿宋" w:eastAsia="仿宋" w:cs="Calibri"/>
          <w:b/>
          <w:color w:val="auto"/>
        </w:rPr>
      </w:pPr>
    </w:p>
    <w:p w14:paraId="5A56FFC2">
      <w:pPr>
        <w:spacing w:line="500" w:lineRule="exact"/>
        <w:ind w:firstLine="566" w:firstLineChars="200"/>
        <w:rPr>
          <w:rFonts w:hint="eastAsia" w:ascii="仿宋" w:hAnsi="仿宋" w:eastAsia="仿宋" w:cs="Calibri"/>
          <w:b/>
          <w:color w:val="auto"/>
        </w:rPr>
      </w:pPr>
    </w:p>
    <w:p w14:paraId="6BB3A247">
      <w:pPr>
        <w:spacing w:line="500" w:lineRule="exact"/>
        <w:ind w:firstLine="566" w:firstLineChars="200"/>
        <w:rPr>
          <w:rFonts w:hint="eastAsia" w:ascii="仿宋" w:hAnsi="仿宋" w:eastAsia="仿宋" w:cs="Calibri"/>
          <w:b/>
          <w:color w:val="auto"/>
        </w:rPr>
      </w:pPr>
    </w:p>
    <w:p w14:paraId="483A9090">
      <w:pPr>
        <w:spacing w:line="500" w:lineRule="exact"/>
        <w:ind w:firstLine="566" w:firstLineChars="200"/>
        <w:rPr>
          <w:rFonts w:hint="eastAsia" w:ascii="仿宋" w:hAnsi="仿宋" w:eastAsia="仿宋" w:cs="Calibri"/>
          <w:b/>
          <w:color w:val="auto"/>
        </w:rPr>
      </w:pPr>
    </w:p>
    <w:p w14:paraId="4581891C">
      <w:pPr>
        <w:spacing w:line="500" w:lineRule="exact"/>
        <w:ind w:firstLine="566" w:firstLineChars="200"/>
        <w:rPr>
          <w:rFonts w:hint="eastAsia" w:ascii="仿宋" w:hAnsi="仿宋" w:eastAsia="仿宋" w:cs="Calibri"/>
          <w:b/>
          <w:color w:val="auto"/>
        </w:rPr>
      </w:pPr>
    </w:p>
    <w:p w14:paraId="5B8763AE">
      <w:pPr>
        <w:spacing w:line="500" w:lineRule="exact"/>
        <w:ind w:firstLine="566" w:firstLineChars="200"/>
        <w:rPr>
          <w:rFonts w:hint="eastAsia" w:ascii="仿宋" w:hAnsi="仿宋" w:eastAsia="仿宋" w:cs="Calibri"/>
          <w:b/>
          <w:color w:val="auto"/>
        </w:rPr>
      </w:pPr>
    </w:p>
    <w:p w14:paraId="5E61C844">
      <w:pPr>
        <w:spacing w:line="500" w:lineRule="exact"/>
        <w:ind w:firstLine="566" w:firstLineChars="200"/>
        <w:rPr>
          <w:rFonts w:hint="eastAsia" w:ascii="仿宋" w:hAnsi="仿宋" w:eastAsia="仿宋" w:cs="Calibri"/>
          <w:b/>
          <w:color w:val="auto"/>
        </w:rPr>
      </w:pPr>
    </w:p>
    <w:p w14:paraId="03A1C13F">
      <w:pPr>
        <w:spacing w:line="500" w:lineRule="exact"/>
        <w:ind w:firstLine="566" w:firstLineChars="200"/>
        <w:rPr>
          <w:rFonts w:hint="eastAsia" w:ascii="仿宋" w:hAnsi="仿宋" w:eastAsia="仿宋" w:cs="Calibri"/>
          <w:b/>
          <w:color w:val="auto"/>
        </w:rPr>
      </w:pPr>
    </w:p>
    <w:p w14:paraId="687ED26D">
      <w:pPr>
        <w:spacing w:line="500" w:lineRule="exact"/>
        <w:ind w:firstLine="566" w:firstLineChars="200"/>
        <w:rPr>
          <w:rFonts w:hint="eastAsia" w:ascii="仿宋" w:hAnsi="仿宋" w:eastAsia="仿宋" w:cs="Calibri"/>
          <w:b/>
          <w:color w:val="auto"/>
        </w:rPr>
      </w:pPr>
    </w:p>
    <w:p w14:paraId="0376628D">
      <w:pPr>
        <w:spacing w:line="500" w:lineRule="exact"/>
        <w:ind w:firstLine="566" w:firstLineChars="200"/>
        <w:rPr>
          <w:rFonts w:hint="eastAsia" w:ascii="仿宋" w:hAnsi="仿宋" w:eastAsia="仿宋" w:cs="Calibri"/>
          <w:b/>
          <w:color w:val="auto"/>
        </w:rPr>
      </w:pPr>
    </w:p>
    <w:p w14:paraId="05AAF4D5">
      <w:pPr>
        <w:spacing w:line="500" w:lineRule="exact"/>
        <w:ind w:firstLine="566" w:firstLineChars="200"/>
        <w:rPr>
          <w:rFonts w:ascii="仿宋" w:hAnsi="仿宋" w:eastAsia="仿宋" w:cs="Calibri"/>
          <w:b/>
          <w:color w:val="auto"/>
        </w:rPr>
      </w:pPr>
      <w:r>
        <w:rPr>
          <w:rFonts w:hint="eastAsia" w:ascii="仿宋" w:hAnsi="仿宋" w:eastAsia="仿宋" w:cs="Calibri"/>
          <w:b/>
          <w:color w:val="auto"/>
        </w:rPr>
        <w:t>（二）其他材料</w:t>
      </w:r>
    </w:p>
    <w:p w14:paraId="091A4969">
      <w:pPr>
        <w:spacing w:line="500" w:lineRule="exact"/>
        <w:ind w:firstLine="566" w:firstLineChars="200"/>
        <w:rPr>
          <w:rFonts w:ascii="华文仿宋" w:hAnsi="华文仿宋" w:cs="华文仿宋"/>
          <w:color w:val="auto"/>
        </w:rPr>
      </w:pPr>
      <w:r>
        <w:rPr>
          <w:rFonts w:hint="eastAsia" w:ascii="华文仿宋" w:hAnsi="华文仿宋" w:cs="华文仿宋"/>
          <w:color w:val="auto"/>
        </w:rPr>
        <w:t>根据招标文件要求，若第三章《评审要素及分值一览表》中内容须附相关证明材料，则投标人应将相关证明材料附至此处，如未按要求提供相关证明材料，将影响评分。</w:t>
      </w:r>
    </w:p>
    <w:p w14:paraId="3D7C7E6A">
      <w:pPr>
        <w:rPr>
          <w:rFonts w:ascii="华文仿宋" w:hAnsi="华文仿宋" w:cs="华文仿宋"/>
          <w:b/>
          <w:bCs/>
          <w:color w:val="auto"/>
          <w:sz w:val="32"/>
          <w:szCs w:val="32"/>
        </w:rPr>
      </w:pPr>
    </w:p>
    <w:p w14:paraId="0A984E65">
      <w:pPr>
        <w:rPr>
          <w:rFonts w:ascii="华文仿宋" w:hAnsi="华文仿宋" w:cs="华文仿宋"/>
          <w:b/>
          <w:bCs/>
          <w:color w:val="auto"/>
          <w:sz w:val="32"/>
          <w:szCs w:val="32"/>
        </w:rPr>
      </w:pPr>
    </w:p>
    <w:p w14:paraId="03BE7665">
      <w:pPr>
        <w:outlineLvl w:val="2"/>
        <w:rPr>
          <w:rFonts w:ascii="华文仿宋" w:cs="Times New Roman"/>
          <w:b/>
          <w:bCs/>
          <w:color w:val="auto"/>
          <w:sz w:val="32"/>
          <w:szCs w:val="32"/>
        </w:rPr>
      </w:pPr>
      <w:bookmarkStart w:id="819" w:name="_Toc11196"/>
      <w:bookmarkEnd w:id="819"/>
      <w:bookmarkStart w:id="820" w:name="_Toc20792"/>
      <w:bookmarkEnd w:id="820"/>
      <w:bookmarkStart w:id="821" w:name="_Toc12931"/>
      <w:bookmarkEnd w:id="821"/>
      <w:r>
        <w:rPr>
          <w:rFonts w:hint="eastAsia" w:ascii="华文仿宋" w:hAnsi="华文仿宋" w:cs="华文仿宋"/>
          <w:b/>
          <w:bCs/>
          <w:color w:val="auto"/>
          <w:sz w:val="32"/>
          <w:szCs w:val="32"/>
        </w:rPr>
        <w:br w:type="page"/>
      </w:r>
      <w:r>
        <w:rPr>
          <w:rFonts w:hint="eastAsia" w:ascii="华文仿宋" w:hAnsi="华文仿宋" w:cs="华文仿宋"/>
          <w:b/>
          <w:bCs/>
          <w:color w:val="auto"/>
          <w:sz w:val="32"/>
          <w:szCs w:val="32"/>
        </w:rPr>
        <w:t>三、参考样表</w:t>
      </w:r>
    </w:p>
    <w:p w14:paraId="368A64D3">
      <w:pPr>
        <w:spacing w:line="500" w:lineRule="exact"/>
        <w:ind w:firstLine="566" w:firstLineChars="200"/>
        <w:rPr>
          <w:rFonts w:ascii="华文仿宋" w:cs="Times New Roman"/>
          <w:b/>
          <w:bCs/>
          <w:color w:val="auto"/>
        </w:rPr>
      </w:pPr>
      <w:r>
        <w:rPr>
          <w:rFonts w:hint="eastAsia" w:ascii="华文仿宋" w:hAnsi="华文仿宋" w:cs="华文仿宋"/>
          <w:b/>
          <w:bCs/>
          <w:color w:val="auto"/>
        </w:rPr>
        <w:t>（一）业绩合同样表（仅供参考）</w:t>
      </w:r>
    </w:p>
    <w:tbl>
      <w:tblPr>
        <w:tblStyle w:val="29"/>
        <w:tblW w:w="87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1"/>
        <w:gridCol w:w="1736"/>
        <w:gridCol w:w="1701"/>
        <w:gridCol w:w="2557"/>
        <w:gridCol w:w="1984"/>
      </w:tblGrid>
      <w:tr w14:paraId="2FC7E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811" w:type="dxa"/>
            <w:noWrap w:val="0"/>
            <w:vAlign w:val="center"/>
          </w:tcPr>
          <w:p w14:paraId="34995440">
            <w:pPr>
              <w:widowControl w:val="0"/>
              <w:adjustRightInd w:val="0"/>
              <w:snapToGrid w:val="0"/>
              <w:spacing w:line="440" w:lineRule="exact"/>
              <w:jc w:val="center"/>
              <w:rPr>
                <w:rFonts w:ascii="宋体" w:cs="Times New Roman"/>
                <w:b/>
                <w:bCs/>
                <w:color w:val="auto"/>
                <w:sz w:val="24"/>
                <w:szCs w:val="24"/>
              </w:rPr>
            </w:pPr>
            <w:r>
              <w:rPr>
                <w:rFonts w:hint="eastAsia" w:ascii="宋体" w:cs="华文仿宋"/>
                <w:b/>
                <w:bCs/>
                <w:color w:val="auto"/>
                <w:sz w:val="24"/>
                <w:szCs w:val="24"/>
              </w:rPr>
              <w:t>序号</w:t>
            </w:r>
          </w:p>
        </w:tc>
        <w:tc>
          <w:tcPr>
            <w:tcW w:w="1736" w:type="dxa"/>
            <w:noWrap w:val="0"/>
            <w:vAlign w:val="center"/>
          </w:tcPr>
          <w:p w14:paraId="3A87AA44">
            <w:pPr>
              <w:jc w:val="center"/>
              <w:rPr>
                <w:rFonts w:ascii="仿宋" w:hAnsi="仿宋" w:eastAsia="仿宋" w:cs="Times New Roman"/>
                <w:b/>
                <w:bCs/>
                <w:color w:val="auto"/>
                <w:sz w:val="24"/>
                <w:szCs w:val="24"/>
              </w:rPr>
            </w:pPr>
            <w:r>
              <w:rPr>
                <w:rFonts w:hint="eastAsia" w:ascii="仿宋" w:hAnsi="仿宋" w:eastAsia="仿宋" w:cs="仿宋"/>
                <w:b/>
                <w:bCs/>
                <w:color w:val="auto"/>
                <w:sz w:val="24"/>
                <w:szCs w:val="24"/>
              </w:rPr>
              <w:t>采购单位名称</w:t>
            </w:r>
          </w:p>
        </w:tc>
        <w:tc>
          <w:tcPr>
            <w:tcW w:w="1701" w:type="dxa"/>
            <w:noWrap w:val="0"/>
            <w:vAlign w:val="center"/>
          </w:tcPr>
          <w:p w14:paraId="76BE2A61">
            <w:pPr>
              <w:jc w:val="center"/>
              <w:rPr>
                <w:rFonts w:ascii="仿宋" w:hAnsi="仿宋" w:eastAsia="仿宋" w:cs="Times New Roman"/>
                <w:b/>
                <w:bCs/>
                <w:color w:val="auto"/>
                <w:sz w:val="24"/>
                <w:szCs w:val="24"/>
              </w:rPr>
            </w:pPr>
            <w:r>
              <w:rPr>
                <w:rFonts w:hint="eastAsia" w:ascii="仿宋" w:hAnsi="仿宋" w:eastAsia="仿宋" w:cs="仿宋"/>
                <w:b/>
                <w:bCs/>
                <w:color w:val="auto"/>
                <w:sz w:val="24"/>
                <w:szCs w:val="24"/>
              </w:rPr>
              <w:t>合同名称</w:t>
            </w:r>
          </w:p>
        </w:tc>
        <w:tc>
          <w:tcPr>
            <w:tcW w:w="2557" w:type="dxa"/>
            <w:noWrap w:val="0"/>
            <w:vAlign w:val="center"/>
          </w:tcPr>
          <w:p w14:paraId="64F48327">
            <w:pPr>
              <w:jc w:val="center"/>
              <w:rPr>
                <w:rFonts w:ascii="仿宋" w:hAnsi="仿宋" w:eastAsia="仿宋" w:cs="Times New Roman"/>
                <w:b/>
                <w:bCs/>
                <w:color w:val="auto"/>
                <w:sz w:val="24"/>
                <w:szCs w:val="24"/>
              </w:rPr>
            </w:pPr>
            <w:r>
              <w:rPr>
                <w:rFonts w:hint="eastAsia" w:ascii="仿宋" w:hAnsi="仿宋" w:eastAsia="仿宋" w:cs="仿宋"/>
                <w:b/>
                <w:bCs/>
                <w:color w:val="auto"/>
                <w:sz w:val="24"/>
                <w:szCs w:val="24"/>
              </w:rPr>
              <w:t>合同起止时间</w:t>
            </w:r>
          </w:p>
        </w:tc>
        <w:tc>
          <w:tcPr>
            <w:tcW w:w="1984" w:type="dxa"/>
            <w:noWrap w:val="0"/>
            <w:vAlign w:val="center"/>
          </w:tcPr>
          <w:p w14:paraId="3862858E">
            <w:pPr>
              <w:jc w:val="center"/>
              <w:rPr>
                <w:rFonts w:ascii="仿宋" w:hAnsi="仿宋" w:eastAsia="仿宋" w:cs="Times New Roman"/>
                <w:b/>
                <w:bCs/>
                <w:color w:val="auto"/>
                <w:sz w:val="24"/>
                <w:szCs w:val="24"/>
              </w:rPr>
            </w:pPr>
            <w:r>
              <w:rPr>
                <w:rFonts w:hint="eastAsia" w:ascii="仿宋" w:hAnsi="仿宋" w:eastAsia="仿宋" w:cs="仿宋"/>
                <w:b/>
                <w:bCs/>
                <w:color w:val="auto"/>
                <w:sz w:val="24"/>
                <w:szCs w:val="24"/>
              </w:rPr>
              <w:t>合同金额（万元）</w:t>
            </w:r>
          </w:p>
        </w:tc>
      </w:tr>
      <w:tr w14:paraId="6A32B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811" w:type="dxa"/>
            <w:noWrap w:val="0"/>
            <w:vAlign w:val="center"/>
          </w:tcPr>
          <w:p w14:paraId="40A7FE9F">
            <w:pPr>
              <w:widowControl w:val="0"/>
              <w:spacing w:line="440" w:lineRule="exact"/>
              <w:jc w:val="center"/>
              <w:rPr>
                <w:rFonts w:ascii="宋体" w:eastAsia="宋体" w:cs="Times New Roman"/>
                <w:color w:val="auto"/>
                <w:sz w:val="24"/>
                <w:szCs w:val="24"/>
              </w:rPr>
            </w:pPr>
          </w:p>
        </w:tc>
        <w:tc>
          <w:tcPr>
            <w:tcW w:w="1736" w:type="dxa"/>
            <w:noWrap w:val="0"/>
            <w:vAlign w:val="center"/>
          </w:tcPr>
          <w:p w14:paraId="69ED1A56">
            <w:pPr>
              <w:widowControl w:val="0"/>
              <w:spacing w:line="440" w:lineRule="exact"/>
              <w:jc w:val="center"/>
              <w:rPr>
                <w:rFonts w:ascii="宋体" w:eastAsia="宋体" w:cs="Times New Roman"/>
                <w:color w:val="auto"/>
                <w:sz w:val="24"/>
                <w:szCs w:val="24"/>
              </w:rPr>
            </w:pPr>
          </w:p>
        </w:tc>
        <w:tc>
          <w:tcPr>
            <w:tcW w:w="1701" w:type="dxa"/>
            <w:noWrap w:val="0"/>
            <w:vAlign w:val="center"/>
          </w:tcPr>
          <w:p w14:paraId="77564D0F">
            <w:pPr>
              <w:widowControl w:val="0"/>
              <w:spacing w:line="440" w:lineRule="exact"/>
              <w:jc w:val="center"/>
              <w:rPr>
                <w:rFonts w:ascii="宋体" w:eastAsia="宋体" w:cs="Times New Roman"/>
                <w:color w:val="auto"/>
                <w:sz w:val="24"/>
                <w:szCs w:val="24"/>
              </w:rPr>
            </w:pPr>
          </w:p>
        </w:tc>
        <w:tc>
          <w:tcPr>
            <w:tcW w:w="2557" w:type="dxa"/>
            <w:noWrap w:val="0"/>
            <w:vAlign w:val="center"/>
          </w:tcPr>
          <w:p w14:paraId="69624E72">
            <w:pPr>
              <w:widowControl w:val="0"/>
              <w:spacing w:line="440" w:lineRule="exact"/>
              <w:jc w:val="center"/>
              <w:rPr>
                <w:rFonts w:ascii="宋体" w:eastAsia="宋体" w:cs="Times New Roman"/>
                <w:color w:val="auto"/>
                <w:sz w:val="24"/>
                <w:szCs w:val="24"/>
              </w:rPr>
            </w:pPr>
          </w:p>
        </w:tc>
        <w:tc>
          <w:tcPr>
            <w:tcW w:w="1984" w:type="dxa"/>
            <w:noWrap w:val="0"/>
            <w:vAlign w:val="center"/>
          </w:tcPr>
          <w:p w14:paraId="66C48C21">
            <w:pPr>
              <w:widowControl w:val="0"/>
              <w:spacing w:line="440" w:lineRule="exact"/>
              <w:jc w:val="center"/>
              <w:rPr>
                <w:rFonts w:ascii="宋体" w:eastAsia="宋体" w:cs="Times New Roman"/>
                <w:color w:val="auto"/>
                <w:sz w:val="24"/>
                <w:szCs w:val="24"/>
              </w:rPr>
            </w:pPr>
          </w:p>
        </w:tc>
      </w:tr>
      <w:tr w14:paraId="73160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811" w:type="dxa"/>
            <w:noWrap w:val="0"/>
            <w:vAlign w:val="center"/>
          </w:tcPr>
          <w:p w14:paraId="0D2D745A">
            <w:pPr>
              <w:widowControl w:val="0"/>
              <w:spacing w:line="440" w:lineRule="exact"/>
              <w:jc w:val="center"/>
              <w:rPr>
                <w:rFonts w:ascii="宋体" w:eastAsia="宋体" w:cs="Times New Roman"/>
                <w:color w:val="auto"/>
                <w:sz w:val="24"/>
                <w:szCs w:val="24"/>
              </w:rPr>
            </w:pPr>
            <w:r>
              <w:rPr>
                <w:rFonts w:hint="eastAsia" w:ascii="宋体" w:eastAsia="宋体" w:cs="宋体"/>
                <w:color w:val="auto"/>
                <w:sz w:val="24"/>
                <w:szCs w:val="24"/>
              </w:rPr>
              <w:t>……</w:t>
            </w:r>
          </w:p>
        </w:tc>
        <w:tc>
          <w:tcPr>
            <w:tcW w:w="1736" w:type="dxa"/>
            <w:noWrap w:val="0"/>
            <w:vAlign w:val="center"/>
          </w:tcPr>
          <w:p w14:paraId="311CEA14">
            <w:pPr>
              <w:widowControl w:val="0"/>
              <w:spacing w:line="440" w:lineRule="exact"/>
              <w:jc w:val="center"/>
              <w:rPr>
                <w:rFonts w:ascii="宋体" w:eastAsia="宋体" w:cs="Times New Roman"/>
                <w:color w:val="auto"/>
                <w:sz w:val="24"/>
                <w:szCs w:val="24"/>
              </w:rPr>
            </w:pPr>
          </w:p>
        </w:tc>
        <w:tc>
          <w:tcPr>
            <w:tcW w:w="1701" w:type="dxa"/>
            <w:noWrap w:val="0"/>
            <w:vAlign w:val="center"/>
          </w:tcPr>
          <w:p w14:paraId="2FCB578C">
            <w:pPr>
              <w:widowControl w:val="0"/>
              <w:spacing w:line="440" w:lineRule="exact"/>
              <w:jc w:val="center"/>
              <w:rPr>
                <w:rFonts w:ascii="宋体" w:eastAsia="宋体" w:cs="Times New Roman"/>
                <w:color w:val="auto"/>
                <w:sz w:val="24"/>
                <w:szCs w:val="24"/>
              </w:rPr>
            </w:pPr>
          </w:p>
        </w:tc>
        <w:tc>
          <w:tcPr>
            <w:tcW w:w="2557" w:type="dxa"/>
            <w:noWrap w:val="0"/>
            <w:vAlign w:val="center"/>
          </w:tcPr>
          <w:p w14:paraId="6EF9E51A">
            <w:pPr>
              <w:widowControl w:val="0"/>
              <w:spacing w:line="440" w:lineRule="exact"/>
              <w:jc w:val="center"/>
              <w:rPr>
                <w:rFonts w:ascii="宋体" w:eastAsia="宋体" w:cs="Times New Roman"/>
                <w:color w:val="auto"/>
                <w:sz w:val="24"/>
                <w:szCs w:val="24"/>
              </w:rPr>
            </w:pPr>
          </w:p>
        </w:tc>
        <w:tc>
          <w:tcPr>
            <w:tcW w:w="1984" w:type="dxa"/>
            <w:noWrap w:val="0"/>
            <w:vAlign w:val="center"/>
          </w:tcPr>
          <w:p w14:paraId="4B20D2F9">
            <w:pPr>
              <w:widowControl w:val="0"/>
              <w:spacing w:line="440" w:lineRule="exact"/>
              <w:jc w:val="center"/>
              <w:rPr>
                <w:rFonts w:ascii="宋体" w:eastAsia="宋体" w:cs="Times New Roman"/>
                <w:color w:val="auto"/>
                <w:sz w:val="24"/>
                <w:szCs w:val="24"/>
              </w:rPr>
            </w:pPr>
          </w:p>
        </w:tc>
      </w:tr>
      <w:tr w14:paraId="63024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8789" w:type="dxa"/>
            <w:gridSpan w:val="5"/>
            <w:noWrap w:val="0"/>
            <w:vAlign w:val="center"/>
          </w:tcPr>
          <w:p w14:paraId="0B55BCB8">
            <w:pPr>
              <w:widowControl w:val="0"/>
              <w:spacing w:line="440" w:lineRule="exact"/>
              <w:jc w:val="left"/>
              <w:rPr>
                <w:rFonts w:ascii="宋体" w:eastAsia="宋体" w:cs="Times New Roman"/>
                <w:color w:val="auto"/>
                <w:sz w:val="24"/>
                <w:szCs w:val="24"/>
              </w:rPr>
            </w:pPr>
            <w:r>
              <w:rPr>
                <w:rFonts w:hint="eastAsia" w:ascii="仿宋" w:hAnsi="仿宋" w:eastAsia="仿宋" w:cs="仿宋"/>
                <w:b/>
                <w:bCs/>
                <w:color w:val="auto"/>
                <w:sz w:val="24"/>
                <w:szCs w:val="24"/>
              </w:rPr>
              <w:t>数量合计（个）</w:t>
            </w:r>
            <w:r>
              <w:rPr>
                <w:rFonts w:hint="eastAsia" w:ascii="宋体" w:hAnsi="宋体" w:cs="华文仿宋"/>
                <w:color w:val="auto"/>
                <w:sz w:val="24"/>
                <w:szCs w:val="24"/>
              </w:rPr>
              <w:t>：</w:t>
            </w:r>
          </w:p>
        </w:tc>
      </w:tr>
    </w:tbl>
    <w:p w14:paraId="647E2C55">
      <w:pPr>
        <w:tabs>
          <w:tab w:val="right" w:pos="9070"/>
        </w:tabs>
        <w:snapToGrid w:val="0"/>
        <w:spacing w:line="240" w:lineRule="auto"/>
        <w:rPr>
          <w:rFonts w:ascii="华文仿宋" w:cs="Times New Roman"/>
          <w:b/>
          <w:bCs/>
          <w:color w:val="auto"/>
        </w:rPr>
      </w:pPr>
      <w:r>
        <w:rPr>
          <w:rFonts w:hint="eastAsia" w:cs="华文仿宋"/>
          <w:color w:val="auto"/>
          <w:sz w:val="24"/>
          <w:szCs w:val="24"/>
        </w:rPr>
        <w:t>注：</w:t>
      </w:r>
      <w:r>
        <w:rPr>
          <w:rFonts w:hint="eastAsia" w:ascii="仿宋" w:hAnsi="仿宋" w:eastAsia="仿宋" w:cs="仿宋"/>
          <w:color w:val="auto"/>
          <w:sz w:val="24"/>
          <w:szCs w:val="24"/>
        </w:rPr>
        <w:t>投标人须提供</w:t>
      </w:r>
      <w:r>
        <w:rPr>
          <w:rFonts w:hint="eastAsia" w:ascii="仿宋" w:hAnsi="仿宋" w:eastAsia="仿宋" w:cs="仿宋"/>
          <w:color w:val="auto"/>
          <w:sz w:val="24"/>
          <w:szCs w:val="24"/>
          <w:shd w:val="clear"/>
        </w:rPr>
        <w:t>20</w:t>
      </w:r>
      <w:r>
        <w:rPr>
          <w:rFonts w:hint="eastAsia" w:ascii="仿宋" w:hAnsi="仿宋" w:eastAsia="仿宋" w:cs="仿宋"/>
          <w:color w:val="auto"/>
          <w:sz w:val="24"/>
          <w:szCs w:val="24"/>
          <w:shd w:val="clear"/>
          <w:lang w:val="en-US" w:eastAsia="zh-CN"/>
        </w:rPr>
        <w:t>23</w:t>
      </w:r>
      <w:r>
        <w:rPr>
          <w:rFonts w:hint="eastAsia" w:ascii="仿宋" w:hAnsi="仿宋" w:eastAsia="仿宋" w:cs="仿宋"/>
          <w:color w:val="auto"/>
          <w:sz w:val="24"/>
          <w:szCs w:val="24"/>
          <w:shd w:val="clear"/>
        </w:rPr>
        <w:t>年1月1日以来</w:t>
      </w:r>
      <w:r>
        <w:rPr>
          <w:rFonts w:hint="eastAsia" w:ascii="仿宋" w:hAnsi="仿宋" w:eastAsia="仿宋" w:cs="仿宋"/>
          <w:color w:val="auto"/>
          <w:sz w:val="24"/>
          <w:szCs w:val="24"/>
        </w:rPr>
        <w:t>类似项目合同业绩</w:t>
      </w:r>
      <w:r>
        <w:rPr>
          <w:rFonts w:hint="eastAsia" w:ascii="仿宋" w:hAnsi="仿宋" w:eastAsia="仿宋" w:cs="仿宋"/>
          <w:color w:val="auto"/>
          <w:sz w:val="24"/>
          <w:szCs w:val="24"/>
          <w:lang w:val="en-US" w:eastAsia="zh-CN"/>
        </w:rPr>
        <w:t>（以合同签订日期为准）</w:t>
      </w:r>
      <w:r>
        <w:rPr>
          <w:rFonts w:hint="eastAsia" w:ascii="仿宋" w:hAnsi="仿宋" w:eastAsia="仿宋" w:cs="仿宋"/>
          <w:color w:val="auto"/>
          <w:sz w:val="24"/>
          <w:szCs w:val="24"/>
        </w:rPr>
        <w:t>。</w:t>
      </w:r>
    </w:p>
    <w:p w14:paraId="3815E353">
      <w:pPr>
        <w:tabs>
          <w:tab w:val="right" w:pos="9070"/>
        </w:tabs>
        <w:snapToGrid w:val="0"/>
        <w:spacing w:line="500" w:lineRule="exact"/>
        <w:ind w:left="566" w:leftChars="200"/>
        <w:rPr>
          <w:rFonts w:ascii="Calibri" w:hAnsi="Calibri" w:cs="Calibri"/>
          <w:color w:val="auto"/>
        </w:rPr>
      </w:pPr>
      <w:r>
        <w:rPr>
          <w:rFonts w:hint="eastAsia" w:ascii="华文仿宋" w:hAnsi="华文仿宋" w:cs="华文仿宋"/>
          <w:b/>
          <w:bCs/>
          <w:color w:val="auto"/>
        </w:rPr>
        <w:t>（二）</w:t>
      </w:r>
      <w:r>
        <w:rPr>
          <w:rFonts w:hint="eastAsia" w:ascii="Calibri" w:hAnsi="Calibri" w:cs="华文仿宋"/>
          <w:b/>
          <w:bCs/>
          <w:color w:val="auto"/>
        </w:rPr>
        <w:t>项目团队样表（仅供参考）</w:t>
      </w:r>
    </w:p>
    <w:p w14:paraId="48A068EA">
      <w:pPr>
        <w:tabs>
          <w:tab w:val="right" w:pos="9070"/>
        </w:tabs>
        <w:spacing w:line="480" w:lineRule="exact"/>
        <w:ind w:firstLine="566" w:firstLineChars="200"/>
        <w:rPr>
          <w:rFonts w:ascii="Calibri" w:hAnsi="Calibri" w:cs="Calibri"/>
          <w:color w:val="auto"/>
        </w:rPr>
      </w:pPr>
      <w:r>
        <w:rPr>
          <w:rFonts w:ascii="Calibri" w:hAnsi="Calibri" w:cs="Calibri"/>
          <w:color w:val="auto"/>
        </w:rPr>
        <w:t>1</w:t>
      </w:r>
      <w:r>
        <w:rPr>
          <w:rFonts w:hint="eastAsia" w:ascii="Calibri" w:hAnsi="Calibri" w:cs="华文仿宋"/>
          <w:color w:val="auto"/>
          <w:lang w:val="en-US" w:eastAsia="zh-CN"/>
        </w:rPr>
        <w:t>.</w:t>
      </w:r>
      <w:r>
        <w:rPr>
          <w:rFonts w:hint="eastAsia" w:ascii="Calibri" w:hAnsi="Calibri" w:cs="华文仿宋"/>
          <w:color w:val="auto"/>
        </w:rPr>
        <w:t>项目团队情况概述</w:t>
      </w:r>
    </w:p>
    <w:p w14:paraId="2AE6E034">
      <w:pPr>
        <w:tabs>
          <w:tab w:val="right" w:pos="9070"/>
        </w:tabs>
        <w:spacing w:line="480" w:lineRule="exact"/>
        <w:ind w:firstLine="566" w:firstLineChars="200"/>
        <w:rPr>
          <w:rFonts w:ascii="Calibri" w:hAnsi="Calibri" w:cs="Calibri"/>
          <w:color w:val="auto"/>
        </w:rPr>
      </w:pPr>
      <w:r>
        <w:rPr>
          <w:rFonts w:hint="eastAsia" w:ascii="Calibri" w:hAnsi="Calibri" w:cs="华文仿宋"/>
          <w:color w:val="auto"/>
        </w:rPr>
        <w:t>概述内容包括但不限于为本项目提供货物服务的团队整体情况、团队负责人、联系人基本情况、背景、能力介绍等，具体内容自行编制。</w:t>
      </w:r>
    </w:p>
    <w:p w14:paraId="267BF8EA">
      <w:pPr>
        <w:tabs>
          <w:tab w:val="right" w:pos="9070"/>
        </w:tabs>
        <w:spacing w:line="500" w:lineRule="exact"/>
        <w:ind w:firstLine="566" w:firstLineChars="200"/>
        <w:rPr>
          <w:rFonts w:ascii="Calibri" w:hAnsi="Calibri" w:cs="Calibri"/>
          <w:color w:val="auto"/>
        </w:rPr>
      </w:pPr>
      <w:r>
        <w:rPr>
          <w:rFonts w:hint="eastAsia" w:ascii="仿宋" w:hAnsi="仿宋" w:eastAsia="仿宋" w:cs="仿宋"/>
          <w:color w:val="auto"/>
        </w:rPr>
        <w:t>2</w:t>
      </w:r>
      <w:r>
        <w:rPr>
          <w:rFonts w:hint="eastAsia" w:ascii="仿宋" w:hAnsi="仿宋" w:eastAsia="仿宋" w:cs="仿宋"/>
          <w:color w:val="auto"/>
          <w:lang w:val="en-US" w:eastAsia="zh-CN"/>
        </w:rPr>
        <w:t>.</w:t>
      </w:r>
      <w:r>
        <w:rPr>
          <w:rFonts w:hint="eastAsia" w:ascii="Calibri" w:hAnsi="Calibri" w:cs="华文仿宋"/>
          <w:color w:val="auto"/>
        </w:rPr>
        <w:t>项目团队人员清单</w:t>
      </w:r>
    </w:p>
    <w:tbl>
      <w:tblPr>
        <w:tblStyle w:val="29"/>
        <w:tblW w:w="91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4"/>
        <w:gridCol w:w="969"/>
        <w:gridCol w:w="1260"/>
        <w:gridCol w:w="24"/>
        <w:gridCol w:w="1363"/>
        <w:gridCol w:w="17"/>
        <w:gridCol w:w="6"/>
        <w:gridCol w:w="1581"/>
        <w:gridCol w:w="1740"/>
        <w:gridCol w:w="42"/>
        <w:gridCol w:w="1049"/>
      </w:tblGrid>
      <w:tr w14:paraId="4DB41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185" w:type="dxa"/>
            <w:gridSpan w:val="11"/>
            <w:tcBorders>
              <w:top w:val="single" w:color="auto" w:sz="12" w:space="0"/>
              <w:left w:val="single" w:color="auto" w:sz="12" w:space="0"/>
              <w:bottom w:val="single" w:color="auto" w:sz="6" w:space="0"/>
              <w:right w:val="single" w:color="auto" w:sz="12" w:space="0"/>
            </w:tcBorders>
            <w:noWrap w:val="0"/>
            <w:vAlign w:val="center"/>
          </w:tcPr>
          <w:p w14:paraId="2186825C">
            <w:pPr>
              <w:tabs>
                <w:tab w:val="right" w:pos="9070"/>
              </w:tabs>
              <w:spacing w:line="500" w:lineRule="exact"/>
              <w:rPr>
                <w:rFonts w:ascii="仿宋" w:hAnsi="仿宋" w:eastAsia="仿宋" w:cs="Times New Roman"/>
                <w:color w:val="auto"/>
                <w:sz w:val="24"/>
                <w:szCs w:val="24"/>
              </w:rPr>
            </w:pPr>
            <w:r>
              <w:rPr>
                <w:rFonts w:ascii="仿宋" w:hAnsi="仿宋" w:eastAsia="仿宋" w:cs="仿宋"/>
                <w:color w:val="auto"/>
                <w:sz w:val="24"/>
                <w:szCs w:val="24"/>
              </w:rPr>
              <w:t>1</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rPr>
              <w:t>项目负责人</w:t>
            </w:r>
            <w:r>
              <w:rPr>
                <w:rFonts w:ascii="仿宋" w:hAnsi="仿宋" w:eastAsia="仿宋" w:cs="仿宋"/>
                <w:color w:val="auto"/>
                <w:sz w:val="24"/>
                <w:szCs w:val="24"/>
              </w:rPr>
              <w:t>/</w:t>
            </w:r>
            <w:r>
              <w:rPr>
                <w:rFonts w:hint="eastAsia" w:ascii="仿宋" w:hAnsi="仿宋" w:eastAsia="仿宋" w:cs="仿宋"/>
                <w:color w:val="auto"/>
                <w:sz w:val="24"/>
                <w:szCs w:val="24"/>
              </w:rPr>
              <w:t>技术负责人</w:t>
            </w:r>
          </w:p>
        </w:tc>
      </w:tr>
      <w:tr w14:paraId="2841B5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noWrap w:val="0"/>
            <w:vAlign w:val="center"/>
          </w:tcPr>
          <w:p w14:paraId="5E51CFD4">
            <w:pPr>
              <w:jc w:val="center"/>
              <w:rPr>
                <w:rFonts w:ascii="仿宋" w:hAnsi="仿宋" w:eastAsia="仿宋" w:cs="Times New Roman"/>
                <w:color w:val="auto"/>
                <w:sz w:val="24"/>
                <w:szCs w:val="24"/>
              </w:rPr>
            </w:pPr>
            <w:r>
              <w:rPr>
                <w:rFonts w:hint="eastAsia" w:ascii="仿宋" w:hAnsi="仿宋" w:eastAsia="仿宋" w:cs="仿宋"/>
                <w:color w:val="auto"/>
                <w:sz w:val="24"/>
                <w:szCs w:val="24"/>
              </w:rPr>
              <w:t>姓名</w:t>
            </w:r>
          </w:p>
        </w:tc>
        <w:tc>
          <w:tcPr>
            <w:tcW w:w="969" w:type="dxa"/>
            <w:tcBorders>
              <w:left w:val="single" w:color="auto" w:sz="6" w:space="0"/>
            </w:tcBorders>
            <w:noWrap w:val="0"/>
            <w:vAlign w:val="center"/>
          </w:tcPr>
          <w:p w14:paraId="15CAE322">
            <w:pPr>
              <w:jc w:val="center"/>
              <w:rPr>
                <w:rFonts w:ascii="仿宋" w:hAnsi="仿宋" w:eastAsia="仿宋" w:cs="Times New Roman"/>
                <w:color w:val="auto"/>
                <w:sz w:val="24"/>
                <w:szCs w:val="24"/>
              </w:rPr>
            </w:pPr>
            <w:r>
              <w:rPr>
                <w:rFonts w:hint="eastAsia" w:ascii="仿宋" w:hAnsi="仿宋" w:eastAsia="仿宋" w:cs="仿宋"/>
                <w:color w:val="auto"/>
                <w:sz w:val="24"/>
                <w:szCs w:val="24"/>
              </w:rPr>
              <w:t>年龄</w:t>
            </w:r>
          </w:p>
        </w:tc>
        <w:tc>
          <w:tcPr>
            <w:tcW w:w="1260" w:type="dxa"/>
            <w:noWrap w:val="0"/>
            <w:vAlign w:val="center"/>
          </w:tcPr>
          <w:p w14:paraId="1535581D">
            <w:pPr>
              <w:jc w:val="center"/>
              <w:rPr>
                <w:rFonts w:ascii="仿宋" w:hAnsi="仿宋" w:eastAsia="仿宋" w:cs="Times New Roman"/>
                <w:color w:val="auto"/>
                <w:sz w:val="24"/>
                <w:szCs w:val="24"/>
              </w:rPr>
            </w:pPr>
            <w:r>
              <w:rPr>
                <w:rFonts w:hint="eastAsia" w:ascii="仿宋" w:hAnsi="仿宋" w:eastAsia="仿宋" w:cs="仿宋"/>
                <w:color w:val="auto"/>
                <w:sz w:val="24"/>
                <w:szCs w:val="24"/>
              </w:rPr>
              <w:t>资格</w:t>
            </w:r>
          </w:p>
        </w:tc>
        <w:tc>
          <w:tcPr>
            <w:tcW w:w="1387" w:type="dxa"/>
            <w:gridSpan w:val="2"/>
            <w:noWrap w:val="0"/>
            <w:vAlign w:val="center"/>
          </w:tcPr>
          <w:p w14:paraId="07E4BEC3">
            <w:pPr>
              <w:jc w:val="center"/>
              <w:rPr>
                <w:rFonts w:ascii="仿宋" w:hAnsi="仿宋" w:eastAsia="仿宋" w:cs="Times New Roman"/>
                <w:color w:val="auto"/>
                <w:sz w:val="24"/>
                <w:szCs w:val="24"/>
              </w:rPr>
            </w:pPr>
            <w:r>
              <w:rPr>
                <w:rFonts w:hint="eastAsia" w:ascii="仿宋" w:hAnsi="仿宋" w:eastAsia="仿宋" w:cs="仿宋"/>
                <w:color w:val="auto"/>
                <w:sz w:val="24"/>
                <w:szCs w:val="24"/>
              </w:rPr>
              <w:t>职称</w:t>
            </w:r>
          </w:p>
        </w:tc>
        <w:tc>
          <w:tcPr>
            <w:tcW w:w="1604" w:type="dxa"/>
            <w:gridSpan w:val="3"/>
            <w:noWrap w:val="0"/>
            <w:vAlign w:val="center"/>
          </w:tcPr>
          <w:p w14:paraId="67A34ABA">
            <w:pPr>
              <w:spacing w:line="280" w:lineRule="exact"/>
              <w:jc w:val="center"/>
              <w:rPr>
                <w:rFonts w:ascii="仿宋" w:hAnsi="仿宋" w:eastAsia="仿宋" w:cs="Times New Roman"/>
                <w:color w:val="auto"/>
                <w:sz w:val="24"/>
                <w:szCs w:val="24"/>
              </w:rPr>
            </w:pPr>
            <w:r>
              <w:rPr>
                <w:rFonts w:hint="eastAsia" w:ascii="仿宋" w:hAnsi="仿宋" w:eastAsia="仿宋" w:cs="仿宋"/>
                <w:color w:val="auto"/>
                <w:sz w:val="24"/>
                <w:szCs w:val="24"/>
              </w:rPr>
              <w:t>在本行业从业工作年限</w:t>
            </w:r>
          </w:p>
        </w:tc>
        <w:tc>
          <w:tcPr>
            <w:tcW w:w="1740" w:type="dxa"/>
            <w:tcBorders>
              <w:right w:val="single" w:color="auto" w:sz="2" w:space="0"/>
            </w:tcBorders>
            <w:noWrap w:val="0"/>
            <w:vAlign w:val="center"/>
          </w:tcPr>
          <w:p w14:paraId="4978AAB3">
            <w:pPr>
              <w:spacing w:line="240" w:lineRule="exact"/>
              <w:jc w:val="center"/>
              <w:rPr>
                <w:rFonts w:ascii="仿宋" w:hAnsi="仿宋" w:eastAsia="仿宋" w:cs="Times New Roman"/>
                <w:color w:val="auto"/>
                <w:sz w:val="24"/>
                <w:szCs w:val="24"/>
              </w:rPr>
            </w:pPr>
            <w:r>
              <w:rPr>
                <w:rFonts w:hint="eastAsia" w:ascii="仿宋" w:hAnsi="仿宋" w:eastAsia="仿宋" w:cs="仿宋"/>
                <w:color w:val="auto"/>
                <w:sz w:val="24"/>
                <w:szCs w:val="24"/>
              </w:rPr>
              <w:t>主要工作</w:t>
            </w:r>
          </w:p>
          <w:p w14:paraId="7584CB4E">
            <w:pPr>
              <w:spacing w:line="240" w:lineRule="exact"/>
              <w:jc w:val="center"/>
              <w:rPr>
                <w:rFonts w:ascii="仿宋" w:hAnsi="仿宋" w:eastAsia="仿宋" w:cs="Times New Roman"/>
                <w:color w:val="auto"/>
                <w:sz w:val="24"/>
                <w:szCs w:val="24"/>
              </w:rPr>
            </w:pPr>
            <w:r>
              <w:rPr>
                <w:rFonts w:hint="eastAsia" w:ascii="仿宋" w:hAnsi="仿宋" w:eastAsia="仿宋" w:cs="仿宋"/>
                <w:color w:val="auto"/>
                <w:sz w:val="24"/>
                <w:szCs w:val="24"/>
              </w:rPr>
              <w:t>业绩和经历</w:t>
            </w:r>
          </w:p>
        </w:tc>
        <w:tc>
          <w:tcPr>
            <w:tcW w:w="1091" w:type="dxa"/>
            <w:gridSpan w:val="2"/>
            <w:tcBorders>
              <w:left w:val="single" w:color="auto" w:sz="2" w:space="0"/>
              <w:right w:val="single" w:color="auto" w:sz="12" w:space="0"/>
            </w:tcBorders>
            <w:noWrap w:val="0"/>
            <w:vAlign w:val="center"/>
          </w:tcPr>
          <w:p w14:paraId="69969396">
            <w:pPr>
              <w:spacing w:line="240" w:lineRule="exact"/>
              <w:jc w:val="center"/>
              <w:rPr>
                <w:rFonts w:ascii="仿宋" w:hAnsi="仿宋" w:eastAsia="仿宋" w:cs="Times New Roman"/>
                <w:color w:val="auto"/>
                <w:sz w:val="24"/>
                <w:szCs w:val="24"/>
              </w:rPr>
            </w:pPr>
            <w:r>
              <w:rPr>
                <w:rFonts w:hint="eastAsia" w:ascii="仿宋" w:hAnsi="仿宋" w:eastAsia="仿宋" w:cs="仿宋"/>
                <w:color w:val="auto"/>
                <w:sz w:val="24"/>
                <w:szCs w:val="24"/>
              </w:rPr>
              <w:t>当前</w:t>
            </w:r>
          </w:p>
          <w:p w14:paraId="37A56837">
            <w:pPr>
              <w:spacing w:line="240" w:lineRule="exact"/>
              <w:jc w:val="center"/>
              <w:rPr>
                <w:rFonts w:ascii="仿宋" w:hAnsi="仿宋" w:eastAsia="仿宋" w:cs="Times New Roman"/>
                <w:color w:val="auto"/>
                <w:sz w:val="24"/>
                <w:szCs w:val="24"/>
              </w:rPr>
            </w:pPr>
            <w:r>
              <w:rPr>
                <w:rFonts w:hint="eastAsia" w:ascii="仿宋" w:hAnsi="仿宋" w:eastAsia="仿宋" w:cs="仿宋"/>
                <w:color w:val="auto"/>
                <w:sz w:val="24"/>
                <w:szCs w:val="24"/>
              </w:rPr>
              <w:t>分工</w:t>
            </w:r>
          </w:p>
        </w:tc>
      </w:tr>
      <w:tr w14:paraId="35976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noWrap w:val="0"/>
            <w:vAlign w:val="center"/>
          </w:tcPr>
          <w:p w14:paraId="4DC6AEEF">
            <w:pPr>
              <w:rPr>
                <w:rFonts w:ascii="仿宋" w:hAnsi="仿宋" w:eastAsia="仿宋" w:cs="Times New Roman"/>
                <w:color w:val="auto"/>
                <w:sz w:val="24"/>
                <w:szCs w:val="24"/>
              </w:rPr>
            </w:pPr>
          </w:p>
        </w:tc>
        <w:tc>
          <w:tcPr>
            <w:tcW w:w="969" w:type="dxa"/>
            <w:tcBorders>
              <w:left w:val="single" w:color="auto" w:sz="6" w:space="0"/>
            </w:tcBorders>
            <w:noWrap w:val="0"/>
            <w:vAlign w:val="center"/>
          </w:tcPr>
          <w:p w14:paraId="0D2D9C2D">
            <w:pPr>
              <w:rPr>
                <w:rFonts w:ascii="仿宋" w:hAnsi="仿宋" w:eastAsia="仿宋" w:cs="Times New Roman"/>
                <w:color w:val="auto"/>
                <w:sz w:val="24"/>
                <w:szCs w:val="24"/>
              </w:rPr>
            </w:pPr>
          </w:p>
        </w:tc>
        <w:tc>
          <w:tcPr>
            <w:tcW w:w="1260" w:type="dxa"/>
            <w:noWrap w:val="0"/>
            <w:vAlign w:val="center"/>
          </w:tcPr>
          <w:p w14:paraId="62AD767B">
            <w:pPr>
              <w:rPr>
                <w:rFonts w:ascii="仿宋" w:hAnsi="仿宋" w:eastAsia="仿宋" w:cs="Times New Roman"/>
                <w:color w:val="auto"/>
                <w:sz w:val="24"/>
                <w:szCs w:val="24"/>
              </w:rPr>
            </w:pPr>
          </w:p>
        </w:tc>
        <w:tc>
          <w:tcPr>
            <w:tcW w:w="1387" w:type="dxa"/>
            <w:gridSpan w:val="2"/>
            <w:noWrap w:val="0"/>
            <w:vAlign w:val="center"/>
          </w:tcPr>
          <w:p w14:paraId="735E6F91">
            <w:pPr>
              <w:rPr>
                <w:rFonts w:ascii="仿宋" w:hAnsi="仿宋" w:eastAsia="仿宋" w:cs="Times New Roman"/>
                <w:color w:val="auto"/>
                <w:sz w:val="24"/>
                <w:szCs w:val="24"/>
              </w:rPr>
            </w:pPr>
          </w:p>
        </w:tc>
        <w:tc>
          <w:tcPr>
            <w:tcW w:w="1604" w:type="dxa"/>
            <w:gridSpan w:val="3"/>
            <w:noWrap w:val="0"/>
            <w:vAlign w:val="center"/>
          </w:tcPr>
          <w:p w14:paraId="458390A1">
            <w:pPr>
              <w:rPr>
                <w:rFonts w:ascii="仿宋" w:hAnsi="仿宋" w:eastAsia="仿宋" w:cs="Times New Roman"/>
                <w:color w:val="auto"/>
                <w:sz w:val="24"/>
                <w:szCs w:val="24"/>
              </w:rPr>
            </w:pPr>
          </w:p>
        </w:tc>
        <w:tc>
          <w:tcPr>
            <w:tcW w:w="1740" w:type="dxa"/>
            <w:tcBorders>
              <w:right w:val="single" w:color="auto" w:sz="2" w:space="0"/>
            </w:tcBorders>
            <w:noWrap w:val="0"/>
            <w:vAlign w:val="center"/>
          </w:tcPr>
          <w:p w14:paraId="2AEACF56">
            <w:pPr>
              <w:rPr>
                <w:rFonts w:ascii="仿宋" w:hAnsi="仿宋" w:eastAsia="仿宋" w:cs="Times New Roman"/>
                <w:color w:val="auto"/>
                <w:sz w:val="24"/>
                <w:szCs w:val="24"/>
              </w:rPr>
            </w:pPr>
          </w:p>
        </w:tc>
        <w:tc>
          <w:tcPr>
            <w:tcW w:w="1091" w:type="dxa"/>
            <w:gridSpan w:val="2"/>
            <w:tcBorders>
              <w:left w:val="single" w:color="auto" w:sz="2" w:space="0"/>
              <w:right w:val="single" w:color="auto" w:sz="12" w:space="0"/>
            </w:tcBorders>
            <w:noWrap w:val="0"/>
            <w:vAlign w:val="center"/>
          </w:tcPr>
          <w:p w14:paraId="0285E1A4">
            <w:pPr>
              <w:rPr>
                <w:rFonts w:ascii="仿宋" w:hAnsi="仿宋" w:eastAsia="仿宋" w:cs="Times New Roman"/>
                <w:color w:val="auto"/>
                <w:sz w:val="24"/>
                <w:szCs w:val="24"/>
              </w:rPr>
            </w:pPr>
          </w:p>
        </w:tc>
      </w:tr>
      <w:tr w14:paraId="607339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noWrap w:val="0"/>
            <w:vAlign w:val="center"/>
          </w:tcPr>
          <w:p w14:paraId="1F87B69F">
            <w:pPr>
              <w:rPr>
                <w:rFonts w:ascii="仿宋" w:hAnsi="仿宋" w:eastAsia="仿宋" w:cs="Times New Roman"/>
                <w:color w:val="auto"/>
                <w:sz w:val="24"/>
                <w:szCs w:val="24"/>
              </w:rPr>
            </w:pPr>
          </w:p>
        </w:tc>
        <w:tc>
          <w:tcPr>
            <w:tcW w:w="969" w:type="dxa"/>
            <w:tcBorders>
              <w:left w:val="single" w:color="auto" w:sz="6" w:space="0"/>
            </w:tcBorders>
            <w:noWrap w:val="0"/>
            <w:vAlign w:val="center"/>
          </w:tcPr>
          <w:p w14:paraId="1C0834B2">
            <w:pPr>
              <w:rPr>
                <w:rFonts w:ascii="仿宋" w:hAnsi="仿宋" w:eastAsia="仿宋" w:cs="Times New Roman"/>
                <w:color w:val="auto"/>
                <w:sz w:val="24"/>
                <w:szCs w:val="24"/>
              </w:rPr>
            </w:pPr>
          </w:p>
        </w:tc>
        <w:tc>
          <w:tcPr>
            <w:tcW w:w="1260" w:type="dxa"/>
            <w:noWrap w:val="0"/>
            <w:vAlign w:val="center"/>
          </w:tcPr>
          <w:p w14:paraId="5B224B68">
            <w:pPr>
              <w:rPr>
                <w:rFonts w:ascii="仿宋" w:hAnsi="仿宋" w:eastAsia="仿宋" w:cs="Times New Roman"/>
                <w:color w:val="auto"/>
                <w:sz w:val="24"/>
                <w:szCs w:val="24"/>
              </w:rPr>
            </w:pPr>
          </w:p>
        </w:tc>
        <w:tc>
          <w:tcPr>
            <w:tcW w:w="1387" w:type="dxa"/>
            <w:gridSpan w:val="2"/>
            <w:noWrap w:val="0"/>
            <w:vAlign w:val="center"/>
          </w:tcPr>
          <w:p w14:paraId="43F843C9">
            <w:pPr>
              <w:rPr>
                <w:rFonts w:ascii="仿宋" w:hAnsi="仿宋" w:eastAsia="仿宋" w:cs="Times New Roman"/>
                <w:color w:val="auto"/>
                <w:sz w:val="24"/>
                <w:szCs w:val="24"/>
              </w:rPr>
            </w:pPr>
          </w:p>
        </w:tc>
        <w:tc>
          <w:tcPr>
            <w:tcW w:w="1604" w:type="dxa"/>
            <w:gridSpan w:val="3"/>
            <w:noWrap w:val="0"/>
            <w:vAlign w:val="center"/>
          </w:tcPr>
          <w:p w14:paraId="74A97C40">
            <w:pPr>
              <w:rPr>
                <w:rFonts w:ascii="仿宋" w:hAnsi="仿宋" w:eastAsia="仿宋" w:cs="Times New Roman"/>
                <w:color w:val="auto"/>
                <w:sz w:val="24"/>
                <w:szCs w:val="24"/>
              </w:rPr>
            </w:pPr>
          </w:p>
        </w:tc>
        <w:tc>
          <w:tcPr>
            <w:tcW w:w="1740" w:type="dxa"/>
            <w:tcBorders>
              <w:right w:val="single" w:color="auto" w:sz="2" w:space="0"/>
            </w:tcBorders>
            <w:noWrap w:val="0"/>
            <w:vAlign w:val="center"/>
          </w:tcPr>
          <w:p w14:paraId="74436038">
            <w:pPr>
              <w:rPr>
                <w:rFonts w:ascii="仿宋" w:hAnsi="仿宋" w:eastAsia="仿宋" w:cs="Times New Roman"/>
                <w:color w:val="auto"/>
                <w:sz w:val="24"/>
                <w:szCs w:val="24"/>
              </w:rPr>
            </w:pPr>
          </w:p>
        </w:tc>
        <w:tc>
          <w:tcPr>
            <w:tcW w:w="1091" w:type="dxa"/>
            <w:gridSpan w:val="2"/>
            <w:tcBorders>
              <w:left w:val="single" w:color="auto" w:sz="2" w:space="0"/>
              <w:right w:val="single" w:color="auto" w:sz="12" w:space="0"/>
            </w:tcBorders>
            <w:noWrap w:val="0"/>
            <w:vAlign w:val="center"/>
          </w:tcPr>
          <w:p w14:paraId="08928FE1">
            <w:pPr>
              <w:rPr>
                <w:rFonts w:ascii="仿宋" w:hAnsi="仿宋" w:eastAsia="仿宋" w:cs="Times New Roman"/>
                <w:color w:val="auto"/>
                <w:sz w:val="24"/>
                <w:szCs w:val="24"/>
              </w:rPr>
            </w:pPr>
          </w:p>
        </w:tc>
      </w:tr>
      <w:tr w14:paraId="16132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noWrap w:val="0"/>
            <w:vAlign w:val="center"/>
          </w:tcPr>
          <w:p w14:paraId="622128DF">
            <w:pPr>
              <w:rPr>
                <w:rFonts w:ascii="仿宋" w:hAnsi="仿宋" w:eastAsia="仿宋" w:cs="Times New Roman"/>
                <w:color w:val="auto"/>
                <w:sz w:val="24"/>
                <w:szCs w:val="24"/>
              </w:rPr>
            </w:pPr>
          </w:p>
        </w:tc>
        <w:tc>
          <w:tcPr>
            <w:tcW w:w="969" w:type="dxa"/>
            <w:tcBorders>
              <w:left w:val="single" w:color="auto" w:sz="6" w:space="0"/>
            </w:tcBorders>
            <w:noWrap w:val="0"/>
            <w:vAlign w:val="center"/>
          </w:tcPr>
          <w:p w14:paraId="5A6DB7F8">
            <w:pPr>
              <w:rPr>
                <w:rFonts w:ascii="仿宋" w:hAnsi="仿宋" w:eastAsia="仿宋" w:cs="Times New Roman"/>
                <w:color w:val="auto"/>
                <w:sz w:val="24"/>
                <w:szCs w:val="24"/>
              </w:rPr>
            </w:pPr>
          </w:p>
        </w:tc>
        <w:tc>
          <w:tcPr>
            <w:tcW w:w="1260" w:type="dxa"/>
            <w:noWrap w:val="0"/>
            <w:vAlign w:val="center"/>
          </w:tcPr>
          <w:p w14:paraId="4735C101">
            <w:pPr>
              <w:rPr>
                <w:rFonts w:ascii="仿宋" w:hAnsi="仿宋" w:eastAsia="仿宋" w:cs="Times New Roman"/>
                <w:color w:val="auto"/>
                <w:sz w:val="24"/>
                <w:szCs w:val="24"/>
              </w:rPr>
            </w:pPr>
          </w:p>
        </w:tc>
        <w:tc>
          <w:tcPr>
            <w:tcW w:w="1387" w:type="dxa"/>
            <w:gridSpan w:val="2"/>
            <w:noWrap w:val="0"/>
            <w:vAlign w:val="center"/>
          </w:tcPr>
          <w:p w14:paraId="6DBDEEEC">
            <w:pPr>
              <w:rPr>
                <w:rFonts w:ascii="仿宋" w:hAnsi="仿宋" w:eastAsia="仿宋" w:cs="Times New Roman"/>
                <w:color w:val="auto"/>
                <w:sz w:val="24"/>
                <w:szCs w:val="24"/>
              </w:rPr>
            </w:pPr>
          </w:p>
        </w:tc>
        <w:tc>
          <w:tcPr>
            <w:tcW w:w="1604" w:type="dxa"/>
            <w:gridSpan w:val="3"/>
            <w:noWrap w:val="0"/>
            <w:vAlign w:val="center"/>
          </w:tcPr>
          <w:p w14:paraId="1E0BAB7D">
            <w:pPr>
              <w:rPr>
                <w:rFonts w:ascii="仿宋" w:hAnsi="仿宋" w:eastAsia="仿宋" w:cs="Times New Roman"/>
                <w:color w:val="auto"/>
                <w:sz w:val="24"/>
                <w:szCs w:val="24"/>
              </w:rPr>
            </w:pPr>
          </w:p>
        </w:tc>
        <w:tc>
          <w:tcPr>
            <w:tcW w:w="1740" w:type="dxa"/>
            <w:tcBorders>
              <w:right w:val="single" w:color="auto" w:sz="2" w:space="0"/>
            </w:tcBorders>
            <w:noWrap w:val="0"/>
            <w:vAlign w:val="center"/>
          </w:tcPr>
          <w:p w14:paraId="1CF7F5EA">
            <w:pPr>
              <w:rPr>
                <w:rFonts w:ascii="仿宋" w:hAnsi="仿宋" w:eastAsia="仿宋" w:cs="Times New Roman"/>
                <w:color w:val="auto"/>
                <w:sz w:val="24"/>
                <w:szCs w:val="24"/>
              </w:rPr>
            </w:pPr>
          </w:p>
        </w:tc>
        <w:tc>
          <w:tcPr>
            <w:tcW w:w="1091" w:type="dxa"/>
            <w:gridSpan w:val="2"/>
            <w:tcBorders>
              <w:left w:val="single" w:color="auto" w:sz="2" w:space="0"/>
              <w:right w:val="single" w:color="auto" w:sz="12" w:space="0"/>
            </w:tcBorders>
            <w:noWrap w:val="0"/>
            <w:vAlign w:val="center"/>
          </w:tcPr>
          <w:p w14:paraId="0005838E">
            <w:pPr>
              <w:rPr>
                <w:rFonts w:ascii="仿宋" w:hAnsi="仿宋" w:eastAsia="仿宋" w:cs="Times New Roman"/>
                <w:color w:val="auto"/>
                <w:sz w:val="24"/>
                <w:szCs w:val="24"/>
              </w:rPr>
            </w:pPr>
          </w:p>
        </w:tc>
      </w:tr>
      <w:tr w14:paraId="6B031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9185" w:type="dxa"/>
            <w:gridSpan w:val="11"/>
            <w:tcBorders>
              <w:top w:val="single" w:color="auto" w:sz="6" w:space="0"/>
              <w:left w:val="single" w:color="auto" w:sz="12" w:space="0"/>
              <w:bottom w:val="single" w:color="auto" w:sz="6" w:space="0"/>
              <w:right w:val="single" w:color="auto" w:sz="12" w:space="0"/>
            </w:tcBorders>
            <w:noWrap w:val="0"/>
            <w:vAlign w:val="center"/>
          </w:tcPr>
          <w:p w14:paraId="365A84F9">
            <w:pPr>
              <w:rPr>
                <w:rFonts w:ascii="仿宋" w:hAnsi="仿宋" w:eastAsia="仿宋" w:cs="Times New Roman"/>
                <w:color w:val="auto"/>
                <w:sz w:val="24"/>
                <w:szCs w:val="24"/>
              </w:rPr>
            </w:pPr>
            <w:r>
              <w:rPr>
                <w:rFonts w:ascii="仿宋" w:hAnsi="仿宋" w:eastAsia="仿宋" w:cs="仿宋"/>
                <w:color w:val="auto"/>
                <w:sz w:val="24"/>
                <w:szCs w:val="24"/>
              </w:rPr>
              <w:t>2</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rPr>
              <w:t>技术人员</w:t>
            </w:r>
          </w:p>
        </w:tc>
      </w:tr>
      <w:tr w14:paraId="13ED83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noWrap w:val="0"/>
            <w:vAlign w:val="center"/>
          </w:tcPr>
          <w:p w14:paraId="2A5FDA3B">
            <w:pPr>
              <w:jc w:val="center"/>
              <w:rPr>
                <w:rFonts w:ascii="仿宋" w:hAnsi="仿宋" w:eastAsia="仿宋" w:cs="Times New Roman"/>
                <w:color w:val="auto"/>
                <w:sz w:val="24"/>
                <w:szCs w:val="24"/>
              </w:rPr>
            </w:pPr>
            <w:r>
              <w:rPr>
                <w:rFonts w:hint="eastAsia" w:ascii="仿宋" w:hAnsi="仿宋" w:eastAsia="仿宋" w:cs="仿宋"/>
                <w:color w:val="auto"/>
                <w:sz w:val="24"/>
                <w:szCs w:val="24"/>
              </w:rPr>
              <w:t>姓名</w:t>
            </w:r>
          </w:p>
        </w:tc>
        <w:tc>
          <w:tcPr>
            <w:tcW w:w="969" w:type="dxa"/>
            <w:tcBorders>
              <w:left w:val="single" w:color="auto" w:sz="6" w:space="0"/>
            </w:tcBorders>
            <w:noWrap w:val="0"/>
            <w:vAlign w:val="center"/>
          </w:tcPr>
          <w:p w14:paraId="65080B18">
            <w:pPr>
              <w:jc w:val="center"/>
              <w:rPr>
                <w:rFonts w:ascii="仿宋" w:hAnsi="仿宋" w:eastAsia="仿宋" w:cs="Times New Roman"/>
                <w:color w:val="auto"/>
                <w:sz w:val="24"/>
                <w:szCs w:val="24"/>
              </w:rPr>
            </w:pPr>
            <w:r>
              <w:rPr>
                <w:rFonts w:hint="eastAsia" w:ascii="仿宋" w:hAnsi="仿宋" w:eastAsia="仿宋" w:cs="仿宋"/>
                <w:color w:val="auto"/>
                <w:sz w:val="24"/>
                <w:szCs w:val="24"/>
              </w:rPr>
              <w:t>年龄</w:t>
            </w:r>
          </w:p>
        </w:tc>
        <w:tc>
          <w:tcPr>
            <w:tcW w:w="1260" w:type="dxa"/>
            <w:noWrap w:val="0"/>
            <w:vAlign w:val="center"/>
          </w:tcPr>
          <w:p w14:paraId="70D3A727">
            <w:pPr>
              <w:jc w:val="center"/>
              <w:rPr>
                <w:rFonts w:ascii="仿宋" w:hAnsi="仿宋" w:eastAsia="仿宋" w:cs="Times New Roman"/>
                <w:color w:val="auto"/>
                <w:sz w:val="24"/>
                <w:szCs w:val="24"/>
              </w:rPr>
            </w:pPr>
            <w:r>
              <w:rPr>
                <w:rFonts w:hint="eastAsia" w:ascii="仿宋" w:hAnsi="仿宋" w:eastAsia="仿宋" w:cs="仿宋"/>
                <w:color w:val="auto"/>
                <w:sz w:val="24"/>
                <w:szCs w:val="24"/>
              </w:rPr>
              <w:t>资格</w:t>
            </w:r>
          </w:p>
        </w:tc>
        <w:tc>
          <w:tcPr>
            <w:tcW w:w="1404" w:type="dxa"/>
            <w:gridSpan w:val="3"/>
            <w:noWrap w:val="0"/>
            <w:vAlign w:val="center"/>
          </w:tcPr>
          <w:p w14:paraId="6DE54DA3">
            <w:pPr>
              <w:jc w:val="center"/>
              <w:rPr>
                <w:rFonts w:ascii="仿宋" w:hAnsi="仿宋" w:eastAsia="仿宋" w:cs="Times New Roman"/>
                <w:color w:val="auto"/>
                <w:sz w:val="24"/>
                <w:szCs w:val="24"/>
              </w:rPr>
            </w:pPr>
            <w:r>
              <w:rPr>
                <w:rFonts w:hint="eastAsia" w:ascii="仿宋" w:hAnsi="仿宋" w:eastAsia="仿宋" w:cs="仿宋"/>
                <w:color w:val="auto"/>
                <w:sz w:val="24"/>
                <w:szCs w:val="24"/>
              </w:rPr>
              <w:t>职称</w:t>
            </w:r>
          </w:p>
        </w:tc>
        <w:tc>
          <w:tcPr>
            <w:tcW w:w="1587" w:type="dxa"/>
            <w:gridSpan w:val="2"/>
            <w:noWrap w:val="0"/>
            <w:vAlign w:val="center"/>
          </w:tcPr>
          <w:p w14:paraId="0921E941">
            <w:pPr>
              <w:spacing w:line="280" w:lineRule="exact"/>
              <w:jc w:val="center"/>
              <w:rPr>
                <w:rFonts w:ascii="仿宋" w:hAnsi="仿宋" w:eastAsia="仿宋" w:cs="Times New Roman"/>
                <w:color w:val="auto"/>
                <w:sz w:val="24"/>
                <w:szCs w:val="24"/>
              </w:rPr>
            </w:pPr>
            <w:r>
              <w:rPr>
                <w:rFonts w:hint="eastAsia" w:ascii="仿宋" w:hAnsi="仿宋" w:eastAsia="仿宋" w:cs="仿宋"/>
                <w:color w:val="auto"/>
                <w:sz w:val="24"/>
                <w:szCs w:val="24"/>
              </w:rPr>
              <w:t>在本行业从业工作年限</w:t>
            </w:r>
          </w:p>
        </w:tc>
        <w:tc>
          <w:tcPr>
            <w:tcW w:w="1782" w:type="dxa"/>
            <w:gridSpan w:val="2"/>
            <w:noWrap w:val="0"/>
            <w:vAlign w:val="center"/>
          </w:tcPr>
          <w:p w14:paraId="006744FD">
            <w:pPr>
              <w:spacing w:line="240" w:lineRule="exact"/>
              <w:jc w:val="center"/>
              <w:rPr>
                <w:rFonts w:ascii="仿宋" w:hAnsi="仿宋" w:eastAsia="仿宋" w:cs="Times New Roman"/>
                <w:color w:val="auto"/>
                <w:sz w:val="24"/>
                <w:szCs w:val="24"/>
              </w:rPr>
            </w:pPr>
            <w:r>
              <w:rPr>
                <w:rFonts w:hint="eastAsia" w:ascii="仿宋" w:hAnsi="仿宋" w:eastAsia="仿宋" w:cs="仿宋"/>
                <w:color w:val="auto"/>
                <w:sz w:val="24"/>
                <w:szCs w:val="24"/>
              </w:rPr>
              <w:t>主要工作</w:t>
            </w:r>
          </w:p>
          <w:p w14:paraId="371C7E90">
            <w:pPr>
              <w:spacing w:line="240" w:lineRule="exact"/>
              <w:jc w:val="center"/>
              <w:rPr>
                <w:rFonts w:ascii="仿宋" w:hAnsi="仿宋" w:eastAsia="仿宋" w:cs="Times New Roman"/>
                <w:color w:val="auto"/>
                <w:sz w:val="24"/>
                <w:szCs w:val="24"/>
              </w:rPr>
            </w:pPr>
            <w:r>
              <w:rPr>
                <w:rFonts w:hint="eastAsia" w:ascii="仿宋" w:hAnsi="仿宋" w:eastAsia="仿宋" w:cs="仿宋"/>
                <w:color w:val="auto"/>
                <w:sz w:val="24"/>
                <w:szCs w:val="24"/>
              </w:rPr>
              <w:t>业绩和经历</w:t>
            </w:r>
          </w:p>
        </w:tc>
        <w:tc>
          <w:tcPr>
            <w:tcW w:w="1049" w:type="dxa"/>
            <w:tcBorders>
              <w:right w:val="single" w:color="auto" w:sz="12" w:space="0"/>
            </w:tcBorders>
            <w:noWrap w:val="0"/>
            <w:vAlign w:val="center"/>
          </w:tcPr>
          <w:p w14:paraId="5DF855C1">
            <w:pPr>
              <w:spacing w:line="240" w:lineRule="exact"/>
              <w:jc w:val="center"/>
              <w:rPr>
                <w:rFonts w:ascii="仿宋" w:hAnsi="仿宋" w:eastAsia="仿宋" w:cs="Times New Roman"/>
                <w:color w:val="auto"/>
                <w:sz w:val="24"/>
                <w:szCs w:val="24"/>
              </w:rPr>
            </w:pPr>
            <w:r>
              <w:rPr>
                <w:rFonts w:hint="eastAsia" w:ascii="仿宋" w:hAnsi="仿宋" w:eastAsia="仿宋" w:cs="仿宋"/>
                <w:color w:val="auto"/>
                <w:sz w:val="24"/>
                <w:szCs w:val="24"/>
              </w:rPr>
              <w:t>当前</w:t>
            </w:r>
          </w:p>
          <w:p w14:paraId="081C5C4A">
            <w:pPr>
              <w:spacing w:line="240" w:lineRule="exact"/>
              <w:jc w:val="center"/>
              <w:rPr>
                <w:rFonts w:ascii="仿宋" w:hAnsi="仿宋" w:eastAsia="仿宋" w:cs="Times New Roman"/>
                <w:color w:val="auto"/>
                <w:sz w:val="24"/>
                <w:szCs w:val="24"/>
              </w:rPr>
            </w:pPr>
            <w:r>
              <w:rPr>
                <w:rFonts w:hint="eastAsia" w:ascii="仿宋" w:hAnsi="仿宋" w:eastAsia="仿宋" w:cs="仿宋"/>
                <w:color w:val="auto"/>
                <w:sz w:val="24"/>
                <w:szCs w:val="24"/>
              </w:rPr>
              <w:t>分工</w:t>
            </w:r>
          </w:p>
        </w:tc>
      </w:tr>
      <w:tr w14:paraId="1813B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noWrap w:val="0"/>
            <w:vAlign w:val="center"/>
          </w:tcPr>
          <w:p w14:paraId="06050FF5">
            <w:pPr>
              <w:rPr>
                <w:rFonts w:ascii="仿宋" w:hAnsi="仿宋" w:eastAsia="仿宋" w:cs="Times New Roman"/>
                <w:color w:val="auto"/>
                <w:sz w:val="24"/>
                <w:szCs w:val="24"/>
              </w:rPr>
            </w:pPr>
          </w:p>
        </w:tc>
        <w:tc>
          <w:tcPr>
            <w:tcW w:w="969" w:type="dxa"/>
            <w:tcBorders>
              <w:left w:val="single" w:color="auto" w:sz="6" w:space="0"/>
            </w:tcBorders>
            <w:noWrap w:val="0"/>
            <w:vAlign w:val="center"/>
          </w:tcPr>
          <w:p w14:paraId="288356F0">
            <w:pPr>
              <w:rPr>
                <w:rFonts w:ascii="仿宋" w:hAnsi="仿宋" w:eastAsia="仿宋" w:cs="Times New Roman"/>
                <w:color w:val="auto"/>
                <w:sz w:val="24"/>
                <w:szCs w:val="24"/>
              </w:rPr>
            </w:pPr>
          </w:p>
        </w:tc>
        <w:tc>
          <w:tcPr>
            <w:tcW w:w="1260" w:type="dxa"/>
            <w:noWrap w:val="0"/>
            <w:vAlign w:val="center"/>
          </w:tcPr>
          <w:p w14:paraId="5BC4573F">
            <w:pPr>
              <w:rPr>
                <w:rFonts w:ascii="仿宋" w:hAnsi="仿宋" w:eastAsia="仿宋" w:cs="Times New Roman"/>
                <w:color w:val="auto"/>
                <w:sz w:val="24"/>
                <w:szCs w:val="24"/>
              </w:rPr>
            </w:pPr>
          </w:p>
        </w:tc>
        <w:tc>
          <w:tcPr>
            <w:tcW w:w="1404" w:type="dxa"/>
            <w:gridSpan w:val="3"/>
            <w:noWrap w:val="0"/>
            <w:vAlign w:val="center"/>
          </w:tcPr>
          <w:p w14:paraId="7D660097">
            <w:pPr>
              <w:rPr>
                <w:rFonts w:ascii="仿宋" w:hAnsi="仿宋" w:eastAsia="仿宋" w:cs="Times New Roman"/>
                <w:color w:val="auto"/>
                <w:sz w:val="24"/>
                <w:szCs w:val="24"/>
              </w:rPr>
            </w:pPr>
          </w:p>
        </w:tc>
        <w:tc>
          <w:tcPr>
            <w:tcW w:w="1587" w:type="dxa"/>
            <w:gridSpan w:val="2"/>
            <w:noWrap w:val="0"/>
            <w:vAlign w:val="center"/>
          </w:tcPr>
          <w:p w14:paraId="4A5849EC">
            <w:pPr>
              <w:rPr>
                <w:rFonts w:ascii="仿宋" w:hAnsi="仿宋" w:eastAsia="仿宋" w:cs="Times New Roman"/>
                <w:color w:val="auto"/>
                <w:sz w:val="24"/>
                <w:szCs w:val="24"/>
              </w:rPr>
            </w:pPr>
          </w:p>
        </w:tc>
        <w:tc>
          <w:tcPr>
            <w:tcW w:w="1782" w:type="dxa"/>
            <w:gridSpan w:val="2"/>
            <w:noWrap w:val="0"/>
            <w:vAlign w:val="center"/>
          </w:tcPr>
          <w:p w14:paraId="1C3761B6">
            <w:pPr>
              <w:rPr>
                <w:rFonts w:ascii="仿宋" w:hAnsi="仿宋" w:eastAsia="仿宋" w:cs="Times New Roman"/>
                <w:color w:val="auto"/>
                <w:sz w:val="24"/>
                <w:szCs w:val="24"/>
              </w:rPr>
            </w:pPr>
          </w:p>
        </w:tc>
        <w:tc>
          <w:tcPr>
            <w:tcW w:w="1049" w:type="dxa"/>
            <w:tcBorders>
              <w:right w:val="single" w:color="auto" w:sz="12" w:space="0"/>
            </w:tcBorders>
            <w:noWrap w:val="0"/>
            <w:vAlign w:val="center"/>
          </w:tcPr>
          <w:p w14:paraId="72C9045C">
            <w:pPr>
              <w:rPr>
                <w:rFonts w:ascii="仿宋" w:hAnsi="仿宋" w:eastAsia="仿宋" w:cs="Times New Roman"/>
                <w:color w:val="auto"/>
                <w:sz w:val="24"/>
                <w:szCs w:val="24"/>
              </w:rPr>
            </w:pPr>
          </w:p>
        </w:tc>
      </w:tr>
      <w:tr w14:paraId="1C6F17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noWrap w:val="0"/>
            <w:vAlign w:val="center"/>
          </w:tcPr>
          <w:p w14:paraId="54937BD0">
            <w:pPr>
              <w:rPr>
                <w:rFonts w:ascii="仿宋" w:hAnsi="仿宋" w:eastAsia="仿宋" w:cs="Times New Roman"/>
                <w:color w:val="auto"/>
                <w:sz w:val="24"/>
                <w:szCs w:val="24"/>
              </w:rPr>
            </w:pPr>
          </w:p>
        </w:tc>
        <w:tc>
          <w:tcPr>
            <w:tcW w:w="969" w:type="dxa"/>
            <w:tcBorders>
              <w:left w:val="single" w:color="auto" w:sz="6" w:space="0"/>
            </w:tcBorders>
            <w:noWrap w:val="0"/>
            <w:vAlign w:val="center"/>
          </w:tcPr>
          <w:p w14:paraId="2CC015ED">
            <w:pPr>
              <w:rPr>
                <w:rFonts w:ascii="仿宋" w:hAnsi="仿宋" w:eastAsia="仿宋" w:cs="Times New Roman"/>
                <w:color w:val="auto"/>
                <w:sz w:val="24"/>
                <w:szCs w:val="24"/>
              </w:rPr>
            </w:pPr>
          </w:p>
        </w:tc>
        <w:tc>
          <w:tcPr>
            <w:tcW w:w="1260" w:type="dxa"/>
            <w:noWrap w:val="0"/>
            <w:vAlign w:val="center"/>
          </w:tcPr>
          <w:p w14:paraId="23426DA7">
            <w:pPr>
              <w:rPr>
                <w:rFonts w:ascii="仿宋" w:hAnsi="仿宋" w:eastAsia="仿宋" w:cs="Times New Roman"/>
                <w:color w:val="auto"/>
                <w:sz w:val="24"/>
                <w:szCs w:val="24"/>
              </w:rPr>
            </w:pPr>
          </w:p>
        </w:tc>
        <w:tc>
          <w:tcPr>
            <w:tcW w:w="1404" w:type="dxa"/>
            <w:gridSpan w:val="3"/>
            <w:noWrap w:val="0"/>
            <w:vAlign w:val="center"/>
          </w:tcPr>
          <w:p w14:paraId="57E10FFB">
            <w:pPr>
              <w:rPr>
                <w:rFonts w:ascii="仿宋" w:hAnsi="仿宋" w:eastAsia="仿宋" w:cs="Times New Roman"/>
                <w:color w:val="auto"/>
                <w:sz w:val="24"/>
                <w:szCs w:val="24"/>
              </w:rPr>
            </w:pPr>
          </w:p>
        </w:tc>
        <w:tc>
          <w:tcPr>
            <w:tcW w:w="1587" w:type="dxa"/>
            <w:gridSpan w:val="2"/>
            <w:noWrap w:val="0"/>
            <w:vAlign w:val="center"/>
          </w:tcPr>
          <w:p w14:paraId="2A0159AE">
            <w:pPr>
              <w:rPr>
                <w:rFonts w:ascii="仿宋" w:hAnsi="仿宋" w:eastAsia="仿宋" w:cs="Times New Roman"/>
                <w:color w:val="auto"/>
                <w:sz w:val="24"/>
                <w:szCs w:val="24"/>
              </w:rPr>
            </w:pPr>
          </w:p>
        </w:tc>
        <w:tc>
          <w:tcPr>
            <w:tcW w:w="1782" w:type="dxa"/>
            <w:gridSpan w:val="2"/>
            <w:noWrap w:val="0"/>
            <w:vAlign w:val="center"/>
          </w:tcPr>
          <w:p w14:paraId="6881F561">
            <w:pPr>
              <w:rPr>
                <w:rFonts w:ascii="仿宋" w:hAnsi="仿宋" w:eastAsia="仿宋" w:cs="Times New Roman"/>
                <w:color w:val="auto"/>
                <w:sz w:val="24"/>
                <w:szCs w:val="24"/>
              </w:rPr>
            </w:pPr>
          </w:p>
        </w:tc>
        <w:tc>
          <w:tcPr>
            <w:tcW w:w="1049" w:type="dxa"/>
            <w:tcBorders>
              <w:right w:val="single" w:color="auto" w:sz="12" w:space="0"/>
            </w:tcBorders>
            <w:noWrap w:val="0"/>
            <w:vAlign w:val="center"/>
          </w:tcPr>
          <w:p w14:paraId="3C7C169A">
            <w:pPr>
              <w:rPr>
                <w:rFonts w:ascii="仿宋" w:hAnsi="仿宋" w:eastAsia="仿宋" w:cs="Times New Roman"/>
                <w:color w:val="auto"/>
                <w:sz w:val="24"/>
                <w:szCs w:val="24"/>
              </w:rPr>
            </w:pPr>
          </w:p>
        </w:tc>
      </w:tr>
      <w:tr w14:paraId="5C55A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noWrap w:val="0"/>
            <w:vAlign w:val="center"/>
          </w:tcPr>
          <w:p w14:paraId="4A2DABD0">
            <w:pPr>
              <w:rPr>
                <w:rFonts w:ascii="仿宋" w:hAnsi="仿宋" w:eastAsia="仿宋" w:cs="Times New Roman"/>
                <w:color w:val="auto"/>
                <w:sz w:val="24"/>
                <w:szCs w:val="24"/>
              </w:rPr>
            </w:pPr>
          </w:p>
        </w:tc>
        <w:tc>
          <w:tcPr>
            <w:tcW w:w="969" w:type="dxa"/>
            <w:tcBorders>
              <w:left w:val="single" w:color="auto" w:sz="6" w:space="0"/>
            </w:tcBorders>
            <w:noWrap w:val="0"/>
            <w:vAlign w:val="center"/>
          </w:tcPr>
          <w:p w14:paraId="06BB9E0D">
            <w:pPr>
              <w:rPr>
                <w:rFonts w:ascii="仿宋" w:hAnsi="仿宋" w:eastAsia="仿宋" w:cs="Times New Roman"/>
                <w:color w:val="auto"/>
                <w:sz w:val="24"/>
                <w:szCs w:val="24"/>
              </w:rPr>
            </w:pPr>
          </w:p>
        </w:tc>
        <w:tc>
          <w:tcPr>
            <w:tcW w:w="1260" w:type="dxa"/>
            <w:noWrap w:val="0"/>
            <w:vAlign w:val="center"/>
          </w:tcPr>
          <w:p w14:paraId="783F154E">
            <w:pPr>
              <w:rPr>
                <w:rFonts w:ascii="仿宋" w:hAnsi="仿宋" w:eastAsia="仿宋" w:cs="Times New Roman"/>
                <w:color w:val="auto"/>
                <w:sz w:val="24"/>
                <w:szCs w:val="24"/>
              </w:rPr>
            </w:pPr>
          </w:p>
        </w:tc>
        <w:tc>
          <w:tcPr>
            <w:tcW w:w="1404" w:type="dxa"/>
            <w:gridSpan w:val="3"/>
            <w:noWrap w:val="0"/>
            <w:vAlign w:val="center"/>
          </w:tcPr>
          <w:p w14:paraId="65D74D54">
            <w:pPr>
              <w:rPr>
                <w:rFonts w:ascii="仿宋" w:hAnsi="仿宋" w:eastAsia="仿宋" w:cs="Times New Roman"/>
                <w:color w:val="auto"/>
                <w:sz w:val="24"/>
                <w:szCs w:val="24"/>
              </w:rPr>
            </w:pPr>
          </w:p>
        </w:tc>
        <w:tc>
          <w:tcPr>
            <w:tcW w:w="1587" w:type="dxa"/>
            <w:gridSpan w:val="2"/>
            <w:noWrap w:val="0"/>
            <w:vAlign w:val="center"/>
          </w:tcPr>
          <w:p w14:paraId="72CD506B">
            <w:pPr>
              <w:rPr>
                <w:rFonts w:ascii="仿宋" w:hAnsi="仿宋" w:eastAsia="仿宋" w:cs="Times New Roman"/>
                <w:color w:val="auto"/>
                <w:sz w:val="24"/>
                <w:szCs w:val="24"/>
              </w:rPr>
            </w:pPr>
          </w:p>
        </w:tc>
        <w:tc>
          <w:tcPr>
            <w:tcW w:w="1782" w:type="dxa"/>
            <w:gridSpan w:val="2"/>
            <w:noWrap w:val="0"/>
            <w:vAlign w:val="center"/>
          </w:tcPr>
          <w:p w14:paraId="42BAE21D">
            <w:pPr>
              <w:rPr>
                <w:rFonts w:ascii="仿宋" w:hAnsi="仿宋" w:eastAsia="仿宋" w:cs="Times New Roman"/>
                <w:color w:val="auto"/>
                <w:sz w:val="24"/>
                <w:szCs w:val="24"/>
              </w:rPr>
            </w:pPr>
          </w:p>
        </w:tc>
        <w:tc>
          <w:tcPr>
            <w:tcW w:w="1049" w:type="dxa"/>
            <w:tcBorders>
              <w:right w:val="single" w:color="auto" w:sz="12" w:space="0"/>
            </w:tcBorders>
            <w:noWrap w:val="0"/>
            <w:vAlign w:val="center"/>
          </w:tcPr>
          <w:p w14:paraId="5A4C9801">
            <w:pPr>
              <w:rPr>
                <w:rFonts w:ascii="仿宋" w:hAnsi="仿宋" w:eastAsia="仿宋" w:cs="Times New Roman"/>
                <w:color w:val="auto"/>
                <w:sz w:val="24"/>
                <w:szCs w:val="24"/>
              </w:rPr>
            </w:pPr>
          </w:p>
        </w:tc>
      </w:tr>
      <w:tr w14:paraId="409CA1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9185" w:type="dxa"/>
            <w:gridSpan w:val="11"/>
            <w:tcBorders>
              <w:top w:val="single" w:color="auto" w:sz="6" w:space="0"/>
              <w:left w:val="single" w:color="auto" w:sz="12" w:space="0"/>
              <w:bottom w:val="single" w:color="auto" w:sz="6" w:space="0"/>
              <w:right w:val="single" w:color="auto" w:sz="12" w:space="0"/>
            </w:tcBorders>
            <w:noWrap w:val="0"/>
            <w:vAlign w:val="center"/>
          </w:tcPr>
          <w:p w14:paraId="73B5A423">
            <w:pPr>
              <w:rPr>
                <w:rFonts w:ascii="仿宋" w:hAnsi="仿宋" w:eastAsia="仿宋" w:cs="Times New Roman"/>
                <w:color w:val="auto"/>
                <w:sz w:val="24"/>
                <w:szCs w:val="24"/>
              </w:rPr>
            </w:pPr>
            <w:r>
              <w:rPr>
                <w:rFonts w:ascii="仿宋" w:hAnsi="仿宋" w:eastAsia="仿宋" w:cs="仿宋"/>
                <w:color w:val="auto"/>
                <w:sz w:val="24"/>
                <w:szCs w:val="24"/>
              </w:rPr>
              <w:t>3</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rPr>
              <w:t>辅助人员</w:t>
            </w:r>
          </w:p>
        </w:tc>
      </w:tr>
      <w:tr w14:paraId="5872A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1134" w:type="dxa"/>
            <w:tcBorders>
              <w:top w:val="single" w:color="auto" w:sz="6" w:space="0"/>
              <w:left w:val="single" w:color="auto" w:sz="12" w:space="0"/>
              <w:bottom w:val="single" w:color="auto" w:sz="6" w:space="0"/>
              <w:right w:val="single" w:color="auto" w:sz="6" w:space="0"/>
            </w:tcBorders>
            <w:noWrap w:val="0"/>
            <w:vAlign w:val="center"/>
          </w:tcPr>
          <w:p w14:paraId="433FE264">
            <w:pPr>
              <w:jc w:val="center"/>
              <w:rPr>
                <w:rFonts w:ascii="仿宋" w:hAnsi="仿宋" w:eastAsia="仿宋" w:cs="Times New Roman"/>
                <w:color w:val="auto"/>
                <w:sz w:val="24"/>
                <w:szCs w:val="24"/>
              </w:rPr>
            </w:pPr>
            <w:r>
              <w:rPr>
                <w:rFonts w:hint="eastAsia" w:ascii="仿宋" w:hAnsi="仿宋" w:eastAsia="仿宋" w:cs="仿宋"/>
                <w:color w:val="auto"/>
                <w:sz w:val="24"/>
                <w:szCs w:val="24"/>
              </w:rPr>
              <w:t>姓名</w:t>
            </w:r>
          </w:p>
        </w:tc>
        <w:tc>
          <w:tcPr>
            <w:tcW w:w="969" w:type="dxa"/>
            <w:tcBorders>
              <w:left w:val="single" w:color="auto" w:sz="6" w:space="0"/>
            </w:tcBorders>
            <w:noWrap w:val="0"/>
            <w:vAlign w:val="center"/>
          </w:tcPr>
          <w:p w14:paraId="0928415B">
            <w:pPr>
              <w:jc w:val="center"/>
              <w:rPr>
                <w:rFonts w:ascii="仿宋" w:hAnsi="仿宋" w:eastAsia="仿宋" w:cs="Times New Roman"/>
                <w:color w:val="auto"/>
                <w:sz w:val="24"/>
                <w:szCs w:val="24"/>
              </w:rPr>
            </w:pPr>
            <w:r>
              <w:rPr>
                <w:rFonts w:hint="eastAsia" w:ascii="仿宋" w:hAnsi="仿宋" w:eastAsia="仿宋" w:cs="仿宋"/>
                <w:color w:val="auto"/>
                <w:sz w:val="24"/>
                <w:szCs w:val="24"/>
              </w:rPr>
              <w:t>年龄</w:t>
            </w:r>
          </w:p>
        </w:tc>
        <w:tc>
          <w:tcPr>
            <w:tcW w:w="1284" w:type="dxa"/>
            <w:gridSpan w:val="2"/>
            <w:tcBorders>
              <w:right w:val="single" w:color="auto" w:sz="2" w:space="0"/>
            </w:tcBorders>
            <w:noWrap w:val="0"/>
            <w:vAlign w:val="center"/>
          </w:tcPr>
          <w:p w14:paraId="3C941128">
            <w:pPr>
              <w:jc w:val="center"/>
              <w:rPr>
                <w:rFonts w:ascii="仿宋" w:hAnsi="仿宋" w:eastAsia="仿宋" w:cs="Times New Roman"/>
                <w:color w:val="auto"/>
                <w:sz w:val="24"/>
                <w:szCs w:val="24"/>
              </w:rPr>
            </w:pPr>
            <w:r>
              <w:rPr>
                <w:rFonts w:hint="eastAsia" w:ascii="仿宋" w:hAnsi="仿宋" w:eastAsia="仿宋" w:cs="仿宋"/>
                <w:color w:val="auto"/>
                <w:sz w:val="24"/>
                <w:szCs w:val="24"/>
              </w:rPr>
              <w:t>学历</w:t>
            </w:r>
          </w:p>
        </w:tc>
        <w:tc>
          <w:tcPr>
            <w:tcW w:w="1386" w:type="dxa"/>
            <w:gridSpan w:val="3"/>
            <w:tcBorders>
              <w:left w:val="single" w:color="auto" w:sz="2" w:space="0"/>
            </w:tcBorders>
            <w:noWrap w:val="0"/>
            <w:vAlign w:val="center"/>
          </w:tcPr>
          <w:p w14:paraId="4A8B9350">
            <w:pPr>
              <w:jc w:val="center"/>
              <w:rPr>
                <w:rFonts w:ascii="仿宋" w:hAnsi="仿宋" w:eastAsia="仿宋" w:cs="Times New Roman"/>
                <w:color w:val="auto"/>
                <w:sz w:val="24"/>
                <w:szCs w:val="24"/>
              </w:rPr>
            </w:pPr>
            <w:r>
              <w:rPr>
                <w:rFonts w:hint="eastAsia" w:ascii="仿宋" w:hAnsi="仿宋" w:eastAsia="仿宋" w:cs="仿宋"/>
                <w:color w:val="auto"/>
                <w:sz w:val="24"/>
                <w:szCs w:val="24"/>
              </w:rPr>
              <w:t>职称</w:t>
            </w:r>
          </w:p>
        </w:tc>
        <w:tc>
          <w:tcPr>
            <w:tcW w:w="1581" w:type="dxa"/>
            <w:noWrap w:val="0"/>
            <w:vAlign w:val="center"/>
          </w:tcPr>
          <w:p w14:paraId="56E72C53">
            <w:pPr>
              <w:spacing w:line="280" w:lineRule="exact"/>
              <w:jc w:val="center"/>
              <w:rPr>
                <w:rFonts w:ascii="仿宋" w:hAnsi="仿宋" w:eastAsia="仿宋" w:cs="Times New Roman"/>
                <w:color w:val="auto"/>
                <w:sz w:val="24"/>
                <w:szCs w:val="24"/>
              </w:rPr>
            </w:pPr>
            <w:r>
              <w:rPr>
                <w:rFonts w:hint="eastAsia" w:ascii="仿宋" w:hAnsi="仿宋" w:eastAsia="仿宋" w:cs="仿宋"/>
                <w:color w:val="auto"/>
                <w:sz w:val="24"/>
                <w:szCs w:val="24"/>
              </w:rPr>
              <w:t>从事类似项目工作年限</w:t>
            </w:r>
          </w:p>
        </w:tc>
        <w:tc>
          <w:tcPr>
            <w:tcW w:w="1782" w:type="dxa"/>
            <w:gridSpan w:val="2"/>
            <w:noWrap w:val="0"/>
            <w:vAlign w:val="center"/>
          </w:tcPr>
          <w:p w14:paraId="1617FE67">
            <w:pPr>
              <w:spacing w:line="240" w:lineRule="exact"/>
              <w:jc w:val="center"/>
              <w:rPr>
                <w:rFonts w:ascii="仿宋" w:hAnsi="仿宋" w:eastAsia="仿宋" w:cs="Times New Roman"/>
                <w:color w:val="auto"/>
                <w:sz w:val="24"/>
                <w:szCs w:val="24"/>
              </w:rPr>
            </w:pPr>
            <w:r>
              <w:rPr>
                <w:rFonts w:hint="eastAsia" w:ascii="仿宋" w:hAnsi="仿宋" w:eastAsia="仿宋" w:cs="仿宋"/>
                <w:color w:val="auto"/>
                <w:sz w:val="24"/>
                <w:szCs w:val="24"/>
              </w:rPr>
              <w:t>主要工作</w:t>
            </w:r>
          </w:p>
          <w:p w14:paraId="28F507CE">
            <w:pPr>
              <w:spacing w:line="240" w:lineRule="exact"/>
              <w:jc w:val="center"/>
              <w:rPr>
                <w:rFonts w:ascii="仿宋" w:hAnsi="仿宋" w:eastAsia="仿宋" w:cs="Times New Roman"/>
                <w:color w:val="auto"/>
                <w:sz w:val="24"/>
                <w:szCs w:val="24"/>
              </w:rPr>
            </w:pPr>
            <w:r>
              <w:rPr>
                <w:rFonts w:hint="eastAsia" w:ascii="仿宋" w:hAnsi="仿宋" w:eastAsia="仿宋" w:cs="仿宋"/>
                <w:color w:val="auto"/>
                <w:sz w:val="24"/>
                <w:szCs w:val="24"/>
              </w:rPr>
              <w:t>业绩和经历</w:t>
            </w:r>
          </w:p>
        </w:tc>
        <w:tc>
          <w:tcPr>
            <w:tcW w:w="1049" w:type="dxa"/>
            <w:tcBorders>
              <w:right w:val="single" w:color="auto" w:sz="12" w:space="0"/>
            </w:tcBorders>
            <w:noWrap w:val="0"/>
            <w:vAlign w:val="center"/>
          </w:tcPr>
          <w:p w14:paraId="6209DA68">
            <w:pPr>
              <w:spacing w:line="240" w:lineRule="exact"/>
              <w:jc w:val="center"/>
              <w:rPr>
                <w:rFonts w:ascii="仿宋" w:hAnsi="仿宋" w:eastAsia="仿宋" w:cs="Times New Roman"/>
                <w:color w:val="auto"/>
                <w:sz w:val="24"/>
                <w:szCs w:val="24"/>
              </w:rPr>
            </w:pPr>
            <w:r>
              <w:rPr>
                <w:rFonts w:hint="eastAsia" w:ascii="仿宋" w:hAnsi="仿宋" w:eastAsia="仿宋" w:cs="仿宋"/>
                <w:color w:val="auto"/>
                <w:sz w:val="24"/>
                <w:szCs w:val="24"/>
              </w:rPr>
              <w:t>当前</w:t>
            </w:r>
          </w:p>
          <w:p w14:paraId="062399F2">
            <w:pPr>
              <w:spacing w:line="240" w:lineRule="exact"/>
              <w:jc w:val="center"/>
              <w:rPr>
                <w:rFonts w:ascii="仿宋" w:hAnsi="仿宋" w:eastAsia="仿宋" w:cs="Times New Roman"/>
                <w:color w:val="auto"/>
                <w:sz w:val="24"/>
                <w:szCs w:val="24"/>
              </w:rPr>
            </w:pPr>
            <w:r>
              <w:rPr>
                <w:rFonts w:hint="eastAsia" w:ascii="仿宋" w:hAnsi="仿宋" w:eastAsia="仿宋" w:cs="仿宋"/>
                <w:color w:val="auto"/>
                <w:sz w:val="24"/>
                <w:szCs w:val="24"/>
              </w:rPr>
              <w:t>分工</w:t>
            </w:r>
          </w:p>
        </w:tc>
      </w:tr>
      <w:tr w14:paraId="1A315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noWrap w:val="0"/>
            <w:vAlign w:val="center"/>
          </w:tcPr>
          <w:p w14:paraId="00F649AB">
            <w:pPr>
              <w:rPr>
                <w:rFonts w:ascii="仿宋" w:hAnsi="仿宋" w:eastAsia="仿宋" w:cs="Times New Roman"/>
                <w:color w:val="auto"/>
                <w:sz w:val="24"/>
                <w:szCs w:val="24"/>
              </w:rPr>
            </w:pPr>
          </w:p>
        </w:tc>
        <w:tc>
          <w:tcPr>
            <w:tcW w:w="969" w:type="dxa"/>
            <w:tcBorders>
              <w:left w:val="single" w:color="auto" w:sz="6" w:space="0"/>
            </w:tcBorders>
            <w:noWrap w:val="0"/>
            <w:vAlign w:val="center"/>
          </w:tcPr>
          <w:p w14:paraId="6D89F41E">
            <w:pPr>
              <w:rPr>
                <w:rFonts w:ascii="仿宋" w:hAnsi="仿宋" w:eastAsia="仿宋" w:cs="Times New Roman"/>
                <w:color w:val="auto"/>
                <w:sz w:val="24"/>
                <w:szCs w:val="24"/>
              </w:rPr>
            </w:pPr>
          </w:p>
        </w:tc>
        <w:tc>
          <w:tcPr>
            <w:tcW w:w="1284" w:type="dxa"/>
            <w:gridSpan w:val="2"/>
            <w:tcBorders>
              <w:right w:val="single" w:color="auto" w:sz="2" w:space="0"/>
            </w:tcBorders>
            <w:noWrap w:val="0"/>
            <w:vAlign w:val="center"/>
          </w:tcPr>
          <w:p w14:paraId="0BF782F4">
            <w:pPr>
              <w:rPr>
                <w:rFonts w:ascii="仿宋" w:hAnsi="仿宋" w:eastAsia="仿宋" w:cs="Times New Roman"/>
                <w:color w:val="auto"/>
                <w:sz w:val="24"/>
                <w:szCs w:val="24"/>
              </w:rPr>
            </w:pPr>
          </w:p>
        </w:tc>
        <w:tc>
          <w:tcPr>
            <w:tcW w:w="1386" w:type="dxa"/>
            <w:gridSpan w:val="3"/>
            <w:tcBorders>
              <w:left w:val="single" w:color="auto" w:sz="2" w:space="0"/>
            </w:tcBorders>
            <w:noWrap w:val="0"/>
            <w:vAlign w:val="center"/>
          </w:tcPr>
          <w:p w14:paraId="4FF7A32B">
            <w:pPr>
              <w:rPr>
                <w:rFonts w:ascii="仿宋" w:hAnsi="仿宋" w:eastAsia="仿宋" w:cs="Times New Roman"/>
                <w:color w:val="auto"/>
                <w:sz w:val="24"/>
                <w:szCs w:val="24"/>
              </w:rPr>
            </w:pPr>
          </w:p>
        </w:tc>
        <w:tc>
          <w:tcPr>
            <w:tcW w:w="1581" w:type="dxa"/>
            <w:noWrap w:val="0"/>
            <w:vAlign w:val="center"/>
          </w:tcPr>
          <w:p w14:paraId="4AF40393">
            <w:pPr>
              <w:rPr>
                <w:rFonts w:ascii="仿宋" w:hAnsi="仿宋" w:eastAsia="仿宋" w:cs="Times New Roman"/>
                <w:color w:val="auto"/>
                <w:sz w:val="24"/>
                <w:szCs w:val="24"/>
              </w:rPr>
            </w:pPr>
          </w:p>
        </w:tc>
        <w:tc>
          <w:tcPr>
            <w:tcW w:w="1782" w:type="dxa"/>
            <w:gridSpan w:val="2"/>
            <w:noWrap w:val="0"/>
            <w:vAlign w:val="center"/>
          </w:tcPr>
          <w:p w14:paraId="7DE734A5">
            <w:pPr>
              <w:rPr>
                <w:rFonts w:ascii="仿宋" w:hAnsi="仿宋" w:eastAsia="仿宋" w:cs="Times New Roman"/>
                <w:color w:val="auto"/>
                <w:sz w:val="24"/>
                <w:szCs w:val="24"/>
              </w:rPr>
            </w:pPr>
          </w:p>
        </w:tc>
        <w:tc>
          <w:tcPr>
            <w:tcW w:w="1049" w:type="dxa"/>
            <w:tcBorders>
              <w:right w:val="single" w:color="auto" w:sz="12" w:space="0"/>
            </w:tcBorders>
            <w:noWrap w:val="0"/>
            <w:vAlign w:val="center"/>
          </w:tcPr>
          <w:p w14:paraId="68B44F7C">
            <w:pPr>
              <w:rPr>
                <w:rFonts w:ascii="仿宋" w:hAnsi="仿宋" w:eastAsia="仿宋" w:cs="Times New Roman"/>
                <w:color w:val="auto"/>
                <w:sz w:val="24"/>
                <w:szCs w:val="24"/>
              </w:rPr>
            </w:pPr>
          </w:p>
        </w:tc>
      </w:tr>
      <w:tr w14:paraId="3684E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noWrap w:val="0"/>
            <w:vAlign w:val="center"/>
          </w:tcPr>
          <w:p w14:paraId="5FDED4D8">
            <w:pPr>
              <w:rPr>
                <w:rFonts w:ascii="仿宋" w:hAnsi="仿宋" w:eastAsia="仿宋" w:cs="Times New Roman"/>
                <w:color w:val="auto"/>
                <w:sz w:val="24"/>
                <w:szCs w:val="24"/>
              </w:rPr>
            </w:pPr>
          </w:p>
        </w:tc>
        <w:tc>
          <w:tcPr>
            <w:tcW w:w="969" w:type="dxa"/>
            <w:tcBorders>
              <w:left w:val="single" w:color="auto" w:sz="6" w:space="0"/>
            </w:tcBorders>
            <w:noWrap w:val="0"/>
            <w:vAlign w:val="center"/>
          </w:tcPr>
          <w:p w14:paraId="6F230992">
            <w:pPr>
              <w:rPr>
                <w:rFonts w:ascii="仿宋" w:hAnsi="仿宋" w:eastAsia="仿宋" w:cs="Times New Roman"/>
                <w:color w:val="auto"/>
                <w:sz w:val="24"/>
                <w:szCs w:val="24"/>
              </w:rPr>
            </w:pPr>
          </w:p>
        </w:tc>
        <w:tc>
          <w:tcPr>
            <w:tcW w:w="1284" w:type="dxa"/>
            <w:gridSpan w:val="2"/>
            <w:tcBorders>
              <w:right w:val="single" w:color="auto" w:sz="2" w:space="0"/>
            </w:tcBorders>
            <w:noWrap w:val="0"/>
            <w:vAlign w:val="center"/>
          </w:tcPr>
          <w:p w14:paraId="7C705F51">
            <w:pPr>
              <w:rPr>
                <w:rFonts w:ascii="仿宋" w:hAnsi="仿宋" w:eastAsia="仿宋" w:cs="Times New Roman"/>
                <w:color w:val="auto"/>
                <w:sz w:val="24"/>
                <w:szCs w:val="24"/>
              </w:rPr>
            </w:pPr>
          </w:p>
        </w:tc>
        <w:tc>
          <w:tcPr>
            <w:tcW w:w="1386" w:type="dxa"/>
            <w:gridSpan w:val="3"/>
            <w:tcBorders>
              <w:left w:val="single" w:color="auto" w:sz="2" w:space="0"/>
            </w:tcBorders>
            <w:noWrap w:val="0"/>
            <w:vAlign w:val="center"/>
          </w:tcPr>
          <w:p w14:paraId="75C823EF">
            <w:pPr>
              <w:rPr>
                <w:rFonts w:ascii="仿宋" w:hAnsi="仿宋" w:eastAsia="仿宋" w:cs="Times New Roman"/>
                <w:color w:val="auto"/>
                <w:sz w:val="24"/>
                <w:szCs w:val="24"/>
              </w:rPr>
            </w:pPr>
          </w:p>
        </w:tc>
        <w:tc>
          <w:tcPr>
            <w:tcW w:w="1581" w:type="dxa"/>
            <w:noWrap w:val="0"/>
            <w:vAlign w:val="center"/>
          </w:tcPr>
          <w:p w14:paraId="72134F30">
            <w:pPr>
              <w:rPr>
                <w:rFonts w:ascii="仿宋" w:hAnsi="仿宋" w:eastAsia="仿宋" w:cs="Times New Roman"/>
                <w:color w:val="auto"/>
                <w:sz w:val="24"/>
                <w:szCs w:val="24"/>
              </w:rPr>
            </w:pPr>
          </w:p>
        </w:tc>
        <w:tc>
          <w:tcPr>
            <w:tcW w:w="1782" w:type="dxa"/>
            <w:gridSpan w:val="2"/>
            <w:noWrap w:val="0"/>
            <w:vAlign w:val="center"/>
          </w:tcPr>
          <w:p w14:paraId="4B4E9098">
            <w:pPr>
              <w:rPr>
                <w:rFonts w:ascii="仿宋" w:hAnsi="仿宋" w:eastAsia="仿宋" w:cs="Times New Roman"/>
                <w:color w:val="auto"/>
                <w:sz w:val="24"/>
                <w:szCs w:val="24"/>
              </w:rPr>
            </w:pPr>
          </w:p>
        </w:tc>
        <w:tc>
          <w:tcPr>
            <w:tcW w:w="1049" w:type="dxa"/>
            <w:tcBorders>
              <w:right w:val="single" w:color="auto" w:sz="12" w:space="0"/>
            </w:tcBorders>
            <w:noWrap w:val="0"/>
            <w:vAlign w:val="center"/>
          </w:tcPr>
          <w:p w14:paraId="7C113459">
            <w:pPr>
              <w:rPr>
                <w:rFonts w:ascii="仿宋" w:hAnsi="仿宋" w:eastAsia="仿宋" w:cs="Times New Roman"/>
                <w:color w:val="auto"/>
                <w:sz w:val="24"/>
                <w:szCs w:val="24"/>
              </w:rPr>
            </w:pPr>
          </w:p>
        </w:tc>
      </w:tr>
      <w:tr w14:paraId="6A876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noWrap w:val="0"/>
            <w:vAlign w:val="center"/>
          </w:tcPr>
          <w:p w14:paraId="0BA68C43">
            <w:pPr>
              <w:rPr>
                <w:rFonts w:ascii="仿宋" w:hAnsi="仿宋" w:eastAsia="仿宋" w:cs="Times New Roman"/>
                <w:color w:val="auto"/>
                <w:sz w:val="24"/>
                <w:szCs w:val="24"/>
              </w:rPr>
            </w:pPr>
          </w:p>
        </w:tc>
        <w:tc>
          <w:tcPr>
            <w:tcW w:w="969" w:type="dxa"/>
            <w:tcBorders>
              <w:left w:val="single" w:color="auto" w:sz="6" w:space="0"/>
            </w:tcBorders>
            <w:noWrap w:val="0"/>
            <w:vAlign w:val="center"/>
          </w:tcPr>
          <w:p w14:paraId="38E268C6">
            <w:pPr>
              <w:rPr>
                <w:rFonts w:ascii="仿宋" w:hAnsi="仿宋" w:eastAsia="仿宋" w:cs="Times New Roman"/>
                <w:color w:val="auto"/>
                <w:sz w:val="24"/>
                <w:szCs w:val="24"/>
              </w:rPr>
            </w:pPr>
          </w:p>
        </w:tc>
        <w:tc>
          <w:tcPr>
            <w:tcW w:w="1284" w:type="dxa"/>
            <w:gridSpan w:val="2"/>
            <w:tcBorders>
              <w:right w:val="single" w:color="auto" w:sz="2" w:space="0"/>
            </w:tcBorders>
            <w:noWrap w:val="0"/>
            <w:vAlign w:val="center"/>
          </w:tcPr>
          <w:p w14:paraId="275D9BF1">
            <w:pPr>
              <w:rPr>
                <w:rFonts w:ascii="仿宋" w:hAnsi="仿宋" w:eastAsia="仿宋" w:cs="Times New Roman"/>
                <w:color w:val="auto"/>
                <w:sz w:val="24"/>
                <w:szCs w:val="24"/>
              </w:rPr>
            </w:pPr>
          </w:p>
        </w:tc>
        <w:tc>
          <w:tcPr>
            <w:tcW w:w="1386" w:type="dxa"/>
            <w:gridSpan w:val="3"/>
            <w:tcBorders>
              <w:left w:val="single" w:color="auto" w:sz="2" w:space="0"/>
            </w:tcBorders>
            <w:noWrap w:val="0"/>
            <w:vAlign w:val="center"/>
          </w:tcPr>
          <w:p w14:paraId="71FAFAD1">
            <w:pPr>
              <w:rPr>
                <w:rFonts w:ascii="仿宋" w:hAnsi="仿宋" w:eastAsia="仿宋" w:cs="Times New Roman"/>
                <w:color w:val="auto"/>
                <w:sz w:val="24"/>
                <w:szCs w:val="24"/>
              </w:rPr>
            </w:pPr>
          </w:p>
        </w:tc>
        <w:tc>
          <w:tcPr>
            <w:tcW w:w="1581" w:type="dxa"/>
            <w:noWrap w:val="0"/>
            <w:vAlign w:val="center"/>
          </w:tcPr>
          <w:p w14:paraId="68969000">
            <w:pPr>
              <w:rPr>
                <w:rFonts w:ascii="仿宋" w:hAnsi="仿宋" w:eastAsia="仿宋" w:cs="Times New Roman"/>
                <w:color w:val="auto"/>
                <w:sz w:val="24"/>
                <w:szCs w:val="24"/>
              </w:rPr>
            </w:pPr>
          </w:p>
        </w:tc>
        <w:tc>
          <w:tcPr>
            <w:tcW w:w="1782" w:type="dxa"/>
            <w:gridSpan w:val="2"/>
            <w:noWrap w:val="0"/>
            <w:vAlign w:val="center"/>
          </w:tcPr>
          <w:p w14:paraId="6724563E">
            <w:pPr>
              <w:rPr>
                <w:rFonts w:ascii="仿宋" w:hAnsi="仿宋" w:eastAsia="仿宋" w:cs="Times New Roman"/>
                <w:color w:val="auto"/>
                <w:sz w:val="24"/>
                <w:szCs w:val="24"/>
              </w:rPr>
            </w:pPr>
          </w:p>
        </w:tc>
        <w:tc>
          <w:tcPr>
            <w:tcW w:w="1049" w:type="dxa"/>
            <w:tcBorders>
              <w:right w:val="single" w:color="auto" w:sz="12" w:space="0"/>
            </w:tcBorders>
            <w:noWrap w:val="0"/>
            <w:vAlign w:val="center"/>
          </w:tcPr>
          <w:p w14:paraId="6634856F">
            <w:pPr>
              <w:rPr>
                <w:rFonts w:ascii="仿宋" w:hAnsi="仿宋" w:eastAsia="仿宋" w:cs="Times New Roman"/>
                <w:color w:val="auto"/>
                <w:sz w:val="24"/>
                <w:szCs w:val="24"/>
              </w:rPr>
            </w:pPr>
          </w:p>
        </w:tc>
      </w:tr>
      <w:tr w14:paraId="1FDCE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12" w:space="0"/>
              <w:right w:val="single" w:color="auto" w:sz="6" w:space="0"/>
            </w:tcBorders>
            <w:noWrap w:val="0"/>
            <w:vAlign w:val="center"/>
          </w:tcPr>
          <w:p w14:paraId="483FDC87">
            <w:pPr>
              <w:jc w:val="center"/>
              <w:rPr>
                <w:rFonts w:ascii="仿宋" w:hAnsi="仿宋" w:eastAsia="仿宋" w:cs="Times New Roman"/>
                <w:color w:val="auto"/>
                <w:sz w:val="24"/>
                <w:szCs w:val="24"/>
              </w:rPr>
            </w:pPr>
            <w:r>
              <w:rPr>
                <w:rFonts w:hint="eastAsia" w:ascii="仿宋" w:hAnsi="仿宋" w:eastAsia="仿宋" w:cs="仿宋"/>
                <w:color w:val="auto"/>
                <w:sz w:val="24"/>
                <w:szCs w:val="24"/>
              </w:rPr>
              <w:t>备注</w:t>
            </w:r>
          </w:p>
        </w:tc>
        <w:tc>
          <w:tcPr>
            <w:tcW w:w="8051" w:type="dxa"/>
            <w:gridSpan w:val="10"/>
            <w:tcBorders>
              <w:left w:val="single" w:color="auto" w:sz="6" w:space="0"/>
              <w:bottom w:val="single" w:color="auto" w:sz="12" w:space="0"/>
              <w:right w:val="single" w:color="auto" w:sz="12" w:space="0"/>
            </w:tcBorders>
            <w:noWrap w:val="0"/>
            <w:vAlign w:val="center"/>
          </w:tcPr>
          <w:p w14:paraId="5F29B123">
            <w:pPr>
              <w:rPr>
                <w:rFonts w:ascii="仿宋" w:hAnsi="仿宋" w:eastAsia="仿宋" w:cs="Times New Roman"/>
                <w:color w:val="auto"/>
                <w:sz w:val="24"/>
                <w:szCs w:val="24"/>
              </w:rPr>
            </w:pPr>
            <w:r>
              <w:rPr>
                <w:rFonts w:hint="eastAsia" w:ascii="仿宋" w:hAnsi="仿宋" w:eastAsia="仿宋" w:cs="仿宋"/>
                <w:color w:val="auto"/>
                <w:sz w:val="24"/>
                <w:szCs w:val="24"/>
              </w:rPr>
              <w:t>表格空间不足时请自行扩展。</w:t>
            </w:r>
          </w:p>
        </w:tc>
      </w:tr>
    </w:tbl>
    <w:p w14:paraId="67815D71">
      <w:pPr>
        <w:rPr>
          <w:rFonts w:hint="eastAsia" w:eastAsia="华文仿宋"/>
          <w:color w:val="auto"/>
          <w:lang w:val="en-US" w:eastAsia="zh-CN"/>
        </w:rPr>
      </w:pPr>
    </w:p>
    <w:sectPr>
      <w:headerReference r:id="rId15" w:type="default"/>
      <w:footerReference r:id="rId16" w:type="default"/>
      <w:pgSz w:w="11906" w:h="16838"/>
      <w:pgMar w:top="1304" w:right="1418" w:bottom="1304" w:left="1418" w:header="851" w:footer="794" w:gutter="0"/>
      <w:pgNumType w:fmt="decimal" w:chapStyle="1"/>
      <w:cols w:space="720" w:num="1"/>
      <w:docGrid w:type="linesAndChars" w:linePitch="381" w:charSpace="70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D2DFDB90-D427-43F5-86FC-DBCA5CA35CD8}"/>
  </w:font>
  <w:font w:name="黑体">
    <w:panose1 w:val="02010609060101010101"/>
    <w:charset w:val="86"/>
    <w:family w:val="auto"/>
    <w:pitch w:val="default"/>
    <w:sig w:usb0="800002BF" w:usb1="38CF7CFA" w:usb2="00000016" w:usb3="00000000" w:csb0="00040001" w:csb1="00000000"/>
    <w:embedRegular r:id="rId2" w:fontKey="{6D9BEFA4-4247-45E8-A2C5-EC464B5F9D7A}"/>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embedRegular r:id="rId3" w:fontKey="{96ACF9AE-3BEC-45A1-B25A-5AFDB3CF0D6D}"/>
  </w:font>
  <w:font w:name="Calibri Light">
    <w:panose1 w:val="020F0302020204030204"/>
    <w:charset w:val="00"/>
    <w:family w:val="swiss"/>
    <w:pitch w:val="default"/>
    <w:sig w:usb0="E0002AFF" w:usb1="C000247B" w:usb2="00000009" w:usb3="00000000" w:csb0="200001FF" w:csb1="00000000"/>
    <w:embedRegular r:id="rId4" w:fontKey="{536EB5E6-6A48-4783-A180-082ADF693B60}"/>
  </w:font>
  <w:font w:name="华文仿宋">
    <w:panose1 w:val="02010600040101010101"/>
    <w:charset w:val="86"/>
    <w:family w:val="auto"/>
    <w:pitch w:val="default"/>
    <w:sig w:usb0="00000287" w:usb1="080F0000" w:usb2="00000000" w:usb3="00000000" w:csb0="0004009F" w:csb1="DFD70000"/>
    <w:embedRegular r:id="rId5" w:fontKey="{BD58996E-18D8-4FE6-BD4D-A8F61D9445C2}"/>
  </w:font>
  <w:font w:name="仿宋">
    <w:panose1 w:val="02010609060101010101"/>
    <w:charset w:val="86"/>
    <w:family w:val="modern"/>
    <w:pitch w:val="default"/>
    <w:sig w:usb0="800002BF" w:usb1="38CF7CFA" w:usb2="00000016" w:usb3="00000000" w:csb0="00040001" w:csb1="00000000"/>
    <w:embedRegular r:id="rId6" w:fontKey="{FD45FD4A-C529-4DAD-A355-CAA1BF31E317}"/>
  </w:font>
  <w:font w:name="幼圆">
    <w:altName w:val="宋体"/>
    <w:panose1 w:val="02010509060101010101"/>
    <w:charset w:val="86"/>
    <w:family w:val="modern"/>
    <w:pitch w:val="default"/>
    <w:sig w:usb0="00000000" w:usb1="00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楷体_GB2312">
    <w:panose1 w:val="02010609030101010101"/>
    <w:charset w:val="86"/>
    <w:family w:val="modern"/>
    <w:pitch w:val="default"/>
    <w:sig w:usb0="00000001" w:usb1="080E0000" w:usb2="00000000" w:usb3="00000000" w:csb0="00040000"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Arial (W1)">
    <w:altName w:val="Arial"/>
    <w:panose1 w:val="00000000000000000000"/>
    <w:charset w:val="00"/>
    <w:family w:val="swiss"/>
    <w:pitch w:val="default"/>
    <w:sig w:usb0="00000000" w:usb1="00000000" w:usb2="00000008" w:usb3="00000000" w:csb0="000001FF" w:csb1="00000000"/>
  </w:font>
  <w:font w:name="等线">
    <w:panose1 w:val="02010600030101010101"/>
    <w:charset w:val="86"/>
    <w:family w:val="auto"/>
    <w:pitch w:val="default"/>
    <w:sig w:usb0="A00002BF" w:usb1="38CF7CFA" w:usb2="00000016" w:usb3="00000000" w:csb0="0004000F" w:csb1="00000000"/>
  </w:font>
  <w:font w:name="华文中宋">
    <w:altName w:val="宋体"/>
    <w:panose1 w:val="02010600040101010101"/>
    <w:charset w:val="86"/>
    <w:family w:val="auto"/>
    <w:pitch w:val="default"/>
    <w:sig w:usb0="00000000" w:usb1="00000000" w:usb2="00000000" w:usb3="00000000" w:csb0="0004009F" w:csb1="DFD70000"/>
    <w:embedRegular r:id="rId7" w:fontKey="{7C161E7F-5B60-4A90-A796-1F4678E0E607}"/>
  </w:font>
  <w:font w:name="仿宋_GB2312">
    <w:panose1 w:val="02010609030101010101"/>
    <w:charset w:val="86"/>
    <w:family w:val="modern"/>
    <w:pitch w:val="default"/>
    <w:sig w:usb0="00000001" w:usb1="080E0000" w:usb2="00000000" w:usb3="00000000" w:csb0="00040000" w:csb1="00000000"/>
    <w:embedRegular r:id="rId8" w:fontKey="{33A0A6D8-5C18-4001-8F26-32CDED78DD74}"/>
  </w:font>
  <w:font w:name="微软雅黑">
    <w:panose1 w:val="020B0503020204020204"/>
    <w:charset w:val="86"/>
    <w:family w:val="auto"/>
    <w:pitch w:val="default"/>
    <w:sig w:usb0="80000287" w:usb1="2ACF3C50" w:usb2="00000016" w:usb3="00000000" w:csb0="0004001F" w:csb1="00000000"/>
    <w:embedRegular r:id="rId9" w:fontKey="{FCB43206-6D04-4C7A-9FA6-01A2164A8CED}"/>
  </w:font>
  <w:font w:name="CESI仿宋-GB13000">
    <w:altName w:val="仿宋"/>
    <w:panose1 w:val="02000500000000000000"/>
    <w:charset w:val="86"/>
    <w:family w:val="auto"/>
    <w:pitch w:val="default"/>
    <w:sig w:usb0="00000000" w:usb1="00000000" w:usb2="00000016" w:usb3="00000000" w:csb0="0004000F" w:csb1="00000000"/>
    <w:embedRegular r:id="rId10" w:fontKey="{C62828B2-5657-4276-AA79-CE60DBAF282D}"/>
  </w:font>
  <w:font w:name="KSOF9675F26C">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DF06D8">
    <w:pPr>
      <w:pStyle w:val="17"/>
      <w:jc w:val="center"/>
      <w:rPr>
        <w:sz w:val="21"/>
        <w:szCs w:val="21"/>
      </w:rPr>
    </w:pPr>
  </w:p>
  <w:p w14:paraId="49C1EC10">
    <w:pPr>
      <w:pStyle w:val="1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3C82EA">
    <w:pPr>
      <w:pStyle w:val="17"/>
      <w:jc w:val="center"/>
      <w:rPr>
        <w:sz w:val="21"/>
        <w:szCs w:val="21"/>
      </w:rPr>
    </w:pPr>
  </w:p>
  <w:p w14:paraId="6BB5A686">
    <w:pPr>
      <w:pStyle w:val="1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26D392">
    <w:pPr>
      <w:pStyle w:val="17"/>
      <w:tabs>
        <w:tab w:val="clear" w:pos="4153"/>
        <w:tab w:val="clear" w:pos="8306"/>
      </w:tabs>
      <w:rPr>
        <w:rFonts w:ascii="宋体"/>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141D64">
                          <w:pPr>
                            <w:pStyle w:val="17"/>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ZBvR4rAgAAVQQAAA4AAABkcnMvZTJvRG9jLnhtbK1UzW4TMRC+I/EO&#10;lu900yCqKMqmCo2CkCJaqSDOjtebXcl/sifdDQ8Ab8CJC3eeK8/B5/1JUeHQAxfv2DP+Zr5vxru4&#10;bo1mDyrE2tmcX15MOFNWuqK2+5x/+rh5NeMskrCF0M6qnB9V5NfLly8WjZ+rqaucLlRgALFx3vic&#10;V0R+nmVRVsqIeOG8snCWLhhB2IZ9VgTRAN3obDqZXGWNC4UPTqoYcbrunXxADM8BdGVZS7V28mCU&#10;pR41KC0IlGJV+8iXXbVlqSTdlmVUxHTOwZS6FUlg79KaLRdivg/CV7UcShDPKeEJJyNqi6RnqLUg&#10;wQ6h/gvK1DK46Eq6kM5kPZFOEbC4nDzR5r4SXnVcIHX0Z9Hj/4OVHx7uAqsLTAJnVhg0/PT92+nH&#10;r9PPr2ya5Gl8nCPq3iOO2reuTaHDecRhYt2WwaQv+DD4Ie7xLK5qicl0aTadzSZwSfjGDXCyx+s+&#10;RHqnnGHJyHlA9zpRxcM2Uh86hqRs1m1qrXEu5tqyJudXr99MugtnD8C1RY5Eoi82WdTu2oHBzhVH&#10;EAuun4zo5aZG8q2IdCcCRgEF47HQLZZSOyRxg8VZ5cKXf52neHQIXs4ajFbOLV4SZ/q9RecASKMR&#10;RmM3GvZgbhxmFd1ALZ2JC4H0aJbBmc94QauUAy5hJTLlnEbzhvrxxguUarXqgjBrXtDW3nuZoJNi&#10;0a8OBAE7XZMovRKDVpi2rjPDy0jj/Oe+i3r8Gyx/A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mQb0eKwIAAFUEAAAOAAAAAAAAAAEAIAAAAB8BAABkcnMvZTJvRG9jLnhtbFBLBQYAAAAABgAG&#10;AFkBAAC8BQAAAAA=&#10;">
              <v:fill on="f" focussize="0,0"/>
              <v:stroke on="f" weight="0.5pt"/>
              <v:imagedata o:title=""/>
              <o:lock v:ext="edit" aspectratio="f"/>
              <v:textbox inset="0mm,0mm,0mm,0mm" style="mso-fit-shape-to-text:t;">
                <w:txbxContent>
                  <w:p w14:paraId="0B141D64">
                    <w:pPr>
                      <w:pStyle w:val="17"/>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p w14:paraId="4D454EDB">
    <w:pPr>
      <w:pStyle w:val="17"/>
      <w:tabs>
        <w:tab w:val="clear" w:pos="4153"/>
        <w:tab w:val="clear" w:pos="8306"/>
      </w:tabs>
      <w:ind w:right="-2"/>
      <w:jc w:val="both"/>
      <w:rPr>
        <w:rFonts w:ascii="宋体"/>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40D543">
    <w:pPr>
      <w:pStyle w:val="17"/>
      <w:tabs>
        <w:tab w:val="center" w:pos="4536"/>
        <w:tab w:val="right" w:pos="10489"/>
        <w:tab w:val="clear" w:pos="4153"/>
        <w:tab w:val="clear" w:pos="8306"/>
      </w:tabs>
      <w:rPr>
        <w:rFonts w:ascii="宋体"/>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3C174F81">
                          <w:pPr>
                            <w:pStyle w:val="17"/>
                            <w:rPr>
                              <w:rFonts w:hint="eastAsia" w:eastAsia="华文仿宋"/>
                              <w:lang w:eastAsia="zh-CN"/>
                            </w:rPr>
                          </w:pPr>
                          <w:r>
                            <w:rPr>
                              <w:rFonts w:hint="eastAsia" w:eastAsia="华文仿宋"/>
                              <w:lang w:eastAsia="zh-CN"/>
                            </w:rPr>
                            <w:t xml:space="preserve">第 </w:t>
                          </w:r>
                          <w:r>
                            <w:rPr>
                              <w:rFonts w:hint="eastAsia" w:eastAsia="华文仿宋"/>
                              <w:lang w:eastAsia="zh-CN"/>
                            </w:rPr>
                            <w:fldChar w:fldCharType="begin"/>
                          </w:r>
                          <w:r>
                            <w:rPr>
                              <w:rFonts w:hint="eastAsia" w:eastAsia="华文仿宋"/>
                              <w:lang w:eastAsia="zh-CN"/>
                            </w:rPr>
                            <w:instrText xml:space="preserve"> PAGE  \* MERGEFORMAT </w:instrText>
                          </w:r>
                          <w:r>
                            <w:rPr>
                              <w:rFonts w:hint="eastAsia" w:eastAsia="华文仿宋"/>
                              <w:lang w:eastAsia="zh-CN"/>
                            </w:rPr>
                            <w:fldChar w:fldCharType="separate"/>
                          </w:r>
                          <w:r>
                            <w:rPr>
                              <w:rFonts w:hint="eastAsia" w:eastAsia="华文仿宋"/>
                              <w:lang w:eastAsia="zh-CN"/>
                            </w:rPr>
                            <w:t>16</w:t>
                          </w:r>
                          <w:r>
                            <w:rPr>
                              <w:rFonts w:hint="eastAsia" w:eastAsia="华文仿宋"/>
                              <w:lang w:eastAsia="zh-CN"/>
                            </w:rPr>
                            <w:fldChar w:fldCharType="end"/>
                          </w:r>
                          <w:r>
                            <w:rPr>
                              <w:rFonts w:hint="eastAsia" w:eastAsia="华文仿宋"/>
                              <w:lang w:eastAsia="zh-CN"/>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pE+ZcxAgAAY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eUaKbQ8Mv3b5cf&#10;vy4/v5JJlKexfo6onUVcaN+aFkMz3HtcRtZt6VT8BR8CP8Q9X8UVbSA8PppNZ7MxXBy+4QD87PG5&#10;dT68E0aRaOTUoXtJVHba+tCFDiExmzabWsrUQalJk9Ob12/G6cHVA3CpY6xIs9DDREpd6dEK7b7t&#10;ee5NcQZNZ7o58ZZvapSyZT48MIfBQPlYnXCPTykNUpreoqQy7su/7mM8+gUvJQ0GLacae0WJfK/R&#10;RwCGwXCDsR8MfVR3BpM7wUpankw8cEEOZumM+ox9WsUccDHNkSmnYTDvQjfs2EcuVqsUhMmzLGz1&#10;zvIIHeXxdnUMkDOpHEXplEB34gGzl/rU70kc7j/PKerx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aRPmXMQIAAGMEAAAOAAAAAAAAAAEAIAAAAB8BAABkcnMvZTJvRG9jLnhtbFBLBQYA&#10;AAAABgAGAFkBAADCBQAAAAA=&#10;">
              <v:fill on="f" focussize="0,0"/>
              <v:stroke on="f" weight="0.5pt"/>
              <v:imagedata o:title=""/>
              <o:lock v:ext="edit" aspectratio="f"/>
              <v:textbox inset="0mm,0mm,0mm,0mm" style="mso-fit-shape-to-text:t;">
                <w:txbxContent>
                  <w:p w14:paraId="3C174F81">
                    <w:pPr>
                      <w:pStyle w:val="17"/>
                      <w:rPr>
                        <w:rFonts w:hint="eastAsia" w:eastAsia="华文仿宋"/>
                        <w:lang w:eastAsia="zh-CN"/>
                      </w:rPr>
                    </w:pPr>
                    <w:r>
                      <w:rPr>
                        <w:rFonts w:hint="eastAsia" w:eastAsia="华文仿宋"/>
                        <w:lang w:eastAsia="zh-CN"/>
                      </w:rPr>
                      <w:t xml:space="preserve">第 </w:t>
                    </w:r>
                    <w:r>
                      <w:rPr>
                        <w:rFonts w:hint="eastAsia" w:eastAsia="华文仿宋"/>
                        <w:lang w:eastAsia="zh-CN"/>
                      </w:rPr>
                      <w:fldChar w:fldCharType="begin"/>
                    </w:r>
                    <w:r>
                      <w:rPr>
                        <w:rFonts w:hint="eastAsia" w:eastAsia="华文仿宋"/>
                        <w:lang w:eastAsia="zh-CN"/>
                      </w:rPr>
                      <w:instrText xml:space="preserve"> PAGE  \* MERGEFORMAT </w:instrText>
                    </w:r>
                    <w:r>
                      <w:rPr>
                        <w:rFonts w:hint="eastAsia" w:eastAsia="华文仿宋"/>
                        <w:lang w:eastAsia="zh-CN"/>
                      </w:rPr>
                      <w:fldChar w:fldCharType="separate"/>
                    </w:r>
                    <w:r>
                      <w:rPr>
                        <w:rFonts w:hint="eastAsia" w:eastAsia="华文仿宋"/>
                        <w:lang w:eastAsia="zh-CN"/>
                      </w:rPr>
                      <w:t>16</w:t>
                    </w:r>
                    <w:r>
                      <w:rPr>
                        <w:rFonts w:hint="eastAsia" w:eastAsia="华文仿宋"/>
                        <w:lang w:eastAsia="zh-CN"/>
                      </w:rPr>
                      <w:fldChar w:fldCharType="end"/>
                    </w:r>
                    <w:r>
                      <w:rPr>
                        <w:rFonts w:hint="eastAsia" w:eastAsia="华文仿宋"/>
                        <w:lang w:eastAsia="zh-CN"/>
                      </w:rP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9FCC06">
    <w:pPr>
      <w:pStyle w:val="17"/>
      <w:tabs>
        <w:tab w:val="clear" w:pos="4153"/>
        <w:tab w:val="clear" w:pos="8306"/>
      </w:tabs>
      <w:rPr>
        <w:rFonts w:ascii="宋体"/>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AE80EE7">
                          <w:pPr>
                            <w:pStyle w:val="17"/>
                          </w:pPr>
                          <w:r>
                            <w:t xml:space="preserve">第 </w:t>
                          </w:r>
                          <w:r>
                            <w:fldChar w:fldCharType="begin"/>
                          </w:r>
                          <w:r>
                            <w:instrText xml:space="preserve"> PAGE  \* MERGEFORMAT </w:instrText>
                          </w:r>
                          <w:r>
                            <w:fldChar w:fldCharType="separate"/>
                          </w:r>
                          <w:r>
                            <w:t>17</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9RK1MsAgAAVQQAAA4AAABkcnMvZTJvRG9jLnhtbK1UzY7TMBC+I/EO&#10;lu80aRd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peR3la62eIerCIC91b06FphnOPw8i6q5yKX/Ah8EPc40Vc0QXC46XpZDrN4eLwDRvgZ4/X&#10;rfPhnTCKRKOgDtVLorLDxoc+dAiJ2bRZN1KmCkpN2oJeX73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j1ErUywCAABVBAAADgAAAAAAAAABACAAAAAfAQAAZHJzL2Uyb0RvYy54bWxQSwUGAAAAAAYA&#10;BgBZAQAAvQUAAAAA&#10;">
              <v:fill on="f" focussize="0,0"/>
              <v:stroke on="f" weight="0.5pt"/>
              <v:imagedata o:title=""/>
              <o:lock v:ext="edit" aspectratio="f"/>
              <v:textbox inset="0mm,0mm,0mm,0mm" style="mso-fit-shape-to-text:t;">
                <w:txbxContent>
                  <w:p w14:paraId="0AE80EE7">
                    <w:pPr>
                      <w:pStyle w:val="17"/>
                    </w:pPr>
                    <w:r>
                      <w:t xml:space="preserve">第 </w:t>
                    </w:r>
                    <w:r>
                      <w:fldChar w:fldCharType="begin"/>
                    </w:r>
                    <w:r>
                      <w:instrText xml:space="preserve"> PAGE  \* MERGEFORMAT </w:instrText>
                    </w:r>
                    <w:r>
                      <w:fldChar w:fldCharType="separate"/>
                    </w:r>
                    <w:r>
                      <w:t>17</w:t>
                    </w:r>
                    <w:r>
                      <w:fldChar w:fldCharType="end"/>
                    </w:r>
                    <w:r>
                      <w:t xml:space="preserve"> 页</w:t>
                    </w:r>
                  </w:p>
                </w:txbxContent>
              </v:textbox>
            </v:shape>
          </w:pict>
        </mc:Fallback>
      </mc:AlternateContent>
    </w:r>
  </w:p>
  <w:p w14:paraId="16A98A5D">
    <w:pPr>
      <w:pStyle w:val="17"/>
      <w:tabs>
        <w:tab w:val="clear" w:pos="4153"/>
        <w:tab w:val="clear" w:pos="8306"/>
      </w:tabs>
      <w:ind w:right="-2"/>
      <w:jc w:val="both"/>
      <w:rPr>
        <w:rFonts w:ascii="宋体"/>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EAC146">
    <w:pPr>
      <w:pStyle w:val="18"/>
      <w:tabs>
        <w:tab w:val="left" w:pos="368"/>
      </w:tabs>
      <w:jc w:val="center"/>
      <w:rPr>
        <w:rFonts w:hint="eastAsia" w:ascii="Calibri" w:hAnsi="Calibri"/>
        <w:b w:val="0"/>
        <w:bCs w:val="0"/>
        <w:color w:val="auto"/>
        <w:szCs w:val="20"/>
        <w:lang w:eastAsia="zh-CN"/>
      </w:rPr>
    </w:pPr>
    <w:r>
      <w:rPr>
        <w:rFonts w:hint="eastAsia" w:ascii="Calibri" w:hAnsi="Calibri"/>
        <w:b w:val="0"/>
        <w:bCs w:val="0"/>
        <w:color w:val="auto"/>
        <w:szCs w:val="20"/>
        <w:lang w:val="en-US" w:eastAsia="zh-CN"/>
      </w:rPr>
      <w:t>延安职业技术学院2026年-2028年校园绿化管护及环境卫生保洁采购项目</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AC4337">
    <w:pPr>
      <w:pStyle w:val="18"/>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30AE60">
    <w:pPr>
      <w:pStyle w:val="18"/>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2B687F">
    <w:pPr>
      <w:pStyle w:val="18"/>
      <w:tabs>
        <w:tab w:val="left" w:pos="368"/>
      </w:tabs>
      <w:jc w:val="center"/>
      <w:rPr>
        <w:rFonts w:hint="eastAsia" w:ascii="Calibri" w:hAnsi="Calibri"/>
        <w:b w:val="0"/>
        <w:bCs w:val="0"/>
        <w:color w:val="auto"/>
        <w:szCs w:val="20"/>
        <w:lang w:eastAsia="zh-CN"/>
      </w:rPr>
    </w:pPr>
  </w:p>
  <w:p w14:paraId="3A74AD51">
    <w:pPr>
      <w:pStyle w:val="18"/>
      <w:tabs>
        <w:tab w:val="left" w:pos="368"/>
      </w:tabs>
      <w:jc w:val="center"/>
      <w:rPr>
        <w:rFonts w:hint="eastAsia" w:ascii="Calibri" w:hAnsi="Calibri"/>
        <w:b w:val="0"/>
        <w:bCs w:val="0"/>
        <w:color w:val="auto"/>
        <w:szCs w:val="20"/>
        <w:lang w:eastAsia="zh-CN"/>
      </w:rPr>
    </w:pPr>
    <w:r>
      <w:rPr>
        <w:rFonts w:hint="eastAsia" w:ascii="Calibri" w:hAnsi="Calibri"/>
        <w:b w:val="0"/>
        <w:bCs w:val="0"/>
        <w:color w:val="auto"/>
        <w:szCs w:val="20"/>
        <w:lang w:val="en-US" w:eastAsia="zh-CN"/>
      </w:rPr>
      <w:t>延安职业技术学院2026年-2028年校园绿化管护及环境卫生保洁采购项目</w:t>
    </w:r>
  </w:p>
  <w:p w14:paraId="6F5C12A4">
    <w:pPr>
      <w:pStyle w:val="18"/>
      <w:pBdr>
        <w:bottom w:val="none" w:color="auto" w:sz="0" w:space="1"/>
      </w:pBdr>
      <w:jc w:val="both"/>
      <w:rPr>
        <w:rFonts w:ascii="华文仿宋" w:hAnsi="华文仿宋" w:eastAsia="华文仿宋" w:cs="华文仿宋"/>
        <w:sz w:val="21"/>
        <w:szCs w:val="21"/>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5CCE19">
    <w:pPr>
      <w:pStyle w:val="18"/>
      <w:rPr>
        <w:rFonts w:hint="eastAsia"/>
        <w:b w:val="0"/>
        <w:bCs w:val="0"/>
        <w:lang w:eastAsia="zh-CN"/>
      </w:rPr>
    </w:pPr>
    <w:r>
      <w:rPr>
        <w:rFonts w:hint="eastAsia"/>
        <w:b w:val="0"/>
        <w:bCs w:val="0"/>
        <w:lang w:val="en-US" w:eastAsia="zh-CN"/>
      </w:rPr>
      <w:t>延安职业技术学院2026年-2028年校园绿化管护及环境卫生保洁采购项目</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B7B14A">
    <w:pPr>
      <w:pStyle w:val="18"/>
    </w:pPr>
    <w:r>
      <w:rPr>
        <w:rFonts w:hint="eastAsia"/>
        <w:b w:val="0"/>
        <w:bCs w:val="0"/>
        <w:lang w:val="en-US" w:eastAsia="zh-CN"/>
      </w:rPr>
      <w:t>延安职业技术学院2026年-2028年校园绿化管护及环境卫生保洁采购项目</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BAC080">
    <w:pPr>
      <w:pStyle w:val="18"/>
    </w:pPr>
    <w:r>
      <w:rPr>
        <w:rFonts w:hint="eastAsia"/>
        <w:lang w:val="en-US" w:eastAsia="zh-CN"/>
      </w:rPr>
      <w:t>延安职业技术学院2026年-2028年校园绿化管护及环境卫生保洁采购项目</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1D76C24"/>
    <w:multiLevelType w:val="singleLevel"/>
    <w:tmpl w:val="A1D76C24"/>
    <w:lvl w:ilvl="0" w:tentative="0">
      <w:start w:val="2"/>
      <w:numFmt w:val="decimal"/>
      <w:suff w:val="space"/>
      <w:lvlText w:val="%1."/>
      <w:lvlJc w:val="left"/>
    </w:lvl>
  </w:abstractNum>
  <w:abstractNum w:abstractNumId="1">
    <w:nsid w:val="B4A6E07F"/>
    <w:multiLevelType w:val="singleLevel"/>
    <w:tmpl w:val="B4A6E07F"/>
    <w:lvl w:ilvl="0" w:tentative="0">
      <w:start w:val="2"/>
      <w:numFmt w:val="decimal"/>
      <w:lvlText w:val="%1."/>
      <w:lvlJc w:val="left"/>
      <w:pPr>
        <w:tabs>
          <w:tab w:val="left" w:pos="312"/>
        </w:tabs>
      </w:pPr>
    </w:lvl>
  </w:abstractNum>
  <w:abstractNum w:abstractNumId="2">
    <w:nsid w:val="B849589E"/>
    <w:multiLevelType w:val="singleLevel"/>
    <w:tmpl w:val="B849589E"/>
    <w:lvl w:ilvl="0" w:tentative="0">
      <w:start w:val="1"/>
      <w:numFmt w:val="chineseCounting"/>
      <w:suff w:val="nothing"/>
      <w:lvlText w:val="%1、"/>
      <w:lvlJc w:val="left"/>
      <w:rPr>
        <w:rFonts w:hint="eastAsia"/>
      </w:rPr>
    </w:lvl>
  </w:abstractNum>
  <w:abstractNum w:abstractNumId="3">
    <w:nsid w:val="C8353354"/>
    <w:multiLevelType w:val="singleLevel"/>
    <w:tmpl w:val="C8353354"/>
    <w:lvl w:ilvl="0" w:tentative="0">
      <w:start w:val="1"/>
      <w:numFmt w:val="decimal"/>
      <w:suff w:val="nothing"/>
      <w:lvlText w:val="%1、"/>
      <w:lvlJc w:val="left"/>
    </w:lvl>
  </w:abstractNum>
  <w:abstractNum w:abstractNumId="4">
    <w:nsid w:val="CB34A4AD"/>
    <w:multiLevelType w:val="singleLevel"/>
    <w:tmpl w:val="CB34A4AD"/>
    <w:lvl w:ilvl="0" w:tentative="0">
      <w:start w:val="1"/>
      <w:numFmt w:val="decimal"/>
      <w:pStyle w:val="6"/>
      <w:lvlText w:val="%1."/>
      <w:lvlJc w:val="left"/>
      <w:pPr>
        <w:tabs>
          <w:tab w:val="left" w:pos="780"/>
        </w:tabs>
        <w:ind w:left="780" w:hanging="360"/>
      </w:pPr>
    </w:lvl>
  </w:abstractNum>
  <w:abstractNum w:abstractNumId="5">
    <w:nsid w:val="00000008"/>
    <w:multiLevelType w:val="singleLevel"/>
    <w:tmpl w:val="00000008"/>
    <w:lvl w:ilvl="0" w:tentative="0">
      <w:start w:val="2"/>
      <w:numFmt w:val="chineseCounting"/>
      <w:suff w:val="nothing"/>
      <w:lvlText w:val="（%1）"/>
      <w:lvlJc w:val="left"/>
      <w:rPr>
        <w:rFonts w:hint="eastAsia"/>
      </w:rPr>
    </w:lvl>
  </w:abstractNum>
  <w:abstractNum w:abstractNumId="6">
    <w:nsid w:val="0000000C"/>
    <w:multiLevelType w:val="multilevel"/>
    <w:tmpl w:val="0000000C"/>
    <w:lvl w:ilvl="0" w:tentative="0">
      <w:start w:val="1"/>
      <w:numFmt w:val="chineseCountingThousand"/>
      <w:suff w:val="space"/>
      <w:lvlText w:val="%1. "/>
      <w:lvlJc w:val="left"/>
      <w:pPr>
        <w:ind w:left="907" w:hanging="907"/>
      </w:pPr>
      <w:rPr>
        <w:rFonts w:hint="eastAsia"/>
      </w:rPr>
    </w:lvl>
    <w:lvl w:ilvl="1" w:tentative="0">
      <w:start w:val="1"/>
      <w:numFmt w:val="decimal"/>
      <w:suff w:val="space"/>
      <w:lvlText w:val="%1.%2 "/>
      <w:lvlJc w:val="left"/>
      <w:pPr>
        <w:ind w:left="794" w:hanging="794"/>
      </w:p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68"/>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7">
    <w:nsid w:val="33A643BA"/>
    <w:multiLevelType w:val="singleLevel"/>
    <w:tmpl w:val="33A643BA"/>
    <w:lvl w:ilvl="0" w:tentative="0">
      <w:start w:val="4"/>
      <w:numFmt w:val="chineseCounting"/>
      <w:suff w:val="space"/>
      <w:lvlText w:val="第%1章"/>
      <w:lvlJc w:val="left"/>
      <w:rPr>
        <w:rFonts w:hint="eastAsia"/>
      </w:rPr>
    </w:lvl>
  </w:abstractNum>
  <w:abstractNum w:abstractNumId="8">
    <w:nsid w:val="57AC316F"/>
    <w:multiLevelType w:val="singleLevel"/>
    <w:tmpl w:val="57AC316F"/>
    <w:lvl w:ilvl="0" w:tentative="0">
      <w:start w:val="5"/>
      <w:numFmt w:val="chineseCounting"/>
      <w:suff w:val="nothing"/>
      <w:lvlText w:val="（%1）"/>
      <w:lvlJc w:val="left"/>
      <w:rPr>
        <w:rFonts w:hint="eastAsia"/>
      </w:rPr>
    </w:lvl>
  </w:abstractNum>
  <w:num w:numId="1">
    <w:abstractNumId w:val="4"/>
  </w:num>
  <w:num w:numId="2">
    <w:abstractNumId w:val="6"/>
  </w:num>
  <w:num w:numId="3">
    <w:abstractNumId w:val="2"/>
  </w:num>
  <w:num w:numId="4">
    <w:abstractNumId w:val="8"/>
  </w:num>
  <w:num w:numId="5">
    <w:abstractNumId w:val="3"/>
  </w:num>
  <w:num w:numId="6">
    <w:abstractNumId w:val="7"/>
  </w:num>
  <w:num w:numId="7">
    <w:abstractNumId w:val="0"/>
  </w:num>
  <w:num w:numId="8">
    <w:abstractNumId w:val="1"/>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TrueTypeFonts/>
  <w:saveSubsetFonts/>
  <w:bordersDoNotSurroundHeader w:val="1"/>
  <w:bordersDoNotSurroundFooter w:val="1"/>
  <w:documentProtection w:enforcement="0"/>
  <w:defaultTabStop w:val="420"/>
  <w:drawingGridVerticalSpacing w:val="156"/>
  <w:displayHorizontalDrawingGridEvery w:val="1"/>
  <w:displayVerticalDrawingGridEvery w:val="1"/>
  <w:characterSpacingControl w:val="compressPunctuation"/>
  <w:hdrShapeDefaults>
    <o:shapelayout v:ext="edit">
      <o:idmap v:ext="edit" data="3"/>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cwNjc5YzE1YTllY2ZjNjUxYjcwZmNmOTgzMzdiNmUifQ=="/>
    <w:docVar w:name="KSO_WPS_MARK_KEY" w:val="54c13c8d-24b6-41b2-8d3d-49c482db0a9f"/>
  </w:docVars>
  <w:rsids>
    <w:rsidRoot w:val="00692EAE"/>
    <w:rsid w:val="00014E92"/>
    <w:rsid w:val="00065D43"/>
    <w:rsid w:val="00073BB2"/>
    <w:rsid w:val="000833F9"/>
    <w:rsid w:val="0009534E"/>
    <w:rsid w:val="000A7059"/>
    <w:rsid w:val="0012448A"/>
    <w:rsid w:val="001475E5"/>
    <w:rsid w:val="0018052B"/>
    <w:rsid w:val="001A2E8D"/>
    <w:rsid w:val="001E1327"/>
    <w:rsid w:val="001E3EB8"/>
    <w:rsid w:val="0027334D"/>
    <w:rsid w:val="002A216D"/>
    <w:rsid w:val="002B44FD"/>
    <w:rsid w:val="002F7DC1"/>
    <w:rsid w:val="00332D2C"/>
    <w:rsid w:val="00396E9F"/>
    <w:rsid w:val="003D4D7A"/>
    <w:rsid w:val="0044098B"/>
    <w:rsid w:val="00464C0B"/>
    <w:rsid w:val="00465BBD"/>
    <w:rsid w:val="004B48CF"/>
    <w:rsid w:val="004B77AD"/>
    <w:rsid w:val="004C7FF8"/>
    <w:rsid w:val="004E68E8"/>
    <w:rsid w:val="00532B0B"/>
    <w:rsid w:val="005563CB"/>
    <w:rsid w:val="00585353"/>
    <w:rsid w:val="0059791F"/>
    <w:rsid w:val="005F0F64"/>
    <w:rsid w:val="005F765D"/>
    <w:rsid w:val="00655102"/>
    <w:rsid w:val="00692EAE"/>
    <w:rsid w:val="0075573B"/>
    <w:rsid w:val="0076232D"/>
    <w:rsid w:val="00767AC4"/>
    <w:rsid w:val="007B4982"/>
    <w:rsid w:val="00857A2D"/>
    <w:rsid w:val="008E4665"/>
    <w:rsid w:val="00903331"/>
    <w:rsid w:val="009C512B"/>
    <w:rsid w:val="00A57F30"/>
    <w:rsid w:val="00A61A14"/>
    <w:rsid w:val="00A65ED7"/>
    <w:rsid w:val="00AC791D"/>
    <w:rsid w:val="00AD5045"/>
    <w:rsid w:val="00AE5B21"/>
    <w:rsid w:val="00B9653C"/>
    <w:rsid w:val="00BB255E"/>
    <w:rsid w:val="00BC6751"/>
    <w:rsid w:val="00C347BF"/>
    <w:rsid w:val="00C6664C"/>
    <w:rsid w:val="00CF2BFF"/>
    <w:rsid w:val="00D835D3"/>
    <w:rsid w:val="00DD674B"/>
    <w:rsid w:val="00DE42F9"/>
    <w:rsid w:val="00E8375A"/>
    <w:rsid w:val="00E973CF"/>
    <w:rsid w:val="00EB1E59"/>
    <w:rsid w:val="00EB49E3"/>
    <w:rsid w:val="00EF5331"/>
    <w:rsid w:val="00F05259"/>
    <w:rsid w:val="00F134FF"/>
    <w:rsid w:val="00F243A8"/>
    <w:rsid w:val="00F326A4"/>
    <w:rsid w:val="00F4497D"/>
    <w:rsid w:val="00F47026"/>
    <w:rsid w:val="012A2737"/>
    <w:rsid w:val="012F5F9F"/>
    <w:rsid w:val="01421AD5"/>
    <w:rsid w:val="01436DE7"/>
    <w:rsid w:val="014868D6"/>
    <w:rsid w:val="015E0632"/>
    <w:rsid w:val="01611507"/>
    <w:rsid w:val="017356AF"/>
    <w:rsid w:val="019125FC"/>
    <w:rsid w:val="01987FE8"/>
    <w:rsid w:val="01A77037"/>
    <w:rsid w:val="01B70CC2"/>
    <w:rsid w:val="02005B8D"/>
    <w:rsid w:val="021926DF"/>
    <w:rsid w:val="021D229B"/>
    <w:rsid w:val="021F6013"/>
    <w:rsid w:val="022D1D0C"/>
    <w:rsid w:val="02303DD4"/>
    <w:rsid w:val="02486813"/>
    <w:rsid w:val="02637735"/>
    <w:rsid w:val="02647ECA"/>
    <w:rsid w:val="02785A4B"/>
    <w:rsid w:val="028E0814"/>
    <w:rsid w:val="029512D4"/>
    <w:rsid w:val="02963DFC"/>
    <w:rsid w:val="02A77926"/>
    <w:rsid w:val="02AD361F"/>
    <w:rsid w:val="02B667DD"/>
    <w:rsid w:val="02BF3353"/>
    <w:rsid w:val="02C1356F"/>
    <w:rsid w:val="02C74C71"/>
    <w:rsid w:val="02CB1CF7"/>
    <w:rsid w:val="02D5625F"/>
    <w:rsid w:val="02DC2156"/>
    <w:rsid w:val="02E62FD5"/>
    <w:rsid w:val="02EC30BD"/>
    <w:rsid w:val="02F036FA"/>
    <w:rsid w:val="02F327FE"/>
    <w:rsid w:val="03092397"/>
    <w:rsid w:val="03244FD8"/>
    <w:rsid w:val="03327FC8"/>
    <w:rsid w:val="03443858"/>
    <w:rsid w:val="036B5288"/>
    <w:rsid w:val="037979A5"/>
    <w:rsid w:val="039842CF"/>
    <w:rsid w:val="039D7B38"/>
    <w:rsid w:val="039E431A"/>
    <w:rsid w:val="03A4569A"/>
    <w:rsid w:val="03A762C0"/>
    <w:rsid w:val="03E219EE"/>
    <w:rsid w:val="03E2554B"/>
    <w:rsid w:val="040B7160"/>
    <w:rsid w:val="041C56B0"/>
    <w:rsid w:val="042C2C6A"/>
    <w:rsid w:val="04310280"/>
    <w:rsid w:val="043A7135"/>
    <w:rsid w:val="04401935"/>
    <w:rsid w:val="044704D0"/>
    <w:rsid w:val="04471640"/>
    <w:rsid w:val="04484651"/>
    <w:rsid w:val="044C6E68"/>
    <w:rsid w:val="045F4DED"/>
    <w:rsid w:val="046A44ED"/>
    <w:rsid w:val="046B19E4"/>
    <w:rsid w:val="046C750A"/>
    <w:rsid w:val="04706FFA"/>
    <w:rsid w:val="04A10F62"/>
    <w:rsid w:val="04A30D95"/>
    <w:rsid w:val="04C33949"/>
    <w:rsid w:val="04C410F4"/>
    <w:rsid w:val="04C50E82"/>
    <w:rsid w:val="04D806FC"/>
    <w:rsid w:val="04FE63B4"/>
    <w:rsid w:val="050369E9"/>
    <w:rsid w:val="050634BB"/>
    <w:rsid w:val="05067755"/>
    <w:rsid w:val="05284D91"/>
    <w:rsid w:val="052B2F21"/>
    <w:rsid w:val="052D4EEB"/>
    <w:rsid w:val="053C512E"/>
    <w:rsid w:val="053D2CF7"/>
    <w:rsid w:val="053F077B"/>
    <w:rsid w:val="05421C37"/>
    <w:rsid w:val="054229B7"/>
    <w:rsid w:val="0543026B"/>
    <w:rsid w:val="055F3D0E"/>
    <w:rsid w:val="057E7A8F"/>
    <w:rsid w:val="059E49D5"/>
    <w:rsid w:val="05AB5E10"/>
    <w:rsid w:val="05C23886"/>
    <w:rsid w:val="05C3315A"/>
    <w:rsid w:val="05C6234C"/>
    <w:rsid w:val="05C8248C"/>
    <w:rsid w:val="05DB1295"/>
    <w:rsid w:val="05DC0DD7"/>
    <w:rsid w:val="05FC7001"/>
    <w:rsid w:val="06071298"/>
    <w:rsid w:val="060B06C8"/>
    <w:rsid w:val="060F2843"/>
    <w:rsid w:val="061439B5"/>
    <w:rsid w:val="06231E4A"/>
    <w:rsid w:val="063D115E"/>
    <w:rsid w:val="064F49ED"/>
    <w:rsid w:val="066F6E3E"/>
    <w:rsid w:val="0679513B"/>
    <w:rsid w:val="067F229B"/>
    <w:rsid w:val="06CC597B"/>
    <w:rsid w:val="06E23AB3"/>
    <w:rsid w:val="070E2AFA"/>
    <w:rsid w:val="070E4D5E"/>
    <w:rsid w:val="07100621"/>
    <w:rsid w:val="0718536E"/>
    <w:rsid w:val="071A5F0E"/>
    <w:rsid w:val="071B7BAD"/>
    <w:rsid w:val="073B6F6F"/>
    <w:rsid w:val="07520C39"/>
    <w:rsid w:val="075D53D7"/>
    <w:rsid w:val="07AE6410"/>
    <w:rsid w:val="07B31723"/>
    <w:rsid w:val="07BE62CF"/>
    <w:rsid w:val="07C35693"/>
    <w:rsid w:val="07CB36FF"/>
    <w:rsid w:val="07F25288"/>
    <w:rsid w:val="082425D6"/>
    <w:rsid w:val="083B347B"/>
    <w:rsid w:val="083D5445"/>
    <w:rsid w:val="083F3B30"/>
    <w:rsid w:val="08470072"/>
    <w:rsid w:val="084A5DB4"/>
    <w:rsid w:val="08602EE2"/>
    <w:rsid w:val="08665568"/>
    <w:rsid w:val="08674270"/>
    <w:rsid w:val="087A63D0"/>
    <w:rsid w:val="087D1CE6"/>
    <w:rsid w:val="08803584"/>
    <w:rsid w:val="088C1A79"/>
    <w:rsid w:val="089112ED"/>
    <w:rsid w:val="08935065"/>
    <w:rsid w:val="08A07782"/>
    <w:rsid w:val="08A2799E"/>
    <w:rsid w:val="08C65134"/>
    <w:rsid w:val="08D55065"/>
    <w:rsid w:val="08E409A9"/>
    <w:rsid w:val="091B0441"/>
    <w:rsid w:val="09280F5B"/>
    <w:rsid w:val="09592106"/>
    <w:rsid w:val="096A04BC"/>
    <w:rsid w:val="097A6225"/>
    <w:rsid w:val="09C5548B"/>
    <w:rsid w:val="09CF47C3"/>
    <w:rsid w:val="09EA59EB"/>
    <w:rsid w:val="09F91840"/>
    <w:rsid w:val="0A051A16"/>
    <w:rsid w:val="0A0C672F"/>
    <w:rsid w:val="0A120031"/>
    <w:rsid w:val="0A1246B0"/>
    <w:rsid w:val="0A1B6D7D"/>
    <w:rsid w:val="0A2500D2"/>
    <w:rsid w:val="0A3E54A5"/>
    <w:rsid w:val="0A466107"/>
    <w:rsid w:val="0A4A5BF8"/>
    <w:rsid w:val="0A782765"/>
    <w:rsid w:val="0A8D0153"/>
    <w:rsid w:val="0AB1211B"/>
    <w:rsid w:val="0AB15C77"/>
    <w:rsid w:val="0AD11E75"/>
    <w:rsid w:val="0AD656DD"/>
    <w:rsid w:val="0AE222D4"/>
    <w:rsid w:val="0AE34A90"/>
    <w:rsid w:val="0AFB3396"/>
    <w:rsid w:val="0B112BB9"/>
    <w:rsid w:val="0B2621C1"/>
    <w:rsid w:val="0B2B5A29"/>
    <w:rsid w:val="0B440899"/>
    <w:rsid w:val="0B4A355A"/>
    <w:rsid w:val="0B770C6E"/>
    <w:rsid w:val="0B8E4BB5"/>
    <w:rsid w:val="0B937B18"/>
    <w:rsid w:val="0BA13F3D"/>
    <w:rsid w:val="0BCA092D"/>
    <w:rsid w:val="0BCA5242"/>
    <w:rsid w:val="0BDE0CED"/>
    <w:rsid w:val="0BDE6F3F"/>
    <w:rsid w:val="0BE107DE"/>
    <w:rsid w:val="0C0E7E79"/>
    <w:rsid w:val="0C2448DD"/>
    <w:rsid w:val="0C28767C"/>
    <w:rsid w:val="0C2E330B"/>
    <w:rsid w:val="0C3923C8"/>
    <w:rsid w:val="0C6311F3"/>
    <w:rsid w:val="0C801DA5"/>
    <w:rsid w:val="0CB212DF"/>
    <w:rsid w:val="0CBD6B55"/>
    <w:rsid w:val="0CD36378"/>
    <w:rsid w:val="0CDF07EB"/>
    <w:rsid w:val="0CE157B5"/>
    <w:rsid w:val="0CE40585"/>
    <w:rsid w:val="0CE560AB"/>
    <w:rsid w:val="0CEC7AB2"/>
    <w:rsid w:val="0CF42D28"/>
    <w:rsid w:val="0CFE46F5"/>
    <w:rsid w:val="0D067D90"/>
    <w:rsid w:val="0D074274"/>
    <w:rsid w:val="0D116EA1"/>
    <w:rsid w:val="0D1B387B"/>
    <w:rsid w:val="0D1C7D1F"/>
    <w:rsid w:val="0D1F336B"/>
    <w:rsid w:val="0D224C0A"/>
    <w:rsid w:val="0D2C7836"/>
    <w:rsid w:val="0D3A05F9"/>
    <w:rsid w:val="0D5116CB"/>
    <w:rsid w:val="0D613984"/>
    <w:rsid w:val="0D6B65B1"/>
    <w:rsid w:val="0D7C1107"/>
    <w:rsid w:val="0D8442CC"/>
    <w:rsid w:val="0D9755F8"/>
    <w:rsid w:val="0DA675E9"/>
    <w:rsid w:val="0DDC300B"/>
    <w:rsid w:val="0DE45C36"/>
    <w:rsid w:val="0DFF319D"/>
    <w:rsid w:val="0E2310E6"/>
    <w:rsid w:val="0E26072A"/>
    <w:rsid w:val="0E303356"/>
    <w:rsid w:val="0E3E5A73"/>
    <w:rsid w:val="0E401CB6"/>
    <w:rsid w:val="0E4D3F08"/>
    <w:rsid w:val="0E59465B"/>
    <w:rsid w:val="0E611762"/>
    <w:rsid w:val="0E6B438E"/>
    <w:rsid w:val="0E853D3D"/>
    <w:rsid w:val="0E9F20E3"/>
    <w:rsid w:val="0EA0672E"/>
    <w:rsid w:val="0EE24587"/>
    <w:rsid w:val="0EEC3721"/>
    <w:rsid w:val="0EEF3211"/>
    <w:rsid w:val="0EF379BC"/>
    <w:rsid w:val="0F0132A6"/>
    <w:rsid w:val="0F024CF3"/>
    <w:rsid w:val="0F0526A1"/>
    <w:rsid w:val="0F081EC3"/>
    <w:rsid w:val="0F0944D6"/>
    <w:rsid w:val="0F451D76"/>
    <w:rsid w:val="0F607BE9"/>
    <w:rsid w:val="0F7014AD"/>
    <w:rsid w:val="0F7A2ADB"/>
    <w:rsid w:val="0F87344A"/>
    <w:rsid w:val="0FB73D2F"/>
    <w:rsid w:val="0FCD76AD"/>
    <w:rsid w:val="0FD22917"/>
    <w:rsid w:val="0FDF5034"/>
    <w:rsid w:val="0FEB1C2B"/>
    <w:rsid w:val="0FED3F88"/>
    <w:rsid w:val="0FF85943"/>
    <w:rsid w:val="10015A45"/>
    <w:rsid w:val="10101691"/>
    <w:rsid w:val="10233173"/>
    <w:rsid w:val="10240C99"/>
    <w:rsid w:val="10262C63"/>
    <w:rsid w:val="102A0ADE"/>
    <w:rsid w:val="10306B91"/>
    <w:rsid w:val="10392996"/>
    <w:rsid w:val="1048477E"/>
    <w:rsid w:val="10493E45"/>
    <w:rsid w:val="104B4477"/>
    <w:rsid w:val="104D30C3"/>
    <w:rsid w:val="10645539"/>
    <w:rsid w:val="106B65C6"/>
    <w:rsid w:val="108312FE"/>
    <w:rsid w:val="108C51BC"/>
    <w:rsid w:val="10946B1D"/>
    <w:rsid w:val="10956862"/>
    <w:rsid w:val="10C55FD8"/>
    <w:rsid w:val="10D91A83"/>
    <w:rsid w:val="10EC085B"/>
    <w:rsid w:val="10F1501F"/>
    <w:rsid w:val="111555A1"/>
    <w:rsid w:val="11357601"/>
    <w:rsid w:val="11423ACC"/>
    <w:rsid w:val="114D481B"/>
    <w:rsid w:val="114E06C3"/>
    <w:rsid w:val="115F642C"/>
    <w:rsid w:val="11607AA4"/>
    <w:rsid w:val="11630A00"/>
    <w:rsid w:val="11714438"/>
    <w:rsid w:val="117868D3"/>
    <w:rsid w:val="11A26319"/>
    <w:rsid w:val="11A93C7D"/>
    <w:rsid w:val="11A958FA"/>
    <w:rsid w:val="11B92C2E"/>
    <w:rsid w:val="11E132E5"/>
    <w:rsid w:val="11E46CC1"/>
    <w:rsid w:val="11EB4770"/>
    <w:rsid w:val="11F37030"/>
    <w:rsid w:val="11FF1E70"/>
    <w:rsid w:val="122447BE"/>
    <w:rsid w:val="125A6BF4"/>
    <w:rsid w:val="126A3816"/>
    <w:rsid w:val="127E6D86"/>
    <w:rsid w:val="12823D4A"/>
    <w:rsid w:val="129B7938"/>
    <w:rsid w:val="129F25C4"/>
    <w:rsid w:val="12A8795F"/>
    <w:rsid w:val="12A90717"/>
    <w:rsid w:val="12AE7A81"/>
    <w:rsid w:val="12AF4946"/>
    <w:rsid w:val="12B46A47"/>
    <w:rsid w:val="12BC3C29"/>
    <w:rsid w:val="12BF6143"/>
    <w:rsid w:val="12C02EFB"/>
    <w:rsid w:val="12C10A21"/>
    <w:rsid w:val="12E0534B"/>
    <w:rsid w:val="12EE547F"/>
    <w:rsid w:val="12FB0B7B"/>
    <w:rsid w:val="12FB4B4E"/>
    <w:rsid w:val="13021765"/>
    <w:rsid w:val="13285B03"/>
    <w:rsid w:val="132C6ADB"/>
    <w:rsid w:val="133063F9"/>
    <w:rsid w:val="13347445"/>
    <w:rsid w:val="13490BE3"/>
    <w:rsid w:val="136202C9"/>
    <w:rsid w:val="136B2768"/>
    <w:rsid w:val="13712447"/>
    <w:rsid w:val="138C483A"/>
    <w:rsid w:val="13A03E8B"/>
    <w:rsid w:val="13AD4FA0"/>
    <w:rsid w:val="13B50586"/>
    <w:rsid w:val="13C00213"/>
    <w:rsid w:val="13C92283"/>
    <w:rsid w:val="13D12EE6"/>
    <w:rsid w:val="14007645"/>
    <w:rsid w:val="140B464A"/>
    <w:rsid w:val="141E6EE4"/>
    <w:rsid w:val="1423262E"/>
    <w:rsid w:val="14261483"/>
    <w:rsid w:val="14292D22"/>
    <w:rsid w:val="142A5125"/>
    <w:rsid w:val="144E5BFE"/>
    <w:rsid w:val="145204CA"/>
    <w:rsid w:val="145C30F7"/>
    <w:rsid w:val="145D71B3"/>
    <w:rsid w:val="146B6E96"/>
    <w:rsid w:val="146E6986"/>
    <w:rsid w:val="147621EA"/>
    <w:rsid w:val="14942891"/>
    <w:rsid w:val="14956609"/>
    <w:rsid w:val="14A22207"/>
    <w:rsid w:val="14AA3E63"/>
    <w:rsid w:val="14D7277E"/>
    <w:rsid w:val="14DA6A78"/>
    <w:rsid w:val="14E32ED1"/>
    <w:rsid w:val="14E761DD"/>
    <w:rsid w:val="150C1BA5"/>
    <w:rsid w:val="15100313"/>
    <w:rsid w:val="15127C5A"/>
    <w:rsid w:val="151579D2"/>
    <w:rsid w:val="151A6D63"/>
    <w:rsid w:val="15451DDD"/>
    <w:rsid w:val="15453B8B"/>
    <w:rsid w:val="154930C6"/>
    <w:rsid w:val="15617D83"/>
    <w:rsid w:val="15684104"/>
    <w:rsid w:val="15712BD2"/>
    <w:rsid w:val="15741F45"/>
    <w:rsid w:val="15785D0F"/>
    <w:rsid w:val="15806971"/>
    <w:rsid w:val="15811988"/>
    <w:rsid w:val="15826B8D"/>
    <w:rsid w:val="159B74FB"/>
    <w:rsid w:val="15B17473"/>
    <w:rsid w:val="15BD5E17"/>
    <w:rsid w:val="15C34AB0"/>
    <w:rsid w:val="15C50828"/>
    <w:rsid w:val="15EE5FD1"/>
    <w:rsid w:val="15F139D5"/>
    <w:rsid w:val="15F508CB"/>
    <w:rsid w:val="160F7B21"/>
    <w:rsid w:val="16227A29"/>
    <w:rsid w:val="162E2871"/>
    <w:rsid w:val="16315EBE"/>
    <w:rsid w:val="164368D5"/>
    <w:rsid w:val="166444E5"/>
    <w:rsid w:val="166B7621"/>
    <w:rsid w:val="166D339A"/>
    <w:rsid w:val="16730284"/>
    <w:rsid w:val="167950A5"/>
    <w:rsid w:val="167F37F2"/>
    <w:rsid w:val="16A42B33"/>
    <w:rsid w:val="16A50D85"/>
    <w:rsid w:val="16AE1C29"/>
    <w:rsid w:val="16BA5EB3"/>
    <w:rsid w:val="16BD63D6"/>
    <w:rsid w:val="16D927DD"/>
    <w:rsid w:val="16E01DBD"/>
    <w:rsid w:val="16E2427A"/>
    <w:rsid w:val="16EA144D"/>
    <w:rsid w:val="16ED44DA"/>
    <w:rsid w:val="16F2701E"/>
    <w:rsid w:val="16F41EE7"/>
    <w:rsid w:val="171E6442"/>
    <w:rsid w:val="1723614E"/>
    <w:rsid w:val="17333191"/>
    <w:rsid w:val="173619DD"/>
    <w:rsid w:val="17377504"/>
    <w:rsid w:val="173E6AE4"/>
    <w:rsid w:val="173F4400"/>
    <w:rsid w:val="174A36DB"/>
    <w:rsid w:val="17654110"/>
    <w:rsid w:val="1767428D"/>
    <w:rsid w:val="1780534F"/>
    <w:rsid w:val="178A3AD7"/>
    <w:rsid w:val="1791619B"/>
    <w:rsid w:val="17A3178F"/>
    <w:rsid w:val="17A42169"/>
    <w:rsid w:val="17A80401"/>
    <w:rsid w:val="17B172B6"/>
    <w:rsid w:val="17C24895"/>
    <w:rsid w:val="17C621FC"/>
    <w:rsid w:val="17D122AE"/>
    <w:rsid w:val="17DC1639"/>
    <w:rsid w:val="17DC32D8"/>
    <w:rsid w:val="17E175E6"/>
    <w:rsid w:val="17F17FFA"/>
    <w:rsid w:val="17F2796A"/>
    <w:rsid w:val="17F44CBB"/>
    <w:rsid w:val="17F77217"/>
    <w:rsid w:val="17FA6EAF"/>
    <w:rsid w:val="17FF44C5"/>
    <w:rsid w:val="180A4C18"/>
    <w:rsid w:val="1811244B"/>
    <w:rsid w:val="18115FA7"/>
    <w:rsid w:val="182B58BF"/>
    <w:rsid w:val="18316649"/>
    <w:rsid w:val="183C19FE"/>
    <w:rsid w:val="18414ADE"/>
    <w:rsid w:val="18420856"/>
    <w:rsid w:val="18495CFA"/>
    <w:rsid w:val="184C6FDF"/>
    <w:rsid w:val="18504D21"/>
    <w:rsid w:val="185E0B0B"/>
    <w:rsid w:val="18611A70"/>
    <w:rsid w:val="18625F4B"/>
    <w:rsid w:val="187F1162"/>
    <w:rsid w:val="187F3EE9"/>
    <w:rsid w:val="189362B8"/>
    <w:rsid w:val="18A64941"/>
    <w:rsid w:val="18BD7EDC"/>
    <w:rsid w:val="18C63235"/>
    <w:rsid w:val="18C9398A"/>
    <w:rsid w:val="18D442BE"/>
    <w:rsid w:val="18DF42F7"/>
    <w:rsid w:val="18E216F1"/>
    <w:rsid w:val="18E92A80"/>
    <w:rsid w:val="190B50EC"/>
    <w:rsid w:val="191915B7"/>
    <w:rsid w:val="191A70DD"/>
    <w:rsid w:val="191B4526"/>
    <w:rsid w:val="19461C80"/>
    <w:rsid w:val="194B77F9"/>
    <w:rsid w:val="194C32E2"/>
    <w:rsid w:val="195F08E7"/>
    <w:rsid w:val="196D2878"/>
    <w:rsid w:val="1991767C"/>
    <w:rsid w:val="19A03A86"/>
    <w:rsid w:val="19A077D8"/>
    <w:rsid w:val="19AF3CC9"/>
    <w:rsid w:val="19D674A8"/>
    <w:rsid w:val="19DF45AE"/>
    <w:rsid w:val="19EB676A"/>
    <w:rsid w:val="19EE47F1"/>
    <w:rsid w:val="1A037B71"/>
    <w:rsid w:val="1A073B05"/>
    <w:rsid w:val="1A110F8D"/>
    <w:rsid w:val="1A14446F"/>
    <w:rsid w:val="1A295829"/>
    <w:rsid w:val="1A344F03"/>
    <w:rsid w:val="1A3C5FD6"/>
    <w:rsid w:val="1A404921"/>
    <w:rsid w:val="1A45329D"/>
    <w:rsid w:val="1A50687F"/>
    <w:rsid w:val="1A5F3514"/>
    <w:rsid w:val="1A642D06"/>
    <w:rsid w:val="1A654388"/>
    <w:rsid w:val="1A714BAB"/>
    <w:rsid w:val="1A7F369B"/>
    <w:rsid w:val="1A853D17"/>
    <w:rsid w:val="1A9E33B7"/>
    <w:rsid w:val="1AA650CC"/>
    <w:rsid w:val="1AB2774D"/>
    <w:rsid w:val="1AB93B33"/>
    <w:rsid w:val="1AE23C2A"/>
    <w:rsid w:val="1AE259D8"/>
    <w:rsid w:val="1AF30C6E"/>
    <w:rsid w:val="1AF56AE4"/>
    <w:rsid w:val="1AFB5181"/>
    <w:rsid w:val="1AFD4FCD"/>
    <w:rsid w:val="1AFE425A"/>
    <w:rsid w:val="1B105598"/>
    <w:rsid w:val="1B171298"/>
    <w:rsid w:val="1B261D69"/>
    <w:rsid w:val="1B3939DF"/>
    <w:rsid w:val="1B3C158C"/>
    <w:rsid w:val="1B3F2E2B"/>
    <w:rsid w:val="1B5763C6"/>
    <w:rsid w:val="1B617245"/>
    <w:rsid w:val="1B632FBD"/>
    <w:rsid w:val="1B7538D9"/>
    <w:rsid w:val="1BAB226E"/>
    <w:rsid w:val="1BD14CC5"/>
    <w:rsid w:val="1BD96DDB"/>
    <w:rsid w:val="1BE96BCA"/>
    <w:rsid w:val="1BED0AD9"/>
    <w:rsid w:val="1BF53518"/>
    <w:rsid w:val="1C146065"/>
    <w:rsid w:val="1C163B8C"/>
    <w:rsid w:val="1C2C33AF"/>
    <w:rsid w:val="1C5648D0"/>
    <w:rsid w:val="1C5E0187"/>
    <w:rsid w:val="1C625023"/>
    <w:rsid w:val="1C752FA8"/>
    <w:rsid w:val="1C796955"/>
    <w:rsid w:val="1CA37EA1"/>
    <w:rsid w:val="1CC45697"/>
    <w:rsid w:val="1CC565E8"/>
    <w:rsid w:val="1CD53DCE"/>
    <w:rsid w:val="1CDB049A"/>
    <w:rsid w:val="1CF96EB8"/>
    <w:rsid w:val="1CFB5F01"/>
    <w:rsid w:val="1D0B1216"/>
    <w:rsid w:val="1D29146A"/>
    <w:rsid w:val="1D2D5631"/>
    <w:rsid w:val="1D300C7D"/>
    <w:rsid w:val="1D3266E6"/>
    <w:rsid w:val="1D3F35B6"/>
    <w:rsid w:val="1D5232E9"/>
    <w:rsid w:val="1D573933"/>
    <w:rsid w:val="1D5F77B4"/>
    <w:rsid w:val="1D715330"/>
    <w:rsid w:val="1D721295"/>
    <w:rsid w:val="1DA3440B"/>
    <w:rsid w:val="1DAB09B6"/>
    <w:rsid w:val="1DBA49EB"/>
    <w:rsid w:val="1DE278B3"/>
    <w:rsid w:val="1DF30DD1"/>
    <w:rsid w:val="1E0A7720"/>
    <w:rsid w:val="1E0F417C"/>
    <w:rsid w:val="1E2C3B3A"/>
    <w:rsid w:val="1E403142"/>
    <w:rsid w:val="1E6E7EF3"/>
    <w:rsid w:val="1E967206"/>
    <w:rsid w:val="1EBB0A1A"/>
    <w:rsid w:val="1ED32208"/>
    <w:rsid w:val="1EDD3086"/>
    <w:rsid w:val="1EE12B77"/>
    <w:rsid w:val="1EE435CB"/>
    <w:rsid w:val="1EEA4F4F"/>
    <w:rsid w:val="1F0E1492"/>
    <w:rsid w:val="1F257CB7"/>
    <w:rsid w:val="1F3D58D3"/>
    <w:rsid w:val="1F6431AA"/>
    <w:rsid w:val="1F6A0705"/>
    <w:rsid w:val="1F7C7944"/>
    <w:rsid w:val="1F82454D"/>
    <w:rsid w:val="1F866D0F"/>
    <w:rsid w:val="1F8F60E9"/>
    <w:rsid w:val="1FB73CB1"/>
    <w:rsid w:val="1FB8741A"/>
    <w:rsid w:val="1FB931AC"/>
    <w:rsid w:val="1FC95A99"/>
    <w:rsid w:val="1FE741BD"/>
    <w:rsid w:val="1FF97A4C"/>
    <w:rsid w:val="20126D60"/>
    <w:rsid w:val="20500551"/>
    <w:rsid w:val="20530343"/>
    <w:rsid w:val="2074045F"/>
    <w:rsid w:val="207407CA"/>
    <w:rsid w:val="20855833"/>
    <w:rsid w:val="20B61DE1"/>
    <w:rsid w:val="20B9542D"/>
    <w:rsid w:val="20CF0E3E"/>
    <w:rsid w:val="20DF30E6"/>
    <w:rsid w:val="20DF65AB"/>
    <w:rsid w:val="20EC5803"/>
    <w:rsid w:val="20FD356C"/>
    <w:rsid w:val="21004E0A"/>
    <w:rsid w:val="21090163"/>
    <w:rsid w:val="210D2754"/>
    <w:rsid w:val="211C4519"/>
    <w:rsid w:val="21242DBE"/>
    <w:rsid w:val="215353DE"/>
    <w:rsid w:val="21676C37"/>
    <w:rsid w:val="21AF0D0A"/>
    <w:rsid w:val="21C83B7A"/>
    <w:rsid w:val="21D95D87"/>
    <w:rsid w:val="21EF1C4A"/>
    <w:rsid w:val="21F42BC1"/>
    <w:rsid w:val="21FB3F4F"/>
    <w:rsid w:val="21FD6BC4"/>
    <w:rsid w:val="22004601"/>
    <w:rsid w:val="220D00D4"/>
    <w:rsid w:val="22165591"/>
    <w:rsid w:val="2234120F"/>
    <w:rsid w:val="2242206E"/>
    <w:rsid w:val="22431452"/>
    <w:rsid w:val="224376A4"/>
    <w:rsid w:val="22525D60"/>
    <w:rsid w:val="22665141"/>
    <w:rsid w:val="226E1C50"/>
    <w:rsid w:val="228026A7"/>
    <w:rsid w:val="22874F67"/>
    <w:rsid w:val="228F6446"/>
    <w:rsid w:val="22992F0D"/>
    <w:rsid w:val="22A85759"/>
    <w:rsid w:val="22AA3280"/>
    <w:rsid w:val="22BD1205"/>
    <w:rsid w:val="22D71DD3"/>
    <w:rsid w:val="22DF73CD"/>
    <w:rsid w:val="22E5535D"/>
    <w:rsid w:val="22EA18E2"/>
    <w:rsid w:val="22EA7B20"/>
    <w:rsid w:val="230A2EA2"/>
    <w:rsid w:val="233139A1"/>
    <w:rsid w:val="23486990"/>
    <w:rsid w:val="235A4636"/>
    <w:rsid w:val="236C49D9"/>
    <w:rsid w:val="236F23F8"/>
    <w:rsid w:val="236F44B0"/>
    <w:rsid w:val="237733D9"/>
    <w:rsid w:val="238C6E29"/>
    <w:rsid w:val="23DF33FD"/>
    <w:rsid w:val="23E427C1"/>
    <w:rsid w:val="23E8105A"/>
    <w:rsid w:val="23F942C3"/>
    <w:rsid w:val="24305A06"/>
    <w:rsid w:val="24523A4E"/>
    <w:rsid w:val="24767174"/>
    <w:rsid w:val="247B4ED4"/>
    <w:rsid w:val="24802AEC"/>
    <w:rsid w:val="2488354C"/>
    <w:rsid w:val="248D2E59"/>
    <w:rsid w:val="249B7324"/>
    <w:rsid w:val="249F40AD"/>
    <w:rsid w:val="24AF2DCF"/>
    <w:rsid w:val="24BD5534"/>
    <w:rsid w:val="24CE5459"/>
    <w:rsid w:val="24D740D4"/>
    <w:rsid w:val="24E0567E"/>
    <w:rsid w:val="25006BE0"/>
    <w:rsid w:val="25033A80"/>
    <w:rsid w:val="25070B98"/>
    <w:rsid w:val="250A44A9"/>
    <w:rsid w:val="250F2223"/>
    <w:rsid w:val="25210BCA"/>
    <w:rsid w:val="252E056F"/>
    <w:rsid w:val="256C0CC0"/>
    <w:rsid w:val="256F56FB"/>
    <w:rsid w:val="257D2ECD"/>
    <w:rsid w:val="2589183B"/>
    <w:rsid w:val="25B44BE3"/>
    <w:rsid w:val="25C06B8A"/>
    <w:rsid w:val="25C64874"/>
    <w:rsid w:val="25CC204F"/>
    <w:rsid w:val="25E371D4"/>
    <w:rsid w:val="25F767DC"/>
    <w:rsid w:val="25FF73E4"/>
    <w:rsid w:val="260C05C2"/>
    <w:rsid w:val="260D24A3"/>
    <w:rsid w:val="261A071C"/>
    <w:rsid w:val="262141A2"/>
    <w:rsid w:val="263C0155"/>
    <w:rsid w:val="26446154"/>
    <w:rsid w:val="264659B5"/>
    <w:rsid w:val="266A3452"/>
    <w:rsid w:val="267D718F"/>
    <w:rsid w:val="26967C55"/>
    <w:rsid w:val="26993304"/>
    <w:rsid w:val="269B2634"/>
    <w:rsid w:val="269C55D5"/>
    <w:rsid w:val="26A526DC"/>
    <w:rsid w:val="26A56376"/>
    <w:rsid w:val="26A76454"/>
    <w:rsid w:val="26BD5C77"/>
    <w:rsid w:val="26CA0394"/>
    <w:rsid w:val="26CF59AB"/>
    <w:rsid w:val="26D703BB"/>
    <w:rsid w:val="26D7485F"/>
    <w:rsid w:val="26E06E67"/>
    <w:rsid w:val="26E2748C"/>
    <w:rsid w:val="26E31456"/>
    <w:rsid w:val="27054F28"/>
    <w:rsid w:val="27247AA4"/>
    <w:rsid w:val="272A1BAA"/>
    <w:rsid w:val="27343A60"/>
    <w:rsid w:val="273B3040"/>
    <w:rsid w:val="275B0FEC"/>
    <w:rsid w:val="277315B0"/>
    <w:rsid w:val="27764078"/>
    <w:rsid w:val="277735CB"/>
    <w:rsid w:val="2778394C"/>
    <w:rsid w:val="278247CB"/>
    <w:rsid w:val="278510AC"/>
    <w:rsid w:val="27925790"/>
    <w:rsid w:val="27D52B4D"/>
    <w:rsid w:val="27F51DBA"/>
    <w:rsid w:val="27FE77F3"/>
    <w:rsid w:val="28125B4F"/>
    <w:rsid w:val="28153891"/>
    <w:rsid w:val="28161985"/>
    <w:rsid w:val="28180C8B"/>
    <w:rsid w:val="2818512F"/>
    <w:rsid w:val="281D44F4"/>
    <w:rsid w:val="281F7EBE"/>
    <w:rsid w:val="28245882"/>
    <w:rsid w:val="282B09BF"/>
    <w:rsid w:val="28506677"/>
    <w:rsid w:val="28612632"/>
    <w:rsid w:val="28796405"/>
    <w:rsid w:val="289B1FE8"/>
    <w:rsid w:val="28A349F9"/>
    <w:rsid w:val="28B22E8E"/>
    <w:rsid w:val="28B430AA"/>
    <w:rsid w:val="28BB4440"/>
    <w:rsid w:val="28C13FB4"/>
    <w:rsid w:val="28C84A61"/>
    <w:rsid w:val="28D177B8"/>
    <w:rsid w:val="28D948BF"/>
    <w:rsid w:val="28DD687E"/>
    <w:rsid w:val="28E27C5A"/>
    <w:rsid w:val="28FE5E96"/>
    <w:rsid w:val="290556B4"/>
    <w:rsid w:val="290A03D1"/>
    <w:rsid w:val="29130C1E"/>
    <w:rsid w:val="291B6C85"/>
    <w:rsid w:val="29341AF5"/>
    <w:rsid w:val="293715E5"/>
    <w:rsid w:val="294C6E3F"/>
    <w:rsid w:val="296279D8"/>
    <w:rsid w:val="29824F56"/>
    <w:rsid w:val="29B905F1"/>
    <w:rsid w:val="29C235A5"/>
    <w:rsid w:val="29C41D34"/>
    <w:rsid w:val="29C6608A"/>
    <w:rsid w:val="29C70BBB"/>
    <w:rsid w:val="29CC4D65"/>
    <w:rsid w:val="29E03A2B"/>
    <w:rsid w:val="29F02881"/>
    <w:rsid w:val="29F7267F"/>
    <w:rsid w:val="2A133E00"/>
    <w:rsid w:val="2A1A6F3D"/>
    <w:rsid w:val="2A204996"/>
    <w:rsid w:val="2A21651D"/>
    <w:rsid w:val="2A257EAA"/>
    <w:rsid w:val="2A353D77"/>
    <w:rsid w:val="2A3C3357"/>
    <w:rsid w:val="2A3F69A3"/>
    <w:rsid w:val="2A5A3A8E"/>
    <w:rsid w:val="2A7F1496"/>
    <w:rsid w:val="2A832EC5"/>
    <w:rsid w:val="2A88659C"/>
    <w:rsid w:val="2AA762F6"/>
    <w:rsid w:val="2AAB228B"/>
    <w:rsid w:val="2ABA427C"/>
    <w:rsid w:val="2AC320A4"/>
    <w:rsid w:val="2ADB2B70"/>
    <w:rsid w:val="2AF02E62"/>
    <w:rsid w:val="2AF03BA2"/>
    <w:rsid w:val="2AF93B6E"/>
    <w:rsid w:val="2AF94DA4"/>
    <w:rsid w:val="2AFA5A3A"/>
    <w:rsid w:val="2B004385"/>
    <w:rsid w:val="2B080D19"/>
    <w:rsid w:val="2B382596"/>
    <w:rsid w:val="2B3B716B"/>
    <w:rsid w:val="2B502629"/>
    <w:rsid w:val="2B512E32"/>
    <w:rsid w:val="2B55294D"/>
    <w:rsid w:val="2B6A39AF"/>
    <w:rsid w:val="2BA20D6C"/>
    <w:rsid w:val="2BAA613D"/>
    <w:rsid w:val="2BAD07E2"/>
    <w:rsid w:val="2BB63A38"/>
    <w:rsid w:val="2BBB564C"/>
    <w:rsid w:val="2BCC070B"/>
    <w:rsid w:val="2BCC2EAA"/>
    <w:rsid w:val="2BDB3F3F"/>
    <w:rsid w:val="2BE16FE6"/>
    <w:rsid w:val="2BE4239C"/>
    <w:rsid w:val="2C122C6D"/>
    <w:rsid w:val="2C19528B"/>
    <w:rsid w:val="2C1A4694"/>
    <w:rsid w:val="2C235173"/>
    <w:rsid w:val="2C2C2F57"/>
    <w:rsid w:val="2C6C2ACA"/>
    <w:rsid w:val="2C6D3C9C"/>
    <w:rsid w:val="2C7956DC"/>
    <w:rsid w:val="2C89668B"/>
    <w:rsid w:val="2CC55E02"/>
    <w:rsid w:val="2CC633AC"/>
    <w:rsid w:val="2CD40D4A"/>
    <w:rsid w:val="2CED26E7"/>
    <w:rsid w:val="2CF92AD5"/>
    <w:rsid w:val="2D1161A8"/>
    <w:rsid w:val="2D197471"/>
    <w:rsid w:val="2D263E4A"/>
    <w:rsid w:val="2D572256"/>
    <w:rsid w:val="2D5E7C02"/>
    <w:rsid w:val="2D636E4D"/>
    <w:rsid w:val="2D727090"/>
    <w:rsid w:val="2DA41B2C"/>
    <w:rsid w:val="2DAD00C8"/>
    <w:rsid w:val="2DB25C5B"/>
    <w:rsid w:val="2DD45655"/>
    <w:rsid w:val="2DDF7346"/>
    <w:rsid w:val="2DE0049D"/>
    <w:rsid w:val="2DF857E7"/>
    <w:rsid w:val="2DF950BB"/>
    <w:rsid w:val="2E110657"/>
    <w:rsid w:val="2E156399"/>
    <w:rsid w:val="2E1819E5"/>
    <w:rsid w:val="2E24038A"/>
    <w:rsid w:val="2E2411D6"/>
    <w:rsid w:val="2E316D24"/>
    <w:rsid w:val="2E357085"/>
    <w:rsid w:val="2E366167"/>
    <w:rsid w:val="2E444588"/>
    <w:rsid w:val="2E6112CF"/>
    <w:rsid w:val="2E67296D"/>
    <w:rsid w:val="2E9410A5"/>
    <w:rsid w:val="2EC102CF"/>
    <w:rsid w:val="2EC20A5B"/>
    <w:rsid w:val="2EE10029"/>
    <w:rsid w:val="2EED3D25"/>
    <w:rsid w:val="2F0E3FE2"/>
    <w:rsid w:val="2F1523C9"/>
    <w:rsid w:val="2F236894"/>
    <w:rsid w:val="2F36237D"/>
    <w:rsid w:val="2F4B4D51"/>
    <w:rsid w:val="2F4D3910"/>
    <w:rsid w:val="2F527179"/>
    <w:rsid w:val="2F561AA3"/>
    <w:rsid w:val="2F940A8D"/>
    <w:rsid w:val="2F9E31C6"/>
    <w:rsid w:val="2FBC19C0"/>
    <w:rsid w:val="2FF41FDE"/>
    <w:rsid w:val="300E150D"/>
    <w:rsid w:val="303869B6"/>
    <w:rsid w:val="30466CDD"/>
    <w:rsid w:val="304B626A"/>
    <w:rsid w:val="304C1E1A"/>
    <w:rsid w:val="30512BB9"/>
    <w:rsid w:val="3069477A"/>
    <w:rsid w:val="306B6744"/>
    <w:rsid w:val="307B26FD"/>
    <w:rsid w:val="307C42CD"/>
    <w:rsid w:val="308271CF"/>
    <w:rsid w:val="308415B4"/>
    <w:rsid w:val="308B0B94"/>
    <w:rsid w:val="309612E7"/>
    <w:rsid w:val="30980BBB"/>
    <w:rsid w:val="30BC6003"/>
    <w:rsid w:val="30C6397A"/>
    <w:rsid w:val="30DD0957"/>
    <w:rsid w:val="30DE5607"/>
    <w:rsid w:val="30E262DA"/>
    <w:rsid w:val="30EB33E1"/>
    <w:rsid w:val="30EE0EFE"/>
    <w:rsid w:val="31244B45"/>
    <w:rsid w:val="313308E4"/>
    <w:rsid w:val="3145621F"/>
    <w:rsid w:val="31526E01"/>
    <w:rsid w:val="315326A5"/>
    <w:rsid w:val="315C42DF"/>
    <w:rsid w:val="317F12ED"/>
    <w:rsid w:val="31922CF8"/>
    <w:rsid w:val="31B269F5"/>
    <w:rsid w:val="31B639EF"/>
    <w:rsid w:val="31F7580D"/>
    <w:rsid w:val="31FC517A"/>
    <w:rsid w:val="320622E1"/>
    <w:rsid w:val="321666BA"/>
    <w:rsid w:val="322272D6"/>
    <w:rsid w:val="3239599B"/>
    <w:rsid w:val="32427031"/>
    <w:rsid w:val="324C7EAF"/>
    <w:rsid w:val="32780CA4"/>
    <w:rsid w:val="32786EF6"/>
    <w:rsid w:val="327E10B2"/>
    <w:rsid w:val="328238D1"/>
    <w:rsid w:val="328C4514"/>
    <w:rsid w:val="328F66E9"/>
    <w:rsid w:val="329830F5"/>
    <w:rsid w:val="329B4993"/>
    <w:rsid w:val="32AE0B6A"/>
    <w:rsid w:val="32C07C5C"/>
    <w:rsid w:val="32CA590D"/>
    <w:rsid w:val="32EC2A98"/>
    <w:rsid w:val="32F522F5"/>
    <w:rsid w:val="331C1F78"/>
    <w:rsid w:val="331F3816"/>
    <w:rsid w:val="332D7CE1"/>
    <w:rsid w:val="3338475E"/>
    <w:rsid w:val="333D1021"/>
    <w:rsid w:val="334838FE"/>
    <w:rsid w:val="334A0A90"/>
    <w:rsid w:val="334B1737"/>
    <w:rsid w:val="335949E2"/>
    <w:rsid w:val="33833DA5"/>
    <w:rsid w:val="339F6438"/>
    <w:rsid w:val="33BF44FB"/>
    <w:rsid w:val="33C46C09"/>
    <w:rsid w:val="33E02FA5"/>
    <w:rsid w:val="33E71FB8"/>
    <w:rsid w:val="33EF31E8"/>
    <w:rsid w:val="34093BC0"/>
    <w:rsid w:val="3458094E"/>
    <w:rsid w:val="3459484B"/>
    <w:rsid w:val="345B6AD0"/>
    <w:rsid w:val="345D2848"/>
    <w:rsid w:val="34627E5E"/>
    <w:rsid w:val="34640A9B"/>
    <w:rsid w:val="34685268"/>
    <w:rsid w:val="34825E0A"/>
    <w:rsid w:val="34863498"/>
    <w:rsid w:val="348A5C2C"/>
    <w:rsid w:val="34920EBF"/>
    <w:rsid w:val="34A93571"/>
    <w:rsid w:val="34B00BC9"/>
    <w:rsid w:val="34DF325D"/>
    <w:rsid w:val="34F678C3"/>
    <w:rsid w:val="34F7125B"/>
    <w:rsid w:val="34FC0CD6"/>
    <w:rsid w:val="34FD36E3"/>
    <w:rsid w:val="350031D3"/>
    <w:rsid w:val="35050F88"/>
    <w:rsid w:val="350D15E3"/>
    <w:rsid w:val="35107A26"/>
    <w:rsid w:val="3511077F"/>
    <w:rsid w:val="352A3E47"/>
    <w:rsid w:val="354D6418"/>
    <w:rsid w:val="35550D69"/>
    <w:rsid w:val="35652963"/>
    <w:rsid w:val="35954D78"/>
    <w:rsid w:val="35973E3A"/>
    <w:rsid w:val="35A065EF"/>
    <w:rsid w:val="35A818A1"/>
    <w:rsid w:val="35C66D41"/>
    <w:rsid w:val="360F1920"/>
    <w:rsid w:val="36274EBB"/>
    <w:rsid w:val="362B63F4"/>
    <w:rsid w:val="36304799"/>
    <w:rsid w:val="36323F79"/>
    <w:rsid w:val="363650FE"/>
    <w:rsid w:val="36620EB9"/>
    <w:rsid w:val="36750FE8"/>
    <w:rsid w:val="368D4E24"/>
    <w:rsid w:val="36A90322"/>
    <w:rsid w:val="36D603B0"/>
    <w:rsid w:val="36E035D0"/>
    <w:rsid w:val="36E84025"/>
    <w:rsid w:val="36EC3A0F"/>
    <w:rsid w:val="36F31241"/>
    <w:rsid w:val="36FF3742"/>
    <w:rsid w:val="370A0339"/>
    <w:rsid w:val="37242836"/>
    <w:rsid w:val="375905E2"/>
    <w:rsid w:val="375C1F86"/>
    <w:rsid w:val="378F54A1"/>
    <w:rsid w:val="3793032E"/>
    <w:rsid w:val="379540A7"/>
    <w:rsid w:val="379F4F25"/>
    <w:rsid w:val="37AD4195"/>
    <w:rsid w:val="37B432C0"/>
    <w:rsid w:val="37E82428"/>
    <w:rsid w:val="37EF2076"/>
    <w:rsid w:val="38044D88"/>
    <w:rsid w:val="380B7797"/>
    <w:rsid w:val="38187B2F"/>
    <w:rsid w:val="381B27FE"/>
    <w:rsid w:val="3831051A"/>
    <w:rsid w:val="3831783F"/>
    <w:rsid w:val="38351B40"/>
    <w:rsid w:val="384004B6"/>
    <w:rsid w:val="385775AE"/>
    <w:rsid w:val="38591CCC"/>
    <w:rsid w:val="38635F53"/>
    <w:rsid w:val="389A2EE0"/>
    <w:rsid w:val="38CC58A6"/>
    <w:rsid w:val="38D86941"/>
    <w:rsid w:val="38DD5D05"/>
    <w:rsid w:val="38DE55D9"/>
    <w:rsid w:val="38E2244B"/>
    <w:rsid w:val="38F414F3"/>
    <w:rsid w:val="390A63CE"/>
    <w:rsid w:val="39113C01"/>
    <w:rsid w:val="39203E44"/>
    <w:rsid w:val="393416B5"/>
    <w:rsid w:val="393C288A"/>
    <w:rsid w:val="39535398"/>
    <w:rsid w:val="39705DDE"/>
    <w:rsid w:val="39732EB1"/>
    <w:rsid w:val="39754190"/>
    <w:rsid w:val="39777F08"/>
    <w:rsid w:val="398B5761"/>
    <w:rsid w:val="398E6FFF"/>
    <w:rsid w:val="399916D3"/>
    <w:rsid w:val="39A141C2"/>
    <w:rsid w:val="39B32F0A"/>
    <w:rsid w:val="39D87F40"/>
    <w:rsid w:val="39DB2ABE"/>
    <w:rsid w:val="39E43EC7"/>
    <w:rsid w:val="3A1204A1"/>
    <w:rsid w:val="3A132832"/>
    <w:rsid w:val="3A4A6A43"/>
    <w:rsid w:val="3A502507"/>
    <w:rsid w:val="3A7459D6"/>
    <w:rsid w:val="3A7D01A4"/>
    <w:rsid w:val="3A8376C7"/>
    <w:rsid w:val="3A8521B0"/>
    <w:rsid w:val="3A970136"/>
    <w:rsid w:val="3AB71C38"/>
    <w:rsid w:val="3AC23405"/>
    <w:rsid w:val="3ADC0497"/>
    <w:rsid w:val="3AE55345"/>
    <w:rsid w:val="3AE710BD"/>
    <w:rsid w:val="3AE77278"/>
    <w:rsid w:val="3AEE274E"/>
    <w:rsid w:val="3AF64E5C"/>
    <w:rsid w:val="3AFA2043"/>
    <w:rsid w:val="3AFE01B5"/>
    <w:rsid w:val="3B143534"/>
    <w:rsid w:val="3B17312B"/>
    <w:rsid w:val="3B237CA5"/>
    <w:rsid w:val="3B3140E6"/>
    <w:rsid w:val="3B5C79AA"/>
    <w:rsid w:val="3B712735"/>
    <w:rsid w:val="3B8A5337"/>
    <w:rsid w:val="3B934DA1"/>
    <w:rsid w:val="3B9F678F"/>
    <w:rsid w:val="3BA26D92"/>
    <w:rsid w:val="3BBF16F2"/>
    <w:rsid w:val="3BEC560A"/>
    <w:rsid w:val="3BF4247C"/>
    <w:rsid w:val="3C12216A"/>
    <w:rsid w:val="3C2459F9"/>
    <w:rsid w:val="3C25485D"/>
    <w:rsid w:val="3C3E6F84"/>
    <w:rsid w:val="3C4507D5"/>
    <w:rsid w:val="3C477FA0"/>
    <w:rsid w:val="3C641C6B"/>
    <w:rsid w:val="3C6978B0"/>
    <w:rsid w:val="3C7C3A87"/>
    <w:rsid w:val="3C7C5F26"/>
    <w:rsid w:val="3C805325"/>
    <w:rsid w:val="3C81109D"/>
    <w:rsid w:val="3C920BB5"/>
    <w:rsid w:val="3C9F32D2"/>
    <w:rsid w:val="3CA07630"/>
    <w:rsid w:val="3CA36EF1"/>
    <w:rsid w:val="3CB929BC"/>
    <w:rsid w:val="3CD6475B"/>
    <w:rsid w:val="3CF30E96"/>
    <w:rsid w:val="3CF4186F"/>
    <w:rsid w:val="3D097CDC"/>
    <w:rsid w:val="3D0C4E0B"/>
    <w:rsid w:val="3D172303"/>
    <w:rsid w:val="3D243E5F"/>
    <w:rsid w:val="3D274FFC"/>
    <w:rsid w:val="3D314871"/>
    <w:rsid w:val="3D347629"/>
    <w:rsid w:val="3D475E43"/>
    <w:rsid w:val="3D4D2896"/>
    <w:rsid w:val="3D5D7C2A"/>
    <w:rsid w:val="3D6267D9"/>
    <w:rsid w:val="3D635D45"/>
    <w:rsid w:val="3D766728"/>
    <w:rsid w:val="3D8E534A"/>
    <w:rsid w:val="3D973607"/>
    <w:rsid w:val="3D986D8C"/>
    <w:rsid w:val="3DB334D8"/>
    <w:rsid w:val="3DBE608A"/>
    <w:rsid w:val="3DBF3C2B"/>
    <w:rsid w:val="3DE9417D"/>
    <w:rsid w:val="3DF24001"/>
    <w:rsid w:val="3E02162D"/>
    <w:rsid w:val="3E0C4997"/>
    <w:rsid w:val="3E2A5F3B"/>
    <w:rsid w:val="3E4928E7"/>
    <w:rsid w:val="3E6842C3"/>
    <w:rsid w:val="3E6F3966"/>
    <w:rsid w:val="3E740EBA"/>
    <w:rsid w:val="3E7F019F"/>
    <w:rsid w:val="3E854E75"/>
    <w:rsid w:val="3EB218F1"/>
    <w:rsid w:val="3ECD2378"/>
    <w:rsid w:val="3ECF0E18"/>
    <w:rsid w:val="3EDE6333"/>
    <w:rsid w:val="3EF220E8"/>
    <w:rsid w:val="3EFB5137"/>
    <w:rsid w:val="3EFE13C0"/>
    <w:rsid w:val="3F1E711F"/>
    <w:rsid w:val="3F230B85"/>
    <w:rsid w:val="3F2A5A1C"/>
    <w:rsid w:val="3F373C95"/>
    <w:rsid w:val="3F3B5533"/>
    <w:rsid w:val="3F454604"/>
    <w:rsid w:val="3F47037C"/>
    <w:rsid w:val="3F4C3EB3"/>
    <w:rsid w:val="3F5E1222"/>
    <w:rsid w:val="3F907129"/>
    <w:rsid w:val="3FA171C1"/>
    <w:rsid w:val="3FB05F21"/>
    <w:rsid w:val="3FC11602"/>
    <w:rsid w:val="3FDA502C"/>
    <w:rsid w:val="3FE43E1D"/>
    <w:rsid w:val="3FEC2CD2"/>
    <w:rsid w:val="3FEE153E"/>
    <w:rsid w:val="400A3657"/>
    <w:rsid w:val="400E2C48"/>
    <w:rsid w:val="40784565"/>
    <w:rsid w:val="408F1FDB"/>
    <w:rsid w:val="409475F1"/>
    <w:rsid w:val="409F4234"/>
    <w:rsid w:val="40B27A77"/>
    <w:rsid w:val="40B732E0"/>
    <w:rsid w:val="40BF2194"/>
    <w:rsid w:val="40C31C84"/>
    <w:rsid w:val="40C71CB8"/>
    <w:rsid w:val="40C80671"/>
    <w:rsid w:val="40C854ED"/>
    <w:rsid w:val="40C94283"/>
    <w:rsid w:val="40D043A1"/>
    <w:rsid w:val="40DA7863"/>
    <w:rsid w:val="40DC2D46"/>
    <w:rsid w:val="40EF4827"/>
    <w:rsid w:val="40F7192E"/>
    <w:rsid w:val="4101455B"/>
    <w:rsid w:val="4105404B"/>
    <w:rsid w:val="4119614C"/>
    <w:rsid w:val="411F02F9"/>
    <w:rsid w:val="412412DC"/>
    <w:rsid w:val="41285F8B"/>
    <w:rsid w:val="412C52F3"/>
    <w:rsid w:val="41433130"/>
    <w:rsid w:val="41523008"/>
    <w:rsid w:val="41577625"/>
    <w:rsid w:val="418238EE"/>
    <w:rsid w:val="418A27A2"/>
    <w:rsid w:val="41BD705C"/>
    <w:rsid w:val="41BE5A2A"/>
    <w:rsid w:val="41C2018E"/>
    <w:rsid w:val="41C51A2C"/>
    <w:rsid w:val="41C8264A"/>
    <w:rsid w:val="41DA1F03"/>
    <w:rsid w:val="41EC0D67"/>
    <w:rsid w:val="41FA7928"/>
    <w:rsid w:val="421D7172"/>
    <w:rsid w:val="42274495"/>
    <w:rsid w:val="4230143F"/>
    <w:rsid w:val="423746D8"/>
    <w:rsid w:val="423A7D24"/>
    <w:rsid w:val="42701998"/>
    <w:rsid w:val="42714333"/>
    <w:rsid w:val="42870A90"/>
    <w:rsid w:val="428B0580"/>
    <w:rsid w:val="428C60A6"/>
    <w:rsid w:val="42DF267A"/>
    <w:rsid w:val="42F332E6"/>
    <w:rsid w:val="431523C3"/>
    <w:rsid w:val="4326474D"/>
    <w:rsid w:val="433A4E46"/>
    <w:rsid w:val="43652B30"/>
    <w:rsid w:val="43794C6D"/>
    <w:rsid w:val="43814017"/>
    <w:rsid w:val="438356FB"/>
    <w:rsid w:val="43A454CB"/>
    <w:rsid w:val="43AE2905"/>
    <w:rsid w:val="43BE6733"/>
    <w:rsid w:val="43CD117F"/>
    <w:rsid w:val="43DA778D"/>
    <w:rsid w:val="43DE0B83"/>
    <w:rsid w:val="440C3942"/>
    <w:rsid w:val="441E71D2"/>
    <w:rsid w:val="44242A3A"/>
    <w:rsid w:val="4455119B"/>
    <w:rsid w:val="44713C2D"/>
    <w:rsid w:val="447A0492"/>
    <w:rsid w:val="447D2DED"/>
    <w:rsid w:val="449A7532"/>
    <w:rsid w:val="449C4CC6"/>
    <w:rsid w:val="44AE49FA"/>
    <w:rsid w:val="44B11AC8"/>
    <w:rsid w:val="44DA6522"/>
    <w:rsid w:val="450B56AF"/>
    <w:rsid w:val="4517259F"/>
    <w:rsid w:val="451B591F"/>
    <w:rsid w:val="451C7BB5"/>
    <w:rsid w:val="451E1B7F"/>
    <w:rsid w:val="452B7DF8"/>
    <w:rsid w:val="453B5FB7"/>
    <w:rsid w:val="453E4BCE"/>
    <w:rsid w:val="45441C71"/>
    <w:rsid w:val="45460215"/>
    <w:rsid w:val="45482EA7"/>
    <w:rsid w:val="456A4DC4"/>
    <w:rsid w:val="45700B7C"/>
    <w:rsid w:val="458319E2"/>
    <w:rsid w:val="459050A5"/>
    <w:rsid w:val="45A0213E"/>
    <w:rsid w:val="45D16BF2"/>
    <w:rsid w:val="45D4223E"/>
    <w:rsid w:val="45D50676"/>
    <w:rsid w:val="45FE7882"/>
    <w:rsid w:val="4608116A"/>
    <w:rsid w:val="463B406B"/>
    <w:rsid w:val="46611D9D"/>
    <w:rsid w:val="469061E6"/>
    <w:rsid w:val="46C35DED"/>
    <w:rsid w:val="46D02A05"/>
    <w:rsid w:val="46F879B8"/>
    <w:rsid w:val="46FE76DA"/>
    <w:rsid w:val="47040901"/>
    <w:rsid w:val="47092E80"/>
    <w:rsid w:val="473078BD"/>
    <w:rsid w:val="473A04D5"/>
    <w:rsid w:val="47596E9F"/>
    <w:rsid w:val="475C24EB"/>
    <w:rsid w:val="4760647F"/>
    <w:rsid w:val="47685330"/>
    <w:rsid w:val="477F15A5"/>
    <w:rsid w:val="47B71E17"/>
    <w:rsid w:val="47CF655A"/>
    <w:rsid w:val="47DE30EE"/>
    <w:rsid w:val="480908C5"/>
    <w:rsid w:val="484A740F"/>
    <w:rsid w:val="484E2F2D"/>
    <w:rsid w:val="486024AF"/>
    <w:rsid w:val="487321E2"/>
    <w:rsid w:val="48741AB6"/>
    <w:rsid w:val="487D6BBD"/>
    <w:rsid w:val="48842A7C"/>
    <w:rsid w:val="48AC5C49"/>
    <w:rsid w:val="48AF68B3"/>
    <w:rsid w:val="48DD4734"/>
    <w:rsid w:val="48DF5182"/>
    <w:rsid w:val="48EF0FBD"/>
    <w:rsid w:val="48F055E1"/>
    <w:rsid w:val="49050ADA"/>
    <w:rsid w:val="4922704D"/>
    <w:rsid w:val="492B03C7"/>
    <w:rsid w:val="49325BF9"/>
    <w:rsid w:val="493C25D4"/>
    <w:rsid w:val="49423962"/>
    <w:rsid w:val="495676F9"/>
    <w:rsid w:val="495711BC"/>
    <w:rsid w:val="496833C9"/>
    <w:rsid w:val="49697141"/>
    <w:rsid w:val="4977360C"/>
    <w:rsid w:val="497A3D4B"/>
    <w:rsid w:val="497F72D9"/>
    <w:rsid w:val="498945F3"/>
    <w:rsid w:val="498A77E3"/>
    <w:rsid w:val="498D4B22"/>
    <w:rsid w:val="49A3007E"/>
    <w:rsid w:val="49AD5BED"/>
    <w:rsid w:val="49B10406"/>
    <w:rsid w:val="49B410A5"/>
    <w:rsid w:val="49B50F38"/>
    <w:rsid w:val="49C07FBB"/>
    <w:rsid w:val="49D43C50"/>
    <w:rsid w:val="49DE5CE3"/>
    <w:rsid w:val="49F228DB"/>
    <w:rsid w:val="4A0D21C2"/>
    <w:rsid w:val="4A143551"/>
    <w:rsid w:val="4A2F3401"/>
    <w:rsid w:val="4A3B0ADD"/>
    <w:rsid w:val="4A511191"/>
    <w:rsid w:val="4A6E2C61"/>
    <w:rsid w:val="4A7C3D6C"/>
    <w:rsid w:val="4AC530D5"/>
    <w:rsid w:val="4ADC40E1"/>
    <w:rsid w:val="4ADD1B95"/>
    <w:rsid w:val="4B1650A7"/>
    <w:rsid w:val="4B1A05AF"/>
    <w:rsid w:val="4B2C6678"/>
    <w:rsid w:val="4B4F2ABD"/>
    <w:rsid w:val="4B5C0AE5"/>
    <w:rsid w:val="4B775437"/>
    <w:rsid w:val="4B9304A5"/>
    <w:rsid w:val="4B956967"/>
    <w:rsid w:val="4BA15CE6"/>
    <w:rsid w:val="4BBA6677"/>
    <w:rsid w:val="4BC61285"/>
    <w:rsid w:val="4BEB0573"/>
    <w:rsid w:val="4BF86AA5"/>
    <w:rsid w:val="4C087559"/>
    <w:rsid w:val="4C1C09D5"/>
    <w:rsid w:val="4C231829"/>
    <w:rsid w:val="4C3752D5"/>
    <w:rsid w:val="4C3B3017"/>
    <w:rsid w:val="4C5C2F8D"/>
    <w:rsid w:val="4C6A7458"/>
    <w:rsid w:val="4C765DFD"/>
    <w:rsid w:val="4C7C718B"/>
    <w:rsid w:val="4C9857D9"/>
    <w:rsid w:val="4CA23CDF"/>
    <w:rsid w:val="4CAC5CC3"/>
    <w:rsid w:val="4CB237BB"/>
    <w:rsid w:val="4CD46FC7"/>
    <w:rsid w:val="4CDB2104"/>
    <w:rsid w:val="4D0B5494"/>
    <w:rsid w:val="4D0F48F4"/>
    <w:rsid w:val="4D197893"/>
    <w:rsid w:val="4D20220D"/>
    <w:rsid w:val="4D416E20"/>
    <w:rsid w:val="4D4D53C5"/>
    <w:rsid w:val="4D4F0ADD"/>
    <w:rsid w:val="4D500C0F"/>
    <w:rsid w:val="4D622825"/>
    <w:rsid w:val="4D623393"/>
    <w:rsid w:val="4D6C68F4"/>
    <w:rsid w:val="4D6E2F78"/>
    <w:rsid w:val="4D930C30"/>
    <w:rsid w:val="4D950DDA"/>
    <w:rsid w:val="4D9F75D5"/>
    <w:rsid w:val="4DA00DB5"/>
    <w:rsid w:val="4DA62712"/>
    <w:rsid w:val="4DB8446C"/>
    <w:rsid w:val="4DBD1B0B"/>
    <w:rsid w:val="4DBE3EFF"/>
    <w:rsid w:val="4DC132E9"/>
    <w:rsid w:val="4DC25072"/>
    <w:rsid w:val="4DC64B62"/>
    <w:rsid w:val="4DD74FC1"/>
    <w:rsid w:val="4DDF1CAE"/>
    <w:rsid w:val="4DE45B37"/>
    <w:rsid w:val="4DF56905"/>
    <w:rsid w:val="4E044CDD"/>
    <w:rsid w:val="4E197388"/>
    <w:rsid w:val="4E265C87"/>
    <w:rsid w:val="4E2E44B5"/>
    <w:rsid w:val="4E2F0959"/>
    <w:rsid w:val="4E451F2B"/>
    <w:rsid w:val="4E4A12EF"/>
    <w:rsid w:val="4E520801"/>
    <w:rsid w:val="4E562DA0"/>
    <w:rsid w:val="4E5C57F1"/>
    <w:rsid w:val="4E5D3917"/>
    <w:rsid w:val="4E676345"/>
    <w:rsid w:val="4E683E6B"/>
    <w:rsid w:val="4E797E26"/>
    <w:rsid w:val="4E870795"/>
    <w:rsid w:val="4E93713A"/>
    <w:rsid w:val="4E952D74"/>
    <w:rsid w:val="4E9C5F37"/>
    <w:rsid w:val="4EB96475"/>
    <w:rsid w:val="4EDE5EDB"/>
    <w:rsid w:val="4EE41DF2"/>
    <w:rsid w:val="4EF83441"/>
    <w:rsid w:val="4EFA0F67"/>
    <w:rsid w:val="4F0A10BF"/>
    <w:rsid w:val="4F0A7F11"/>
    <w:rsid w:val="4F12289B"/>
    <w:rsid w:val="4F1C4C2B"/>
    <w:rsid w:val="4F2E36A3"/>
    <w:rsid w:val="4F3709BD"/>
    <w:rsid w:val="4F6D5265"/>
    <w:rsid w:val="4F7E6A16"/>
    <w:rsid w:val="4F820399"/>
    <w:rsid w:val="4F870F2C"/>
    <w:rsid w:val="4F8D00AC"/>
    <w:rsid w:val="4F9667B6"/>
    <w:rsid w:val="4F9E2F1E"/>
    <w:rsid w:val="4F9E6E5A"/>
    <w:rsid w:val="4FC155E1"/>
    <w:rsid w:val="4FC741EC"/>
    <w:rsid w:val="4FDA48F5"/>
    <w:rsid w:val="4FE45773"/>
    <w:rsid w:val="4FE614EB"/>
    <w:rsid w:val="4FE74C35"/>
    <w:rsid w:val="4FEB08B0"/>
    <w:rsid w:val="5015592D"/>
    <w:rsid w:val="501F0559"/>
    <w:rsid w:val="50285660"/>
    <w:rsid w:val="503E740D"/>
    <w:rsid w:val="506863A4"/>
    <w:rsid w:val="5076286F"/>
    <w:rsid w:val="50865970"/>
    <w:rsid w:val="5090545C"/>
    <w:rsid w:val="50B05655"/>
    <w:rsid w:val="50BB3C42"/>
    <w:rsid w:val="50BD049E"/>
    <w:rsid w:val="50BD0822"/>
    <w:rsid w:val="50C55866"/>
    <w:rsid w:val="50CA4969"/>
    <w:rsid w:val="50D13F4A"/>
    <w:rsid w:val="50D650BC"/>
    <w:rsid w:val="50DE0415"/>
    <w:rsid w:val="50E315F9"/>
    <w:rsid w:val="50F11EF6"/>
    <w:rsid w:val="50F25C6E"/>
    <w:rsid w:val="50F644C2"/>
    <w:rsid w:val="510065DD"/>
    <w:rsid w:val="51047E01"/>
    <w:rsid w:val="510E1E6E"/>
    <w:rsid w:val="510F36F4"/>
    <w:rsid w:val="5114461E"/>
    <w:rsid w:val="5122594F"/>
    <w:rsid w:val="512F7CDA"/>
    <w:rsid w:val="51385D10"/>
    <w:rsid w:val="514705FA"/>
    <w:rsid w:val="514A2AE5"/>
    <w:rsid w:val="516721B8"/>
    <w:rsid w:val="51752B27"/>
    <w:rsid w:val="51782617"/>
    <w:rsid w:val="517A638F"/>
    <w:rsid w:val="51856AE2"/>
    <w:rsid w:val="51932FAD"/>
    <w:rsid w:val="519A258E"/>
    <w:rsid w:val="51A1310F"/>
    <w:rsid w:val="51C13FBE"/>
    <w:rsid w:val="51C8534D"/>
    <w:rsid w:val="51D25F98"/>
    <w:rsid w:val="51D535C6"/>
    <w:rsid w:val="51E170E2"/>
    <w:rsid w:val="51E27A91"/>
    <w:rsid w:val="51F0320D"/>
    <w:rsid w:val="51F55A16"/>
    <w:rsid w:val="51F6353C"/>
    <w:rsid w:val="51FC39E3"/>
    <w:rsid w:val="51FC4FF6"/>
    <w:rsid w:val="51FE33C3"/>
    <w:rsid w:val="520E7A70"/>
    <w:rsid w:val="52140B6F"/>
    <w:rsid w:val="521C11F4"/>
    <w:rsid w:val="52280C18"/>
    <w:rsid w:val="522B6124"/>
    <w:rsid w:val="522E4739"/>
    <w:rsid w:val="52410C5B"/>
    <w:rsid w:val="52522E68"/>
    <w:rsid w:val="52592449"/>
    <w:rsid w:val="525F10E1"/>
    <w:rsid w:val="52650DED"/>
    <w:rsid w:val="527D5223"/>
    <w:rsid w:val="529242F1"/>
    <w:rsid w:val="52CC0713"/>
    <w:rsid w:val="52CC0A7E"/>
    <w:rsid w:val="52CF6267"/>
    <w:rsid w:val="52ED493F"/>
    <w:rsid w:val="53177C0E"/>
    <w:rsid w:val="531D6034"/>
    <w:rsid w:val="53397B84"/>
    <w:rsid w:val="534A6130"/>
    <w:rsid w:val="53530C46"/>
    <w:rsid w:val="53634C01"/>
    <w:rsid w:val="53794425"/>
    <w:rsid w:val="539179C0"/>
    <w:rsid w:val="53AE0572"/>
    <w:rsid w:val="53D0673A"/>
    <w:rsid w:val="53D55AFF"/>
    <w:rsid w:val="53E915AA"/>
    <w:rsid w:val="54183C3E"/>
    <w:rsid w:val="543E202D"/>
    <w:rsid w:val="544D1B39"/>
    <w:rsid w:val="54616660"/>
    <w:rsid w:val="54646E83"/>
    <w:rsid w:val="54947768"/>
    <w:rsid w:val="54A31759"/>
    <w:rsid w:val="54CA13DC"/>
    <w:rsid w:val="54CE6FC8"/>
    <w:rsid w:val="54D13CF2"/>
    <w:rsid w:val="54DB6483"/>
    <w:rsid w:val="54E63D3C"/>
    <w:rsid w:val="55083CB2"/>
    <w:rsid w:val="550B381F"/>
    <w:rsid w:val="55124B31"/>
    <w:rsid w:val="551B4A12"/>
    <w:rsid w:val="5527238A"/>
    <w:rsid w:val="55370F91"/>
    <w:rsid w:val="55432F3C"/>
    <w:rsid w:val="5552317F"/>
    <w:rsid w:val="556A04C9"/>
    <w:rsid w:val="557E762E"/>
    <w:rsid w:val="55913CA7"/>
    <w:rsid w:val="55937A20"/>
    <w:rsid w:val="55A81B84"/>
    <w:rsid w:val="55FA1193"/>
    <w:rsid w:val="55FA2974"/>
    <w:rsid w:val="560C1580"/>
    <w:rsid w:val="560F6013"/>
    <w:rsid w:val="564718DC"/>
    <w:rsid w:val="56551179"/>
    <w:rsid w:val="565B1A48"/>
    <w:rsid w:val="568630E0"/>
    <w:rsid w:val="569A4DDE"/>
    <w:rsid w:val="56A143BE"/>
    <w:rsid w:val="56BF0996"/>
    <w:rsid w:val="56DB758F"/>
    <w:rsid w:val="56DE1CF7"/>
    <w:rsid w:val="56F24C1A"/>
    <w:rsid w:val="56FB2E36"/>
    <w:rsid w:val="5703094B"/>
    <w:rsid w:val="570606C5"/>
    <w:rsid w:val="570B1C43"/>
    <w:rsid w:val="57116BFC"/>
    <w:rsid w:val="572A4BF6"/>
    <w:rsid w:val="57364B06"/>
    <w:rsid w:val="57457A73"/>
    <w:rsid w:val="57462870"/>
    <w:rsid w:val="57541431"/>
    <w:rsid w:val="57685489"/>
    <w:rsid w:val="576F0CDA"/>
    <w:rsid w:val="57743881"/>
    <w:rsid w:val="577D6065"/>
    <w:rsid w:val="57832EB9"/>
    <w:rsid w:val="578D049F"/>
    <w:rsid w:val="57A31A70"/>
    <w:rsid w:val="57BE68AA"/>
    <w:rsid w:val="57C7411A"/>
    <w:rsid w:val="57D32355"/>
    <w:rsid w:val="57E5252E"/>
    <w:rsid w:val="57E72FD2"/>
    <w:rsid w:val="57E92E4F"/>
    <w:rsid w:val="57EF1159"/>
    <w:rsid w:val="57FE5D87"/>
    <w:rsid w:val="580B1C5D"/>
    <w:rsid w:val="581D7A74"/>
    <w:rsid w:val="58226E39"/>
    <w:rsid w:val="582708F3"/>
    <w:rsid w:val="582E3A30"/>
    <w:rsid w:val="583B614D"/>
    <w:rsid w:val="58492617"/>
    <w:rsid w:val="58496ABB"/>
    <w:rsid w:val="585B7E33"/>
    <w:rsid w:val="587F24DD"/>
    <w:rsid w:val="58836DD9"/>
    <w:rsid w:val="589E5122"/>
    <w:rsid w:val="58A83254"/>
    <w:rsid w:val="58AF7F75"/>
    <w:rsid w:val="58BB464A"/>
    <w:rsid w:val="58BE1257"/>
    <w:rsid w:val="58C163C4"/>
    <w:rsid w:val="58C919AA"/>
    <w:rsid w:val="58D97E3F"/>
    <w:rsid w:val="58ED1663"/>
    <w:rsid w:val="58F472E4"/>
    <w:rsid w:val="590101F7"/>
    <w:rsid w:val="59010E58"/>
    <w:rsid w:val="592310BA"/>
    <w:rsid w:val="592828CF"/>
    <w:rsid w:val="59282B75"/>
    <w:rsid w:val="59301A29"/>
    <w:rsid w:val="5943175D"/>
    <w:rsid w:val="59610D99"/>
    <w:rsid w:val="59613991"/>
    <w:rsid w:val="59745DBA"/>
    <w:rsid w:val="59777658"/>
    <w:rsid w:val="59831B59"/>
    <w:rsid w:val="598F6750"/>
    <w:rsid w:val="59975605"/>
    <w:rsid w:val="599800E9"/>
    <w:rsid w:val="59A3044D"/>
    <w:rsid w:val="59AD307A"/>
    <w:rsid w:val="59B83EF9"/>
    <w:rsid w:val="59E03008"/>
    <w:rsid w:val="59E75FC4"/>
    <w:rsid w:val="59F91C43"/>
    <w:rsid w:val="59FA62BF"/>
    <w:rsid w:val="5A064044"/>
    <w:rsid w:val="5A145402"/>
    <w:rsid w:val="5A1B4488"/>
    <w:rsid w:val="5A217462"/>
    <w:rsid w:val="5A225816"/>
    <w:rsid w:val="5A2C0443"/>
    <w:rsid w:val="5A3E07A1"/>
    <w:rsid w:val="5A4D3C2A"/>
    <w:rsid w:val="5A5D23AA"/>
    <w:rsid w:val="5A715E56"/>
    <w:rsid w:val="5A742C1E"/>
    <w:rsid w:val="5A8570CB"/>
    <w:rsid w:val="5A9C0987"/>
    <w:rsid w:val="5A9C2C12"/>
    <w:rsid w:val="5A9D6C4B"/>
    <w:rsid w:val="5AA4447D"/>
    <w:rsid w:val="5AB3646E"/>
    <w:rsid w:val="5AB83A84"/>
    <w:rsid w:val="5AB97EAE"/>
    <w:rsid w:val="5ABA5A4E"/>
    <w:rsid w:val="5AE21C8B"/>
    <w:rsid w:val="5AEE14F7"/>
    <w:rsid w:val="5AFD0B51"/>
    <w:rsid w:val="5AFF7905"/>
    <w:rsid w:val="5B0704EC"/>
    <w:rsid w:val="5B0B44FC"/>
    <w:rsid w:val="5B0C05E4"/>
    <w:rsid w:val="5B164869"/>
    <w:rsid w:val="5B1909C7"/>
    <w:rsid w:val="5B1A14CA"/>
    <w:rsid w:val="5B276EAC"/>
    <w:rsid w:val="5B2B24A8"/>
    <w:rsid w:val="5B5544AA"/>
    <w:rsid w:val="5B743E4F"/>
    <w:rsid w:val="5B7A5300"/>
    <w:rsid w:val="5B7E082A"/>
    <w:rsid w:val="5B871882"/>
    <w:rsid w:val="5B955B74"/>
    <w:rsid w:val="5B9C33A6"/>
    <w:rsid w:val="5BA67D81"/>
    <w:rsid w:val="5BB14AA5"/>
    <w:rsid w:val="5BC70423"/>
    <w:rsid w:val="5BC9220A"/>
    <w:rsid w:val="5BD112A2"/>
    <w:rsid w:val="5BE305B9"/>
    <w:rsid w:val="5BF71023"/>
    <w:rsid w:val="5C074CC3"/>
    <w:rsid w:val="5C2A09B2"/>
    <w:rsid w:val="5C2C3CDA"/>
    <w:rsid w:val="5C2F5FC8"/>
    <w:rsid w:val="5C3E52F0"/>
    <w:rsid w:val="5C451BB4"/>
    <w:rsid w:val="5C7560D1"/>
    <w:rsid w:val="5C7878F3"/>
    <w:rsid w:val="5C946EE9"/>
    <w:rsid w:val="5CA6628A"/>
    <w:rsid w:val="5CBF559E"/>
    <w:rsid w:val="5CCF2A0A"/>
    <w:rsid w:val="5CD32DF8"/>
    <w:rsid w:val="5CD94447"/>
    <w:rsid w:val="5CD94E88"/>
    <w:rsid w:val="5CE10BED"/>
    <w:rsid w:val="5CE172C2"/>
    <w:rsid w:val="5CF07506"/>
    <w:rsid w:val="5CF40D09"/>
    <w:rsid w:val="5CF60894"/>
    <w:rsid w:val="5D107877"/>
    <w:rsid w:val="5D290C69"/>
    <w:rsid w:val="5D323FC2"/>
    <w:rsid w:val="5D335644"/>
    <w:rsid w:val="5D431D2B"/>
    <w:rsid w:val="5D5D0727"/>
    <w:rsid w:val="5D7A1F6F"/>
    <w:rsid w:val="5D8440F2"/>
    <w:rsid w:val="5D891708"/>
    <w:rsid w:val="5D8C73D9"/>
    <w:rsid w:val="5D95186C"/>
    <w:rsid w:val="5D977EC8"/>
    <w:rsid w:val="5DA86B86"/>
    <w:rsid w:val="5DB03EC3"/>
    <w:rsid w:val="5DC60CCB"/>
    <w:rsid w:val="5DC92D73"/>
    <w:rsid w:val="5DD706C5"/>
    <w:rsid w:val="5DDD45C1"/>
    <w:rsid w:val="5DE60909"/>
    <w:rsid w:val="5E025791"/>
    <w:rsid w:val="5E053485"/>
    <w:rsid w:val="5E323B4E"/>
    <w:rsid w:val="5E325C9F"/>
    <w:rsid w:val="5E47584B"/>
    <w:rsid w:val="5E4D0988"/>
    <w:rsid w:val="5E547B43"/>
    <w:rsid w:val="5E624433"/>
    <w:rsid w:val="5E68756F"/>
    <w:rsid w:val="5E714676"/>
    <w:rsid w:val="5EB8251C"/>
    <w:rsid w:val="5EB86711"/>
    <w:rsid w:val="5EC073AC"/>
    <w:rsid w:val="5EC44151"/>
    <w:rsid w:val="5EC82AC9"/>
    <w:rsid w:val="5ECC2E36"/>
    <w:rsid w:val="5EE40B26"/>
    <w:rsid w:val="5EFA0B0F"/>
    <w:rsid w:val="5EFC4888"/>
    <w:rsid w:val="5F011E9E"/>
    <w:rsid w:val="5F286767"/>
    <w:rsid w:val="5F4753F3"/>
    <w:rsid w:val="5F530220"/>
    <w:rsid w:val="5F6441DB"/>
    <w:rsid w:val="5F69359F"/>
    <w:rsid w:val="5F6B37BB"/>
    <w:rsid w:val="5F8B1768"/>
    <w:rsid w:val="5F944AC0"/>
    <w:rsid w:val="5F9E7F0F"/>
    <w:rsid w:val="5FAF1AD7"/>
    <w:rsid w:val="5FB76A00"/>
    <w:rsid w:val="5FB94527"/>
    <w:rsid w:val="5FD255E8"/>
    <w:rsid w:val="5FDA624B"/>
    <w:rsid w:val="5FEC2A61"/>
    <w:rsid w:val="5FF13CC0"/>
    <w:rsid w:val="5FF73BFE"/>
    <w:rsid w:val="600F2399"/>
    <w:rsid w:val="601C6864"/>
    <w:rsid w:val="60213E7A"/>
    <w:rsid w:val="602B6AA7"/>
    <w:rsid w:val="60566219"/>
    <w:rsid w:val="60597AB8"/>
    <w:rsid w:val="607641C6"/>
    <w:rsid w:val="60786190"/>
    <w:rsid w:val="607E751E"/>
    <w:rsid w:val="60A30D33"/>
    <w:rsid w:val="60B77EA7"/>
    <w:rsid w:val="60B82FE3"/>
    <w:rsid w:val="60BD0047"/>
    <w:rsid w:val="60BF587A"/>
    <w:rsid w:val="60C95DD2"/>
    <w:rsid w:val="60FF5C09"/>
    <w:rsid w:val="61001CE1"/>
    <w:rsid w:val="611D1A4C"/>
    <w:rsid w:val="6126799A"/>
    <w:rsid w:val="613D534D"/>
    <w:rsid w:val="61502C69"/>
    <w:rsid w:val="615D4BA4"/>
    <w:rsid w:val="615F2EAC"/>
    <w:rsid w:val="617050B9"/>
    <w:rsid w:val="61810030"/>
    <w:rsid w:val="618560EB"/>
    <w:rsid w:val="61891CD7"/>
    <w:rsid w:val="619D39D4"/>
    <w:rsid w:val="61A3723C"/>
    <w:rsid w:val="61AB7676"/>
    <w:rsid w:val="61BA4586"/>
    <w:rsid w:val="61D820E5"/>
    <w:rsid w:val="61E00FC6"/>
    <w:rsid w:val="61EE60FA"/>
    <w:rsid w:val="61F335F4"/>
    <w:rsid w:val="61F41846"/>
    <w:rsid w:val="620249BC"/>
    <w:rsid w:val="62045801"/>
    <w:rsid w:val="620D6DAC"/>
    <w:rsid w:val="62204B76"/>
    <w:rsid w:val="622D4D58"/>
    <w:rsid w:val="6242638E"/>
    <w:rsid w:val="626B6509"/>
    <w:rsid w:val="627E6A8C"/>
    <w:rsid w:val="628E1815"/>
    <w:rsid w:val="62A25746"/>
    <w:rsid w:val="62B02BF5"/>
    <w:rsid w:val="62B94F82"/>
    <w:rsid w:val="62C202DE"/>
    <w:rsid w:val="62C21041"/>
    <w:rsid w:val="62C531E2"/>
    <w:rsid w:val="62CC27C3"/>
    <w:rsid w:val="62CC631F"/>
    <w:rsid w:val="62CF5E0F"/>
    <w:rsid w:val="62D0090A"/>
    <w:rsid w:val="62D33F79"/>
    <w:rsid w:val="62D942AA"/>
    <w:rsid w:val="62EA49F7"/>
    <w:rsid w:val="62F92E8C"/>
    <w:rsid w:val="62FE04A2"/>
    <w:rsid w:val="63045B5D"/>
    <w:rsid w:val="630D670F"/>
    <w:rsid w:val="631919A6"/>
    <w:rsid w:val="63226E50"/>
    <w:rsid w:val="63285E94"/>
    <w:rsid w:val="632F68AE"/>
    <w:rsid w:val="63302D52"/>
    <w:rsid w:val="633B719E"/>
    <w:rsid w:val="63612F0B"/>
    <w:rsid w:val="637864A7"/>
    <w:rsid w:val="637F5A87"/>
    <w:rsid w:val="638679E6"/>
    <w:rsid w:val="639E38B6"/>
    <w:rsid w:val="63B374DF"/>
    <w:rsid w:val="63B95549"/>
    <w:rsid w:val="63C82F8A"/>
    <w:rsid w:val="63DB6033"/>
    <w:rsid w:val="63DD455C"/>
    <w:rsid w:val="63F83144"/>
    <w:rsid w:val="63F975E8"/>
    <w:rsid w:val="63FC0E86"/>
    <w:rsid w:val="64012139"/>
    <w:rsid w:val="640512B4"/>
    <w:rsid w:val="640C1C1D"/>
    <w:rsid w:val="64123BE1"/>
    <w:rsid w:val="64151F48"/>
    <w:rsid w:val="64262B64"/>
    <w:rsid w:val="64322AF9"/>
    <w:rsid w:val="64462101"/>
    <w:rsid w:val="644C3818"/>
    <w:rsid w:val="645B2050"/>
    <w:rsid w:val="646621C4"/>
    <w:rsid w:val="648844C8"/>
    <w:rsid w:val="648D5F82"/>
    <w:rsid w:val="649B244D"/>
    <w:rsid w:val="64A15589"/>
    <w:rsid w:val="64A5151D"/>
    <w:rsid w:val="64B21544"/>
    <w:rsid w:val="64B27796"/>
    <w:rsid w:val="64C24383"/>
    <w:rsid w:val="64C5396E"/>
    <w:rsid w:val="64CA0F84"/>
    <w:rsid w:val="64CF20F6"/>
    <w:rsid w:val="64E8140A"/>
    <w:rsid w:val="64F14763"/>
    <w:rsid w:val="65075D34"/>
    <w:rsid w:val="6524315E"/>
    <w:rsid w:val="65332608"/>
    <w:rsid w:val="653F727C"/>
    <w:rsid w:val="65534AD5"/>
    <w:rsid w:val="655A1441"/>
    <w:rsid w:val="655B1BDC"/>
    <w:rsid w:val="655B7E2E"/>
    <w:rsid w:val="657A6506"/>
    <w:rsid w:val="65877D17"/>
    <w:rsid w:val="659A6BA8"/>
    <w:rsid w:val="65A11CE5"/>
    <w:rsid w:val="65A43583"/>
    <w:rsid w:val="65C73FC8"/>
    <w:rsid w:val="65CE23AE"/>
    <w:rsid w:val="65E22755"/>
    <w:rsid w:val="65ED6CD8"/>
    <w:rsid w:val="65F23616"/>
    <w:rsid w:val="661A55F3"/>
    <w:rsid w:val="661E12D4"/>
    <w:rsid w:val="66236B9E"/>
    <w:rsid w:val="663F15CE"/>
    <w:rsid w:val="665E7BD6"/>
    <w:rsid w:val="66644AC0"/>
    <w:rsid w:val="666479CB"/>
    <w:rsid w:val="667D0CBC"/>
    <w:rsid w:val="66806DB2"/>
    <w:rsid w:val="6692787F"/>
    <w:rsid w:val="66A51361"/>
    <w:rsid w:val="66AD290B"/>
    <w:rsid w:val="66AD46B9"/>
    <w:rsid w:val="66B9305E"/>
    <w:rsid w:val="66C13AC4"/>
    <w:rsid w:val="66C51A03"/>
    <w:rsid w:val="66CA7019"/>
    <w:rsid w:val="66CB3AE0"/>
    <w:rsid w:val="66D460EA"/>
    <w:rsid w:val="66DD6313"/>
    <w:rsid w:val="66E84437"/>
    <w:rsid w:val="66E8749F"/>
    <w:rsid w:val="66FE64A8"/>
    <w:rsid w:val="670448A9"/>
    <w:rsid w:val="67332E10"/>
    <w:rsid w:val="675C2E38"/>
    <w:rsid w:val="6760797E"/>
    <w:rsid w:val="67617776"/>
    <w:rsid w:val="676236F6"/>
    <w:rsid w:val="676E13F9"/>
    <w:rsid w:val="67712ACE"/>
    <w:rsid w:val="67713939"/>
    <w:rsid w:val="67746F85"/>
    <w:rsid w:val="67753429"/>
    <w:rsid w:val="67900263"/>
    <w:rsid w:val="67982C74"/>
    <w:rsid w:val="67BF46A4"/>
    <w:rsid w:val="67E66203"/>
    <w:rsid w:val="681A77FC"/>
    <w:rsid w:val="68283C8B"/>
    <w:rsid w:val="68336E40"/>
    <w:rsid w:val="683B6A9B"/>
    <w:rsid w:val="684272BC"/>
    <w:rsid w:val="685017A0"/>
    <w:rsid w:val="685446F2"/>
    <w:rsid w:val="68555008"/>
    <w:rsid w:val="68646FFA"/>
    <w:rsid w:val="686F60CA"/>
    <w:rsid w:val="687F2FD0"/>
    <w:rsid w:val="688B219F"/>
    <w:rsid w:val="689B6598"/>
    <w:rsid w:val="689E0B09"/>
    <w:rsid w:val="68B41D2F"/>
    <w:rsid w:val="68D26659"/>
    <w:rsid w:val="68D56ED4"/>
    <w:rsid w:val="68DE4FFE"/>
    <w:rsid w:val="68E02B24"/>
    <w:rsid w:val="68E5013A"/>
    <w:rsid w:val="68E72104"/>
    <w:rsid w:val="68F37ABE"/>
    <w:rsid w:val="6901615B"/>
    <w:rsid w:val="69085BD7"/>
    <w:rsid w:val="6910451E"/>
    <w:rsid w:val="691C6E3B"/>
    <w:rsid w:val="69366867"/>
    <w:rsid w:val="694F3F0F"/>
    <w:rsid w:val="696A4AE4"/>
    <w:rsid w:val="696C43B8"/>
    <w:rsid w:val="69766FE4"/>
    <w:rsid w:val="698755FD"/>
    <w:rsid w:val="698C3D04"/>
    <w:rsid w:val="699B4C9D"/>
    <w:rsid w:val="69A84119"/>
    <w:rsid w:val="69B47AC5"/>
    <w:rsid w:val="69E00902"/>
    <w:rsid w:val="69E14DA6"/>
    <w:rsid w:val="69F2232B"/>
    <w:rsid w:val="69F756F6"/>
    <w:rsid w:val="6A235682"/>
    <w:rsid w:val="6A4175F2"/>
    <w:rsid w:val="6A633A0D"/>
    <w:rsid w:val="6A7554EE"/>
    <w:rsid w:val="6A7D43A3"/>
    <w:rsid w:val="6A927E4E"/>
    <w:rsid w:val="6A971908"/>
    <w:rsid w:val="6AC124E1"/>
    <w:rsid w:val="6AD466B8"/>
    <w:rsid w:val="6ADC731B"/>
    <w:rsid w:val="6AE54422"/>
    <w:rsid w:val="6AF723A7"/>
    <w:rsid w:val="6B321631"/>
    <w:rsid w:val="6B6317EA"/>
    <w:rsid w:val="6B6C069F"/>
    <w:rsid w:val="6B6E1680"/>
    <w:rsid w:val="6B715851"/>
    <w:rsid w:val="6B737C7F"/>
    <w:rsid w:val="6B7B2FE6"/>
    <w:rsid w:val="6B855C05"/>
    <w:rsid w:val="6B9570A0"/>
    <w:rsid w:val="6BAA566B"/>
    <w:rsid w:val="6BB64010"/>
    <w:rsid w:val="6BC524A5"/>
    <w:rsid w:val="6BF863D7"/>
    <w:rsid w:val="6C1D408F"/>
    <w:rsid w:val="6C254400"/>
    <w:rsid w:val="6C2947E2"/>
    <w:rsid w:val="6C3B62C3"/>
    <w:rsid w:val="6C546284"/>
    <w:rsid w:val="6C5835BD"/>
    <w:rsid w:val="6C691082"/>
    <w:rsid w:val="6C6C1036"/>
    <w:rsid w:val="6C7D4B2E"/>
    <w:rsid w:val="6C9205D9"/>
    <w:rsid w:val="6C97799E"/>
    <w:rsid w:val="6CA20DEF"/>
    <w:rsid w:val="6CC4450B"/>
    <w:rsid w:val="6CC62031"/>
    <w:rsid w:val="6CD57464"/>
    <w:rsid w:val="6CDA788A"/>
    <w:rsid w:val="6CE01F59"/>
    <w:rsid w:val="6CE07597"/>
    <w:rsid w:val="6CED1CB3"/>
    <w:rsid w:val="6D0C5E17"/>
    <w:rsid w:val="6D0D5EB2"/>
    <w:rsid w:val="6D231231"/>
    <w:rsid w:val="6D417909"/>
    <w:rsid w:val="6D5D0BE7"/>
    <w:rsid w:val="6D7E0B5E"/>
    <w:rsid w:val="6DB27330"/>
    <w:rsid w:val="6DB74734"/>
    <w:rsid w:val="6DD503C0"/>
    <w:rsid w:val="6DDB4F06"/>
    <w:rsid w:val="6DDC27CA"/>
    <w:rsid w:val="6DE74955"/>
    <w:rsid w:val="6DEC2A36"/>
    <w:rsid w:val="6DF96979"/>
    <w:rsid w:val="6E0A419F"/>
    <w:rsid w:val="6E0B62EE"/>
    <w:rsid w:val="6E26547D"/>
    <w:rsid w:val="6E2E629D"/>
    <w:rsid w:val="6E317473"/>
    <w:rsid w:val="6E366386"/>
    <w:rsid w:val="6E5722FA"/>
    <w:rsid w:val="6E6733A0"/>
    <w:rsid w:val="6E7D5268"/>
    <w:rsid w:val="6E832D8C"/>
    <w:rsid w:val="6E905858"/>
    <w:rsid w:val="6E934195"/>
    <w:rsid w:val="6EA52327"/>
    <w:rsid w:val="6EB00E33"/>
    <w:rsid w:val="6EE964AB"/>
    <w:rsid w:val="6EF849F0"/>
    <w:rsid w:val="6EFE6022"/>
    <w:rsid w:val="6F10538F"/>
    <w:rsid w:val="6F23376B"/>
    <w:rsid w:val="6F437969"/>
    <w:rsid w:val="6F4D4C8B"/>
    <w:rsid w:val="6F5E47A3"/>
    <w:rsid w:val="6F7C598B"/>
    <w:rsid w:val="6F8010EF"/>
    <w:rsid w:val="6F8A5598"/>
    <w:rsid w:val="6F976805"/>
    <w:rsid w:val="6FBF6BF8"/>
    <w:rsid w:val="6FD827A7"/>
    <w:rsid w:val="6FE318ED"/>
    <w:rsid w:val="70017C18"/>
    <w:rsid w:val="70111815"/>
    <w:rsid w:val="70176662"/>
    <w:rsid w:val="702171EC"/>
    <w:rsid w:val="70271038"/>
    <w:rsid w:val="703379DD"/>
    <w:rsid w:val="705B5186"/>
    <w:rsid w:val="706A52E7"/>
    <w:rsid w:val="707D50FC"/>
    <w:rsid w:val="708C17E3"/>
    <w:rsid w:val="708D69DB"/>
    <w:rsid w:val="70A22DB5"/>
    <w:rsid w:val="70BC0E22"/>
    <w:rsid w:val="70D311C0"/>
    <w:rsid w:val="70FD6173"/>
    <w:rsid w:val="710F044A"/>
    <w:rsid w:val="71302AFD"/>
    <w:rsid w:val="713A123F"/>
    <w:rsid w:val="715A570D"/>
    <w:rsid w:val="71755DD4"/>
    <w:rsid w:val="719248A9"/>
    <w:rsid w:val="71A1306D"/>
    <w:rsid w:val="71AA1F21"/>
    <w:rsid w:val="71C22866"/>
    <w:rsid w:val="71C33BCF"/>
    <w:rsid w:val="71D21478"/>
    <w:rsid w:val="71F83A42"/>
    <w:rsid w:val="71F87130"/>
    <w:rsid w:val="720F447A"/>
    <w:rsid w:val="721D26F3"/>
    <w:rsid w:val="72394544"/>
    <w:rsid w:val="72444124"/>
    <w:rsid w:val="725C373A"/>
    <w:rsid w:val="725D51E5"/>
    <w:rsid w:val="727644F9"/>
    <w:rsid w:val="728F12F7"/>
    <w:rsid w:val="729539BC"/>
    <w:rsid w:val="72A03F75"/>
    <w:rsid w:val="72B312A9"/>
    <w:rsid w:val="72B850FB"/>
    <w:rsid w:val="72CB03A1"/>
    <w:rsid w:val="72F5541E"/>
    <w:rsid w:val="73025D8D"/>
    <w:rsid w:val="73165394"/>
    <w:rsid w:val="73355D12"/>
    <w:rsid w:val="73493046"/>
    <w:rsid w:val="7358775B"/>
    <w:rsid w:val="736E51D0"/>
    <w:rsid w:val="73970283"/>
    <w:rsid w:val="739A7D73"/>
    <w:rsid w:val="739C7F8F"/>
    <w:rsid w:val="73A17354"/>
    <w:rsid w:val="73B2330F"/>
    <w:rsid w:val="73B250BD"/>
    <w:rsid w:val="73CA0659"/>
    <w:rsid w:val="73E13BF4"/>
    <w:rsid w:val="73E84F83"/>
    <w:rsid w:val="7400051E"/>
    <w:rsid w:val="741230BB"/>
    <w:rsid w:val="74143FCA"/>
    <w:rsid w:val="74281823"/>
    <w:rsid w:val="74432492"/>
    <w:rsid w:val="74476504"/>
    <w:rsid w:val="74510D7A"/>
    <w:rsid w:val="74542618"/>
    <w:rsid w:val="745F6056"/>
    <w:rsid w:val="74650381"/>
    <w:rsid w:val="74747D7C"/>
    <w:rsid w:val="7479207F"/>
    <w:rsid w:val="74961D5A"/>
    <w:rsid w:val="7498736C"/>
    <w:rsid w:val="749D3FBF"/>
    <w:rsid w:val="74BB2697"/>
    <w:rsid w:val="74CD713E"/>
    <w:rsid w:val="74D01C2F"/>
    <w:rsid w:val="74F51DA9"/>
    <w:rsid w:val="74FD65DB"/>
    <w:rsid w:val="750616C5"/>
    <w:rsid w:val="7512691F"/>
    <w:rsid w:val="752C5111"/>
    <w:rsid w:val="75321D4A"/>
    <w:rsid w:val="753A180E"/>
    <w:rsid w:val="75436EF0"/>
    <w:rsid w:val="754601B3"/>
    <w:rsid w:val="754E6641"/>
    <w:rsid w:val="755A3C5E"/>
    <w:rsid w:val="7564688B"/>
    <w:rsid w:val="75687400"/>
    <w:rsid w:val="75751268"/>
    <w:rsid w:val="7583021F"/>
    <w:rsid w:val="75976EEA"/>
    <w:rsid w:val="759A22AD"/>
    <w:rsid w:val="75B23A9A"/>
    <w:rsid w:val="75BD1F5F"/>
    <w:rsid w:val="75E63744"/>
    <w:rsid w:val="75FA780A"/>
    <w:rsid w:val="762C55FB"/>
    <w:rsid w:val="762D1373"/>
    <w:rsid w:val="763444AF"/>
    <w:rsid w:val="763641D6"/>
    <w:rsid w:val="76403F35"/>
    <w:rsid w:val="76595CC4"/>
    <w:rsid w:val="766C59F7"/>
    <w:rsid w:val="76854D0B"/>
    <w:rsid w:val="768A5645"/>
    <w:rsid w:val="76AA7328"/>
    <w:rsid w:val="76BF021D"/>
    <w:rsid w:val="76C9109B"/>
    <w:rsid w:val="76CA077B"/>
    <w:rsid w:val="76D77202"/>
    <w:rsid w:val="76DC4D0E"/>
    <w:rsid w:val="76DF08BF"/>
    <w:rsid w:val="76F30AB4"/>
    <w:rsid w:val="76F36118"/>
    <w:rsid w:val="77022531"/>
    <w:rsid w:val="77286A7D"/>
    <w:rsid w:val="77316F6C"/>
    <w:rsid w:val="77334767"/>
    <w:rsid w:val="773806C9"/>
    <w:rsid w:val="774F0B38"/>
    <w:rsid w:val="77512E3F"/>
    <w:rsid w:val="775A4198"/>
    <w:rsid w:val="775E5C88"/>
    <w:rsid w:val="776D3468"/>
    <w:rsid w:val="7770353A"/>
    <w:rsid w:val="7777140E"/>
    <w:rsid w:val="77771465"/>
    <w:rsid w:val="77882D05"/>
    <w:rsid w:val="778D20C9"/>
    <w:rsid w:val="77907953"/>
    <w:rsid w:val="779D6084"/>
    <w:rsid w:val="77B358A8"/>
    <w:rsid w:val="77B40235"/>
    <w:rsid w:val="77BA69B4"/>
    <w:rsid w:val="77BC650A"/>
    <w:rsid w:val="77C35AEB"/>
    <w:rsid w:val="77C41863"/>
    <w:rsid w:val="77CB0E43"/>
    <w:rsid w:val="77D61957"/>
    <w:rsid w:val="77DA2E34"/>
    <w:rsid w:val="77DA4BE2"/>
    <w:rsid w:val="77F250B7"/>
    <w:rsid w:val="78095B41"/>
    <w:rsid w:val="78236589"/>
    <w:rsid w:val="78280044"/>
    <w:rsid w:val="78431316"/>
    <w:rsid w:val="784F3822"/>
    <w:rsid w:val="785E73E8"/>
    <w:rsid w:val="78770683"/>
    <w:rsid w:val="788519ED"/>
    <w:rsid w:val="788E22F0"/>
    <w:rsid w:val="78964663"/>
    <w:rsid w:val="789741D4"/>
    <w:rsid w:val="78A04631"/>
    <w:rsid w:val="78C13634"/>
    <w:rsid w:val="78C86CD9"/>
    <w:rsid w:val="78E139A5"/>
    <w:rsid w:val="78F3642B"/>
    <w:rsid w:val="78FE6A1B"/>
    <w:rsid w:val="791365FE"/>
    <w:rsid w:val="793F6268"/>
    <w:rsid w:val="7973342A"/>
    <w:rsid w:val="797F5A41"/>
    <w:rsid w:val="799F7F8D"/>
    <w:rsid w:val="79A74F98"/>
    <w:rsid w:val="79C62993"/>
    <w:rsid w:val="79D434E2"/>
    <w:rsid w:val="79E262ED"/>
    <w:rsid w:val="79F521A7"/>
    <w:rsid w:val="79F85C83"/>
    <w:rsid w:val="79F9180C"/>
    <w:rsid w:val="7A0379A5"/>
    <w:rsid w:val="7A0422BB"/>
    <w:rsid w:val="7A044199"/>
    <w:rsid w:val="7A130F5D"/>
    <w:rsid w:val="7A141389"/>
    <w:rsid w:val="7A1C017C"/>
    <w:rsid w:val="7A3251AA"/>
    <w:rsid w:val="7A5D64CF"/>
    <w:rsid w:val="7A910122"/>
    <w:rsid w:val="7A993CB5"/>
    <w:rsid w:val="7A9C0875"/>
    <w:rsid w:val="7A9E639B"/>
    <w:rsid w:val="7AA02113"/>
    <w:rsid w:val="7AAD407F"/>
    <w:rsid w:val="7AB20098"/>
    <w:rsid w:val="7ADB58D3"/>
    <w:rsid w:val="7ADB75EF"/>
    <w:rsid w:val="7AEE7323"/>
    <w:rsid w:val="7AFB559C"/>
    <w:rsid w:val="7B061FDE"/>
    <w:rsid w:val="7B091563"/>
    <w:rsid w:val="7B096372"/>
    <w:rsid w:val="7B2F16E9"/>
    <w:rsid w:val="7B3D3B4B"/>
    <w:rsid w:val="7B455924"/>
    <w:rsid w:val="7B4E03F5"/>
    <w:rsid w:val="7B670E83"/>
    <w:rsid w:val="7B6802EF"/>
    <w:rsid w:val="7B825CBD"/>
    <w:rsid w:val="7B845B59"/>
    <w:rsid w:val="7B9621A7"/>
    <w:rsid w:val="7BBA5457"/>
    <w:rsid w:val="7BC03D10"/>
    <w:rsid w:val="7BD77DB7"/>
    <w:rsid w:val="7BE36A1F"/>
    <w:rsid w:val="7BEC1388"/>
    <w:rsid w:val="7BEE5F9D"/>
    <w:rsid w:val="7BFB59C6"/>
    <w:rsid w:val="7C030BAC"/>
    <w:rsid w:val="7C1467FD"/>
    <w:rsid w:val="7C190C71"/>
    <w:rsid w:val="7C2B0102"/>
    <w:rsid w:val="7C5C650E"/>
    <w:rsid w:val="7C611D76"/>
    <w:rsid w:val="7C6D24C9"/>
    <w:rsid w:val="7C727ADF"/>
    <w:rsid w:val="7C811DE5"/>
    <w:rsid w:val="7CA103C5"/>
    <w:rsid w:val="7CB73744"/>
    <w:rsid w:val="7CBC30EB"/>
    <w:rsid w:val="7CC320E9"/>
    <w:rsid w:val="7CF16C56"/>
    <w:rsid w:val="7D016812"/>
    <w:rsid w:val="7D034BDB"/>
    <w:rsid w:val="7D0746CC"/>
    <w:rsid w:val="7D080444"/>
    <w:rsid w:val="7D0C0877"/>
    <w:rsid w:val="7D113436"/>
    <w:rsid w:val="7D2B74AC"/>
    <w:rsid w:val="7D2E685E"/>
    <w:rsid w:val="7D425704"/>
    <w:rsid w:val="7D56740C"/>
    <w:rsid w:val="7D6C7EFD"/>
    <w:rsid w:val="7D782ED3"/>
    <w:rsid w:val="7D8E26F7"/>
    <w:rsid w:val="7D943A85"/>
    <w:rsid w:val="7DA77C5D"/>
    <w:rsid w:val="7DC10D1E"/>
    <w:rsid w:val="7DD96A9D"/>
    <w:rsid w:val="7DF369FE"/>
    <w:rsid w:val="7E0806FB"/>
    <w:rsid w:val="7E467176"/>
    <w:rsid w:val="7E4B3DEC"/>
    <w:rsid w:val="7E682F48"/>
    <w:rsid w:val="7E8B1148"/>
    <w:rsid w:val="7E964EBF"/>
    <w:rsid w:val="7EC46BCF"/>
    <w:rsid w:val="7ED14F91"/>
    <w:rsid w:val="7EDB106E"/>
    <w:rsid w:val="7EDE320A"/>
    <w:rsid w:val="7EE66563"/>
    <w:rsid w:val="7EF47601"/>
    <w:rsid w:val="7F054C3B"/>
    <w:rsid w:val="7F0D7F93"/>
    <w:rsid w:val="7F1430D0"/>
    <w:rsid w:val="7F1C1F84"/>
    <w:rsid w:val="7F202B0F"/>
    <w:rsid w:val="7F3247DE"/>
    <w:rsid w:val="7F3472CE"/>
    <w:rsid w:val="7F8F7AD3"/>
    <w:rsid w:val="7F930498"/>
    <w:rsid w:val="7F967F89"/>
    <w:rsid w:val="7FAC4FAE"/>
    <w:rsid w:val="7FD60385"/>
    <w:rsid w:val="7FDA7E75"/>
    <w:rsid w:val="7FF56A5D"/>
    <w:rsid w:val="7FFF78D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uiPriority="99" w:name="heading 5"/>
    <w:lsdException w:uiPriority="99" w:name="heading 6"/>
    <w:lsdException w:uiPriority="99" w:name="heading 7"/>
    <w:lsdException w:uiPriority="99" w:name="heading 8"/>
    <w:lsdException w:uiPriority="99" w:name="heading 9"/>
    <w:lsdException w:unhideWhenUsed="0" w:uiPriority="99" w:semiHidden="0" w:name="index 1"/>
    <w:lsdException w:unhideWhenUsed="0" w:uiPriority="99" w:semiHidden="0" w:name="index 2"/>
    <w:lsdException w:unhideWhenUsed="0" w:uiPriority="99" w:semiHidden="0" w:name="index 3"/>
    <w:lsdException w:unhideWhenUsed="0" w:uiPriority="99" w:semiHidden="0" w:name="index 4"/>
    <w:lsdException w:qFormat="1" w:unhideWhenUsed="0" w:uiPriority="99" w:semiHidden="0" w:name="index 5"/>
    <w:lsdException w:qFormat="1" w:unhideWhenUsed="0" w:uiPriority="0" w:semiHidden="0" w:name="index 6"/>
    <w:lsdException w:unhideWhenUsed="0" w:uiPriority="99" w:semiHidden="0" w:name="index 7"/>
    <w:lsdException w:unhideWhenUsed="0" w:uiPriority="99" w:semiHidden="0" w:name="index 8"/>
    <w:lsdException w:unhideWhenUsed="0" w:uiPriority="99" w:semiHidden="0" w:name="index 9"/>
    <w:lsdException w:qFormat="1" w:unhideWhenUsed="0" w:uiPriority="99" w:semiHidden="0" w:name="toc 1"/>
    <w:lsdException w:qFormat="1" w:unhideWhenUsed="0" w:uiPriority="99" w:semiHidden="0" w:name="toc 2"/>
    <w:lsdException w:qFormat="1" w:unhideWhenUsed="0" w:uiPriority="0" w:semiHidden="0" w:name="toc 3"/>
    <w:lsdException w:qFormat="1" w:unhideWhenUsed="0" w:uiPriority="39" w:semiHidden="0" w:name="toc 4"/>
    <w:lsdException w:unhideWhenUsed="0" w:uiPriority="99" w:semiHidden="0" w:name="toc 5"/>
    <w:lsdException w:unhideWhenUsed="0" w:uiPriority="99" w:semiHidden="0" w:name="toc 6"/>
    <w:lsdException w:unhideWhenUsed="0" w:uiPriority="99" w:semiHidden="0" w:name="toc 7"/>
    <w:lsdException w:unhideWhenUsed="0" w:uiPriority="99" w:semiHidden="0" w:name="toc 8"/>
    <w:lsdException w:unhideWhenUsed="0" w:uiPriority="99" w:semiHidden="0" w:name="toc 9"/>
    <w:lsdException w:qFormat="1" w:unhideWhenUsed="0" w:uiPriority="99" w:semiHidden="0" w:name="Normal Indent"/>
    <w:lsdException w:unhideWhenUsed="0" w:uiPriority="99"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99" w:semiHidden="0" w:name="index heading"/>
    <w:lsdException w:uiPriority="99" w:name="caption"/>
    <w:lsdException w:unhideWhenUsed="0" w:uiPriority="99" w:semiHidden="0" w:name="table of figures"/>
    <w:lsdException w:unhideWhenUsed="0" w:uiPriority="99" w:semiHidden="0" w:name="envelope address"/>
    <w:lsdException w:unhideWhenUsed="0" w:uiPriority="99" w:semiHidden="0" w:name="envelope return"/>
    <w:lsdException w:unhideWhenUsed="0" w:uiPriority="99" w:semiHidden="0" w:name="footnote reference"/>
    <w:lsdException w:qFormat="1" w:unhideWhenUsed="0" w:uiPriority="0" w:semiHidden="0" w:name="annotation reference"/>
    <w:lsdException w:unhideWhenUsed="0" w:uiPriority="99" w:semiHidden="0" w:name="line number"/>
    <w:lsdException w:qFormat="1" w:unhideWhenUsed="0" w:uiPriority="0" w:semiHidden="0" w:name="page number"/>
    <w:lsdException w:unhideWhenUsed="0" w:uiPriority="99" w:semiHidden="0" w:name="endnote reference"/>
    <w:lsdException w:unhideWhenUsed="0" w:uiPriority="99" w:semiHidden="0" w:name="endnote text"/>
    <w:lsdException w:unhideWhenUsed="0" w:uiPriority="99" w:semiHidden="0" w:name="table of authorities"/>
    <w:lsdException w:unhideWhenUsed="0" w:uiPriority="99" w:semiHidden="0" w:name="macro"/>
    <w:lsdException w:qFormat="1" w:unhideWhenUsed="0" w:uiPriority="0" w:semiHidden="0" w:name="toa heading"/>
    <w:lsdException w:unhideWhenUsed="0" w:uiPriority="99" w:semiHidden="0" w:name="List"/>
    <w:lsdException w:unhideWhenUsed="0" w:uiPriority="99" w:semiHidden="0" w:name="List Bullet"/>
    <w:lsdException w:unhideWhenUsed="0" w:uiPriority="99" w:semiHidden="0" w:name="List Number"/>
    <w:lsdException w:unhideWhenUsed="0" w:uiPriority="99" w:semiHidden="0" w:name="List 2"/>
    <w:lsdException w:unhideWhenUsed="0" w:uiPriority="99" w:semiHidden="0" w:name="List 3"/>
    <w:lsdException w:unhideWhenUsed="0" w:uiPriority="99" w:semiHidden="0" w:name="List 4"/>
    <w:lsdException w:unhideWhenUsed="0" w:uiPriority="99" w:semiHidden="0" w:name="List 5"/>
    <w:lsdException w:unhideWhenUsed="0" w:uiPriority="99" w:semiHidden="0" w:name="List Bullet 2"/>
    <w:lsdException w:unhideWhenUsed="0" w:uiPriority="99" w:semiHidden="0" w:name="List Bullet 3"/>
    <w:lsdException w:unhideWhenUsed="0" w:uiPriority="99" w:semiHidden="0" w:name="List Bullet 4"/>
    <w:lsdException w:unhideWhenUsed="0" w:uiPriority="99" w:semiHidden="0" w:name="List Bullet 5"/>
    <w:lsdException w:qFormat="1" w:unhideWhenUsed="0" w:uiPriority="99" w:semiHidden="0" w:name="List Number 2"/>
    <w:lsdException w:unhideWhenUsed="0" w:uiPriority="99" w:semiHidden="0" w:name="List Number 3"/>
    <w:lsdException w:unhideWhenUsed="0" w:uiPriority="99" w:semiHidden="0" w:name="List Number 4"/>
    <w:lsdException w:unhideWhenUsed="0" w:uiPriority="99" w:semiHidden="0" w:name="List Number 5"/>
    <w:lsdException w:unhideWhenUsed="0" w:uiPriority="99" w:semiHidden="0" w:name="Title"/>
    <w:lsdException w:unhideWhenUsed="0" w:uiPriority="99" w:semiHidden="0" w:name="Closing"/>
    <w:lsdException w:unhideWhenUsed="0" w:uiPriority="99" w:semiHidden="0" w:name="Signature"/>
    <w:lsdException w:qFormat="1" w:uiPriority="1" w:semiHidden="0" w:name="Default Paragraph Font"/>
    <w:lsdException w:qFormat="1" w:unhideWhenUsed="0" w:uiPriority="99" w:semiHidden="0" w:name="Body Text"/>
    <w:lsdException w:qFormat="1" w:unhideWhenUsed="0" w:uiPriority="99" w:semiHidden="0" w:name="Body Text Indent"/>
    <w:lsdException w:unhideWhenUsed="0" w:uiPriority="99" w:semiHidden="0" w:name="List Continue"/>
    <w:lsdException w:unhideWhenUsed="0" w:uiPriority="99" w:semiHidden="0" w:name="List Continue 2"/>
    <w:lsdException w:unhideWhenUsed="0" w:uiPriority="99" w:semiHidden="0" w:name="List Continue 3"/>
    <w:lsdException w:unhideWhenUsed="0" w:uiPriority="99" w:semiHidden="0" w:name="List Continue 4"/>
    <w:lsdException w:unhideWhenUsed="0" w:uiPriority="99" w:semiHidden="0" w:name="List Continue 5"/>
    <w:lsdException w:qFormat="1" w:unhideWhenUsed="0" w:uiPriority="0" w:semiHidden="0" w:name="Message Header"/>
    <w:lsdException w:unhideWhenUsed="0" w:uiPriority="99" w:semiHidden="0" w:name="Subtitle"/>
    <w:lsdException w:unhideWhenUsed="0" w:uiPriority="99" w:semiHidden="0" w:name="Salutation"/>
    <w:lsdException w:unhideWhenUsed="0" w:uiPriority="99" w:semiHidden="0" w:name="Date"/>
    <w:lsdException w:qFormat="1" w:unhideWhenUsed="0" w:uiPriority="99" w:semiHidden="0" w:name="Body Text First Indent"/>
    <w:lsdException w:qFormat="1" w:unhideWhenUsed="0" w:uiPriority="0" w:semiHidden="0" w:name="Body Text First Indent 2"/>
    <w:lsdException w:unhideWhenUsed="0" w:uiPriority="99" w:semiHidden="0" w:name="Note Heading"/>
    <w:lsdException w:qFormat="1" w:unhideWhenUsed="0" w:uiPriority="0" w:semiHidden="0" w:name="Body Text 2"/>
    <w:lsdException w:unhideWhenUsed="0" w:uiPriority="99" w:semiHidden="0" w:name="Body Text 3"/>
    <w:lsdException w:unhideWhenUsed="0" w:uiPriority="99" w:semiHidden="0" w:name="Body Text Indent 2"/>
    <w:lsdException w:unhideWhenUsed="0" w:uiPriority="99" w:semiHidden="0" w:name="Body Text Indent 3"/>
    <w:lsdException w:unhideWhenUsed="0" w:uiPriority="99"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99" w:semiHidden="0" w:name="Document Map"/>
    <w:lsdException w:qFormat="1" w:unhideWhenUsed="0" w:uiPriority="0" w:semiHidden="0" w:name="Plain Text"/>
    <w:lsdException w:unhideWhenUsed="0" w:uiPriority="99" w:semiHidden="0" w:name="E-mail Signature"/>
    <w:lsdException w:qFormat="1" w:unhideWhenUsed="0" w:uiPriority="99" w:semiHidden="0" w:name="Normal (Web)"/>
    <w:lsdException w:qFormat="1" w:unhideWhenUsed="0" w:uiPriority="0" w:semiHidden="0" w:name="HTML Acronym"/>
    <w:lsdException w:unhideWhenUsed="0" w:uiPriority="99"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99"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semiHidden="0" w:name="Normal Table"/>
    <w:lsdException w:qFormat="1" w:unhideWhenUsed="0" w:uiPriority="0" w:semiHidden="0" w:name="annotation subject"/>
    <w:lsdException w:unhideWhenUsed="0" w:uiPriority="99" w:semiHidden="0" w:name="Table Simple 1"/>
    <w:lsdException w:unhideWhenUsed="0" w:uiPriority="99" w:semiHidden="0" w:name="Table Simple 2"/>
    <w:lsdException w:unhideWhenUsed="0" w:uiPriority="99" w:semiHidden="0" w:name="Table Simple 3"/>
    <w:lsdException w:unhideWhenUsed="0" w:uiPriority="99" w:semiHidden="0" w:name="Table Classic 1"/>
    <w:lsdException w:unhideWhenUsed="0" w:uiPriority="99" w:semiHidden="0" w:name="Table Classic 2"/>
    <w:lsdException w:unhideWhenUsed="0" w:uiPriority="99" w:semiHidden="0" w:name="Table Classic 3"/>
    <w:lsdException w:unhideWhenUsed="0" w:uiPriority="99" w:semiHidden="0" w:name="Table Classic 4"/>
    <w:lsdException w:unhideWhenUsed="0" w:uiPriority="99" w:semiHidden="0" w:name="Table Colorful 1"/>
    <w:lsdException w:unhideWhenUsed="0" w:uiPriority="99" w:semiHidden="0" w:name="Table Colorful 2"/>
    <w:lsdException w:unhideWhenUsed="0" w:uiPriority="99" w:semiHidden="0" w:name="Table Colorful 3"/>
    <w:lsdException w:unhideWhenUsed="0" w:uiPriority="99" w:semiHidden="0" w:name="Table Columns 1"/>
    <w:lsdException w:unhideWhenUsed="0" w:uiPriority="99" w:semiHidden="0" w:name="Table Columns 2"/>
    <w:lsdException w:unhideWhenUsed="0" w:uiPriority="99" w:semiHidden="0" w:name="Table Columns 3"/>
    <w:lsdException w:unhideWhenUsed="0" w:uiPriority="99" w:semiHidden="0" w:name="Table Columns 4"/>
    <w:lsdException w:unhideWhenUsed="0" w:uiPriority="99" w:semiHidden="0" w:name="Table Columns 5"/>
    <w:lsdException w:unhideWhenUsed="0" w:uiPriority="99" w:semiHidden="0" w:name="Table Grid 1"/>
    <w:lsdException w:unhideWhenUsed="0" w:uiPriority="99" w:semiHidden="0" w:name="Table Grid 2"/>
    <w:lsdException w:unhideWhenUsed="0" w:uiPriority="99" w:semiHidden="0" w:name="Table Grid 3"/>
    <w:lsdException w:unhideWhenUsed="0" w:uiPriority="99" w:semiHidden="0" w:name="Table Grid 4"/>
    <w:lsdException w:unhideWhenUsed="0" w:uiPriority="99" w:semiHidden="0" w:name="Table Grid 5"/>
    <w:lsdException w:unhideWhenUsed="0" w:uiPriority="99" w:semiHidden="0" w:name="Table Grid 6"/>
    <w:lsdException w:unhideWhenUsed="0" w:uiPriority="99" w:semiHidden="0" w:name="Table Grid 7"/>
    <w:lsdException w:unhideWhenUsed="0" w:uiPriority="99" w:semiHidden="0" w:name="Table Grid 8"/>
    <w:lsdException w:unhideWhenUsed="0" w:uiPriority="99" w:semiHidden="0" w:name="Table List 1"/>
    <w:lsdException w:unhideWhenUsed="0" w:uiPriority="99" w:semiHidden="0" w:name="Table List 2"/>
    <w:lsdException w:unhideWhenUsed="0" w:uiPriority="99" w:semiHidden="0" w:name="Table List 3"/>
    <w:lsdException w:unhideWhenUsed="0" w:uiPriority="99" w:semiHidden="0" w:name="Table List 4"/>
    <w:lsdException w:unhideWhenUsed="0" w:uiPriority="99" w:semiHidden="0" w:name="Table List 5"/>
    <w:lsdException w:unhideWhenUsed="0" w:uiPriority="99" w:semiHidden="0" w:name="Table List 6"/>
    <w:lsdException w:unhideWhenUsed="0" w:uiPriority="99" w:semiHidden="0" w:name="Table List 7"/>
    <w:lsdException w:unhideWhenUsed="0" w:uiPriority="99" w:semiHidden="0" w:name="Table List 8"/>
    <w:lsdException w:unhideWhenUsed="0" w:uiPriority="99" w:semiHidden="0" w:name="Table 3D effects 1"/>
    <w:lsdException w:unhideWhenUsed="0" w:uiPriority="99" w:semiHidden="0" w:name="Table 3D effects 2"/>
    <w:lsdException w:unhideWhenUsed="0" w:uiPriority="99" w:semiHidden="0" w:name="Table 3D effects 3"/>
    <w:lsdException w:unhideWhenUsed="0" w:uiPriority="99" w:semiHidden="0" w:name="Table Contemporary"/>
    <w:lsdException w:unhideWhenUsed="0" w:uiPriority="99" w:semiHidden="0" w:name="Table Elegant"/>
    <w:lsdException w:unhideWhenUsed="0" w:uiPriority="99" w:semiHidden="0" w:name="Table Professional"/>
    <w:lsdException w:unhideWhenUsed="0" w:uiPriority="99" w:semiHidden="0" w:name="Table Subtle 1"/>
    <w:lsdException w:unhideWhenUsed="0" w:uiPriority="99" w:semiHidden="0" w:name="Table Subtle 2"/>
    <w:lsdException w:unhideWhenUsed="0" w:uiPriority="99" w:semiHidden="0" w:name="Table Web 1"/>
    <w:lsdException w:unhideWhenUsed="0" w:uiPriority="99" w:semiHidden="0" w:name="Table Web 2"/>
    <w:lsdException w:unhideWhenUsed="0" w:uiPriority="99" w:semiHidden="0" w:name="Table Web 3"/>
    <w:lsdException w:qFormat="1" w:unhideWhenUsed="0" w:uiPriority="0" w:semiHidden="0" w:name="Balloon Text"/>
    <w:lsdException w:qFormat="1" w:unhideWhenUsed="0" w:uiPriority="99" w:semiHidden="0" w:name="Table Grid"/>
    <w:lsdException w:unhideWhenUsed="0" w:uiPriority="99"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spacing w:line="400" w:lineRule="exact"/>
      <w:jc w:val="both"/>
    </w:pPr>
    <w:rPr>
      <w:rFonts w:ascii="Calibri Light" w:hAnsi="Calibri Light" w:eastAsia="华文仿宋" w:cs="Calibri Light"/>
      <w:kern w:val="2"/>
      <w:sz w:val="28"/>
      <w:szCs w:val="28"/>
      <w:lang w:val="en-US" w:eastAsia="zh-CN" w:bidi="ar-SA"/>
    </w:rPr>
  </w:style>
  <w:style w:type="paragraph" w:styleId="2">
    <w:name w:val="heading 1"/>
    <w:basedOn w:val="1"/>
    <w:next w:val="1"/>
    <w:link w:val="56"/>
    <w:autoRedefine/>
    <w:qFormat/>
    <w:uiPriority w:val="99"/>
    <w:pPr>
      <w:keepNext/>
      <w:keepLines/>
      <w:spacing w:line="240" w:lineRule="auto"/>
      <w:jc w:val="center"/>
      <w:outlineLvl w:val="0"/>
    </w:pPr>
    <w:rPr>
      <w:rFonts w:eastAsia="仿宋"/>
      <w:b/>
      <w:bCs/>
      <w:color w:val="000000"/>
      <w:kern w:val="44"/>
      <w:sz w:val="36"/>
      <w:szCs w:val="36"/>
    </w:rPr>
  </w:style>
  <w:style w:type="paragraph" w:styleId="3">
    <w:name w:val="heading 2"/>
    <w:basedOn w:val="1"/>
    <w:next w:val="1"/>
    <w:autoRedefine/>
    <w:qFormat/>
    <w:uiPriority w:val="99"/>
    <w:pPr>
      <w:keepNext/>
      <w:keepLines/>
      <w:spacing w:line="240" w:lineRule="auto"/>
      <w:outlineLvl w:val="1"/>
    </w:pPr>
    <w:rPr>
      <w:rFonts w:ascii="Calibri" w:hAnsi="Calibri" w:cs="Calibri"/>
      <w:b/>
      <w:bCs/>
      <w:sz w:val="32"/>
      <w:szCs w:val="32"/>
    </w:rPr>
  </w:style>
  <w:style w:type="paragraph" w:styleId="4">
    <w:name w:val="heading 3"/>
    <w:basedOn w:val="1"/>
    <w:next w:val="1"/>
    <w:autoRedefine/>
    <w:qFormat/>
    <w:uiPriority w:val="99"/>
    <w:pPr>
      <w:keepNext/>
      <w:keepLines/>
      <w:spacing w:line="400" w:lineRule="atLeast"/>
      <w:jc w:val="center"/>
      <w:outlineLvl w:val="2"/>
    </w:pPr>
    <w:rPr>
      <w:b/>
      <w:bCs/>
      <w:sz w:val="32"/>
      <w:szCs w:val="32"/>
      <w:u w:val="double"/>
    </w:rPr>
  </w:style>
  <w:style w:type="paragraph" w:styleId="5">
    <w:name w:val="heading 4"/>
    <w:basedOn w:val="1"/>
    <w:next w:val="1"/>
    <w:autoRedefine/>
    <w:qFormat/>
    <w:uiPriority w:val="99"/>
    <w:pPr>
      <w:keepNext/>
      <w:keepLines/>
      <w:spacing w:before="280" w:after="290" w:line="376" w:lineRule="atLeast"/>
      <w:outlineLvl w:val="3"/>
    </w:pPr>
    <w:rPr>
      <w:rFonts w:ascii="Calibri" w:hAnsi="Calibri" w:cs="Calibri"/>
      <w:b/>
      <w:bCs/>
    </w:rPr>
  </w:style>
  <w:style w:type="character" w:default="1" w:styleId="31">
    <w:name w:val="Default Paragraph Font"/>
    <w:autoRedefine/>
    <w:unhideWhenUsed/>
    <w:qFormat/>
    <w:uiPriority w:val="1"/>
  </w:style>
  <w:style w:type="table" w:default="1" w:styleId="29">
    <w:name w:val="Normal Table"/>
    <w:autoRedefine/>
    <w:unhideWhenUsed/>
    <w:qFormat/>
    <w:uiPriority w:val="99"/>
    <w:tblPr>
      <w:tblCellMar>
        <w:top w:w="0" w:type="dxa"/>
        <w:left w:w="108" w:type="dxa"/>
        <w:bottom w:w="0" w:type="dxa"/>
        <w:right w:w="108" w:type="dxa"/>
      </w:tblCellMar>
    </w:tblPr>
  </w:style>
  <w:style w:type="paragraph" w:styleId="6">
    <w:name w:val="List Number 2"/>
    <w:basedOn w:val="1"/>
    <w:autoRedefine/>
    <w:qFormat/>
    <w:uiPriority w:val="99"/>
    <w:pPr>
      <w:numPr>
        <w:ilvl w:val="0"/>
        <w:numId w:val="1"/>
      </w:numPr>
    </w:pPr>
  </w:style>
  <w:style w:type="paragraph" w:styleId="7">
    <w:name w:val="Normal Indent"/>
    <w:basedOn w:val="1"/>
    <w:next w:val="1"/>
    <w:autoRedefine/>
    <w:qFormat/>
    <w:uiPriority w:val="99"/>
    <w:pPr>
      <w:ind w:firstLine="420"/>
    </w:pPr>
  </w:style>
  <w:style w:type="paragraph" w:styleId="8">
    <w:name w:val="index 5"/>
    <w:basedOn w:val="1"/>
    <w:next w:val="1"/>
    <w:qFormat/>
    <w:uiPriority w:val="99"/>
    <w:pPr>
      <w:ind w:firstLine="640" w:firstLineChars="200"/>
    </w:pPr>
  </w:style>
  <w:style w:type="paragraph" w:styleId="9">
    <w:name w:val="toa heading"/>
    <w:basedOn w:val="1"/>
    <w:next w:val="1"/>
    <w:autoRedefine/>
    <w:qFormat/>
    <w:uiPriority w:val="0"/>
    <w:pPr>
      <w:spacing w:before="120"/>
    </w:pPr>
    <w:rPr>
      <w:rFonts w:ascii="Arial" w:hAnsi="Arial"/>
      <w:sz w:val="24"/>
    </w:rPr>
  </w:style>
  <w:style w:type="paragraph" w:styleId="10">
    <w:name w:val="annotation text"/>
    <w:basedOn w:val="1"/>
    <w:link w:val="57"/>
    <w:autoRedefine/>
    <w:qFormat/>
    <w:uiPriority w:val="0"/>
    <w:pPr>
      <w:jc w:val="left"/>
    </w:pPr>
  </w:style>
  <w:style w:type="paragraph" w:styleId="11">
    <w:name w:val="index 6"/>
    <w:basedOn w:val="1"/>
    <w:next w:val="1"/>
    <w:autoRedefine/>
    <w:qFormat/>
    <w:uiPriority w:val="0"/>
    <w:pPr>
      <w:ind w:left="1000" w:leftChars="1000"/>
    </w:pPr>
    <w:rPr>
      <w:rFonts w:ascii="Calibri" w:hAnsi="Calibri" w:eastAsia="宋体" w:cs="Times New Roman"/>
    </w:rPr>
  </w:style>
  <w:style w:type="paragraph" w:styleId="12">
    <w:name w:val="Body Text"/>
    <w:basedOn w:val="1"/>
    <w:next w:val="1"/>
    <w:link w:val="55"/>
    <w:autoRedefine/>
    <w:qFormat/>
    <w:uiPriority w:val="99"/>
    <w:pPr>
      <w:spacing w:afterLines="50" w:line="360" w:lineRule="auto"/>
    </w:pPr>
    <w:rPr>
      <w:rFonts w:ascii="宋体" w:hAnsi="宋体" w:cs="宋体"/>
      <w:color w:val="000000"/>
      <w:sz w:val="24"/>
      <w:szCs w:val="24"/>
    </w:rPr>
  </w:style>
  <w:style w:type="paragraph" w:styleId="13">
    <w:name w:val="Body Text Indent"/>
    <w:basedOn w:val="1"/>
    <w:autoRedefine/>
    <w:qFormat/>
    <w:uiPriority w:val="99"/>
    <w:pPr>
      <w:spacing w:after="120"/>
      <w:ind w:left="420" w:leftChars="200"/>
    </w:pPr>
  </w:style>
  <w:style w:type="paragraph" w:styleId="14">
    <w:name w:val="toc 3"/>
    <w:basedOn w:val="1"/>
    <w:next w:val="1"/>
    <w:autoRedefine/>
    <w:qFormat/>
    <w:uiPriority w:val="0"/>
    <w:pPr>
      <w:ind w:left="840" w:leftChars="400"/>
    </w:pPr>
  </w:style>
  <w:style w:type="paragraph" w:styleId="15">
    <w:name w:val="Plain Text"/>
    <w:basedOn w:val="1"/>
    <w:autoRedefine/>
    <w:qFormat/>
    <w:uiPriority w:val="0"/>
    <w:pPr>
      <w:spacing w:line="324" w:lineRule="auto"/>
    </w:pPr>
    <w:rPr>
      <w:rFonts w:ascii="宋体" w:hAnsi="Courier New" w:cs="Courier New"/>
      <w:szCs w:val="21"/>
    </w:rPr>
  </w:style>
  <w:style w:type="paragraph" w:styleId="16">
    <w:name w:val="Balloon Text"/>
    <w:basedOn w:val="1"/>
    <w:link w:val="58"/>
    <w:autoRedefine/>
    <w:qFormat/>
    <w:uiPriority w:val="0"/>
    <w:pPr>
      <w:spacing w:line="240" w:lineRule="auto"/>
    </w:pPr>
    <w:rPr>
      <w:sz w:val="18"/>
      <w:szCs w:val="18"/>
    </w:rPr>
  </w:style>
  <w:style w:type="paragraph" w:styleId="17">
    <w:name w:val="footer"/>
    <w:basedOn w:val="1"/>
    <w:autoRedefine/>
    <w:qFormat/>
    <w:uiPriority w:val="99"/>
    <w:pPr>
      <w:widowControl w:val="0"/>
      <w:tabs>
        <w:tab w:val="center" w:pos="4153"/>
        <w:tab w:val="right" w:pos="8306"/>
      </w:tabs>
      <w:snapToGrid w:val="0"/>
      <w:spacing w:line="240" w:lineRule="auto"/>
      <w:jc w:val="left"/>
    </w:pPr>
    <w:rPr>
      <w:rFonts w:ascii="Times New Roman" w:hAnsi="Times New Roman" w:eastAsia="宋体" w:cs="Times New Roman"/>
      <w:kern w:val="0"/>
      <w:sz w:val="18"/>
      <w:szCs w:val="18"/>
    </w:rPr>
  </w:style>
  <w:style w:type="paragraph" w:styleId="18">
    <w:name w:val="header"/>
    <w:basedOn w:val="1"/>
    <w:autoRedefine/>
    <w:qFormat/>
    <w:uiPriority w:val="99"/>
    <w:pPr>
      <w:widowControl w:val="0"/>
      <w:pBdr>
        <w:bottom w:val="single" w:color="auto" w:sz="6" w:space="1"/>
      </w:pBdr>
      <w:tabs>
        <w:tab w:val="center" w:pos="4153"/>
        <w:tab w:val="right" w:pos="8306"/>
      </w:tabs>
      <w:snapToGrid w:val="0"/>
      <w:spacing w:line="240" w:lineRule="auto"/>
      <w:jc w:val="center"/>
    </w:pPr>
    <w:rPr>
      <w:rFonts w:ascii="Times New Roman" w:hAnsi="Times New Roman" w:eastAsia="宋体" w:cs="Times New Roman"/>
      <w:kern w:val="0"/>
      <w:sz w:val="18"/>
      <w:szCs w:val="18"/>
    </w:rPr>
  </w:style>
  <w:style w:type="paragraph" w:styleId="19">
    <w:name w:val="toc 1"/>
    <w:basedOn w:val="1"/>
    <w:next w:val="1"/>
    <w:autoRedefine/>
    <w:qFormat/>
    <w:uiPriority w:val="99"/>
  </w:style>
  <w:style w:type="paragraph" w:styleId="20">
    <w:name w:val="toc 4"/>
    <w:basedOn w:val="1"/>
    <w:next w:val="1"/>
    <w:autoRedefine/>
    <w:qFormat/>
    <w:uiPriority w:val="39"/>
    <w:pPr>
      <w:spacing w:line="240" w:lineRule="auto"/>
      <w:ind w:left="1260" w:leftChars="600"/>
    </w:pPr>
  </w:style>
  <w:style w:type="paragraph" w:styleId="21">
    <w:name w:val="toc 2"/>
    <w:basedOn w:val="1"/>
    <w:next w:val="1"/>
    <w:autoRedefine/>
    <w:qFormat/>
    <w:uiPriority w:val="99"/>
    <w:pPr>
      <w:ind w:left="420" w:leftChars="200"/>
    </w:pPr>
  </w:style>
  <w:style w:type="paragraph" w:styleId="22">
    <w:name w:val="Body Text 2"/>
    <w:basedOn w:val="1"/>
    <w:autoRedefine/>
    <w:qFormat/>
    <w:uiPriority w:val="0"/>
    <w:pPr>
      <w:spacing w:line="360" w:lineRule="auto"/>
    </w:pPr>
    <w:rPr>
      <w:rFonts w:ascii="幼圆" w:eastAsia="幼圆"/>
      <w:u w:val="single"/>
    </w:rPr>
  </w:style>
  <w:style w:type="paragraph" w:styleId="23">
    <w:name w:val="Message Header"/>
    <w:basedOn w:val="1"/>
    <w:autoRedefine/>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sz w:val="24"/>
    </w:rPr>
  </w:style>
  <w:style w:type="paragraph" w:styleId="24">
    <w:name w:val="HTML Preformatted"/>
    <w:basedOn w:val="1"/>
    <w:next w:val="1"/>
    <w:autoRedefine/>
    <w:qFormat/>
    <w:uiPriority w:val="99"/>
    <w:pPr>
      <w:jc w:val="left"/>
    </w:pPr>
    <w:rPr>
      <w:rFonts w:ascii="Arial" w:hAnsi="Arial" w:cs="Arial"/>
      <w:kern w:val="0"/>
      <w:sz w:val="24"/>
      <w:szCs w:val="24"/>
    </w:rPr>
  </w:style>
  <w:style w:type="paragraph" w:styleId="25">
    <w:name w:val="Normal (Web)"/>
    <w:basedOn w:val="1"/>
    <w:autoRedefine/>
    <w:qFormat/>
    <w:uiPriority w:val="99"/>
    <w:pPr>
      <w:spacing w:beforeAutospacing="1" w:afterAutospacing="1"/>
      <w:jc w:val="left"/>
    </w:pPr>
    <w:rPr>
      <w:kern w:val="0"/>
      <w:sz w:val="24"/>
      <w:szCs w:val="24"/>
    </w:rPr>
  </w:style>
  <w:style w:type="paragraph" w:styleId="26">
    <w:name w:val="annotation subject"/>
    <w:basedOn w:val="10"/>
    <w:next w:val="10"/>
    <w:link w:val="59"/>
    <w:autoRedefine/>
    <w:qFormat/>
    <w:uiPriority w:val="0"/>
    <w:rPr>
      <w:b/>
      <w:bCs/>
    </w:rPr>
  </w:style>
  <w:style w:type="paragraph" w:styleId="27">
    <w:name w:val="Body Text First Indent"/>
    <w:basedOn w:val="12"/>
    <w:autoRedefine/>
    <w:qFormat/>
    <w:uiPriority w:val="99"/>
    <w:pPr>
      <w:spacing w:line="240" w:lineRule="auto"/>
      <w:ind w:firstLine="420" w:firstLineChars="100"/>
    </w:pPr>
    <w:rPr>
      <w:rFonts w:ascii="Times New Roman" w:hAnsi="Times New Roman" w:cs="Times New Roman"/>
      <w:color w:val="auto"/>
      <w:sz w:val="18"/>
      <w:szCs w:val="18"/>
    </w:rPr>
  </w:style>
  <w:style w:type="paragraph" w:styleId="28">
    <w:name w:val="Body Text First Indent 2"/>
    <w:basedOn w:val="13"/>
    <w:autoRedefine/>
    <w:qFormat/>
    <w:uiPriority w:val="0"/>
    <w:pPr>
      <w:tabs>
        <w:tab w:val="left" w:pos="0"/>
      </w:tabs>
      <w:spacing w:line="240" w:lineRule="auto"/>
      <w:ind w:firstLine="420" w:firstLineChars="200"/>
    </w:pPr>
    <w:rPr>
      <w:rFonts w:eastAsia="楷体_GB2312"/>
      <w:b/>
      <w:szCs w:val="24"/>
    </w:rPr>
  </w:style>
  <w:style w:type="table" w:styleId="30">
    <w:name w:val="Table Grid"/>
    <w:basedOn w:val="29"/>
    <w:autoRedefine/>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2">
    <w:name w:val="Strong"/>
    <w:basedOn w:val="31"/>
    <w:autoRedefine/>
    <w:qFormat/>
    <w:uiPriority w:val="0"/>
    <w:rPr>
      <w:b/>
      <w:bCs/>
    </w:rPr>
  </w:style>
  <w:style w:type="character" w:styleId="33">
    <w:name w:val="page number"/>
    <w:basedOn w:val="31"/>
    <w:autoRedefine/>
    <w:qFormat/>
    <w:uiPriority w:val="0"/>
  </w:style>
  <w:style w:type="character" w:styleId="34">
    <w:name w:val="FollowedHyperlink"/>
    <w:basedOn w:val="31"/>
    <w:autoRedefine/>
    <w:qFormat/>
    <w:uiPriority w:val="0"/>
    <w:rPr>
      <w:color w:val="800080"/>
      <w:u w:val="none"/>
    </w:rPr>
  </w:style>
  <w:style w:type="character" w:styleId="35">
    <w:name w:val="Emphasis"/>
    <w:autoRedefine/>
    <w:qFormat/>
    <w:uiPriority w:val="0"/>
    <w:rPr>
      <w:i/>
      <w:iCs/>
    </w:rPr>
  </w:style>
  <w:style w:type="character" w:styleId="36">
    <w:name w:val="HTML Definition"/>
    <w:basedOn w:val="31"/>
    <w:autoRedefine/>
    <w:qFormat/>
    <w:uiPriority w:val="0"/>
  </w:style>
  <w:style w:type="character" w:styleId="37">
    <w:name w:val="HTML Typewriter"/>
    <w:basedOn w:val="31"/>
    <w:autoRedefine/>
    <w:qFormat/>
    <w:uiPriority w:val="0"/>
    <w:rPr>
      <w:rFonts w:hint="default" w:ascii="monospace" w:hAnsi="monospace" w:eastAsia="monospace" w:cs="monospace"/>
      <w:sz w:val="20"/>
    </w:rPr>
  </w:style>
  <w:style w:type="character" w:styleId="38">
    <w:name w:val="HTML Acronym"/>
    <w:basedOn w:val="31"/>
    <w:autoRedefine/>
    <w:qFormat/>
    <w:uiPriority w:val="0"/>
  </w:style>
  <w:style w:type="character" w:styleId="39">
    <w:name w:val="HTML Variable"/>
    <w:basedOn w:val="31"/>
    <w:autoRedefine/>
    <w:qFormat/>
    <w:uiPriority w:val="0"/>
  </w:style>
  <w:style w:type="character" w:styleId="40">
    <w:name w:val="Hyperlink"/>
    <w:autoRedefine/>
    <w:qFormat/>
    <w:uiPriority w:val="99"/>
    <w:rPr>
      <w:color w:val="000000"/>
      <w:sz w:val="18"/>
      <w:szCs w:val="18"/>
      <w:u w:val="none"/>
    </w:rPr>
  </w:style>
  <w:style w:type="character" w:styleId="41">
    <w:name w:val="HTML Code"/>
    <w:basedOn w:val="31"/>
    <w:autoRedefine/>
    <w:qFormat/>
    <w:uiPriority w:val="0"/>
    <w:rPr>
      <w:rFonts w:ascii="monospace" w:hAnsi="monospace" w:eastAsia="monospace" w:cs="monospace"/>
      <w:sz w:val="20"/>
    </w:rPr>
  </w:style>
  <w:style w:type="character" w:styleId="42">
    <w:name w:val="annotation reference"/>
    <w:autoRedefine/>
    <w:qFormat/>
    <w:uiPriority w:val="0"/>
    <w:rPr>
      <w:sz w:val="21"/>
      <w:szCs w:val="21"/>
    </w:rPr>
  </w:style>
  <w:style w:type="character" w:styleId="43">
    <w:name w:val="HTML Cite"/>
    <w:basedOn w:val="31"/>
    <w:autoRedefine/>
    <w:qFormat/>
    <w:uiPriority w:val="0"/>
  </w:style>
  <w:style w:type="character" w:styleId="44">
    <w:name w:val="HTML Keyboard"/>
    <w:basedOn w:val="31"/>
    <w:autoRedefine/>
    <w:qFormat/>
    <w:uiPriority w:val="0"/>
    <w:rPr>
      <w:rFonts w:hint="default" w:ascii="monospace" w:hAnsi="monospace" w:eastAsia="monospace" w:cs="monospace"/>
      <w:sz w:val="20"/>
    </w:rPr>
  </w:style>
  <w:style w:type="character" w:styleId="45">
    <w:name w:val="HTML Sample"/>
    <w:basedOn w:val="31"/>
    <w:autoRedefine/>
    <w:qFormat/>
    <w:uiPriority w:val="0"/>
    <w:rPr>
      <w:rFonts w:hint="default" w:ascii="monospace" w:hAnsi="monospace" w:eastAsia="monospace" w:cs="monospace"/>
    </w:rPr>
  </w:style>
  <w:style w:type="paragraph" w:customStyle="1" w:styleId="46">
    <w:name w:val="正文1"/>
    <w:next w:val="1"/>
    <w:autoRedefine/>
    <w:qFormat/>
    <w:uiPriority w:val="0"/>
    <w:pPr>
      <w:widowControl w:val="0"/>
      <w:adjustRightInd w:val="0"/>
      <w:spacing w:line="312" w:lineRule="atLeast"/>
      <w:jc w:val="both"/>
      <w:textAlignment w:val="baseline"/>
    </w:pPr>
    <w:rPr>
      <w:rFonts w:ascii="宋体" w:hAnsi="Times New Roman" w:eastAsia="宋体" w:cs="Times New Roman"/>
      <w:sz w:val="24"/>
      <w:lang w:val="en-US" w:eastAsia="zh-CN" w:bidi="ar-SA"/>
    </w:rPr>
  </w:style>
  <w:style w:type="paragraph" w:customStyle="1" w:styleId="47">
    <w:name w:val="font5"/>
    <w:basedOn w:val="1"/>
    <w:autoRedefine/>
    <w:qFormat/>
    <w:uiPriority w:val="0"/>
    <w:pPr>
      <w:widowControl/>
      <w:spacing w:before="100" w:beforeLines="0" w:beforeAutospacing="1" w:after="100" w:afterLines="0" w:afterAutospacing="1" w:line="240" w:lineRule="auto"/>
      <w:jc w:val="left"/>
    </w:pPr>
    <w:rPr>
      <w:rFonts w:ascii="宋体" w:hAnsi="宋体" w:cs="宋体"/>
      <w:kern w:val="0"/>
      <w:sz w:val="18"/>
      <w:szCs w:val="18"/>
    </w:rPr>
  </w:style>
  <w:style w:type="paragraph" w:customStyle="1" w:styleId="48">
    <w:name w:val="样式 10 磅"/>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9">
    <w:name w:val="RFI Heading 2nd Level Char"/>
    <w:basedOn w:val="1"/>
    <w:autoRedefine/>
    <w:qFormat/>
    <w:uiPriority w:val="0"/>
    <w:pPr>
      <w:widowControl/>
      <w:spacing w:before="240" w:after="240"/>
      <w:ind w:left="1152" w:hanging="1152"/>
      <w:outlineLvl w:val="1"/>
    </w:pPr>
    <w:rPr>
      <w:rFonts w:ascii="Arial (W1)" w:eastAsia="Times New Roman"/>
      <w:b/>
      <w:color w:val="3366FF"/>
      <w:sz w:val="24"/>
    </w:rPr>
  </w:style>
  <w:style w:type="paragraph" w:customStyle="1" w:styleId="50">
    <w:name w:val="Normal 0.51"/>
    <w:basedOn w:val="1"/>
    <w:autoRedefine/>
    <w:qFormat/>
    <w:uiPriority w:val="0"/>
    <w:pPr>
      <w:widowControl/>
      <w:spacing w:before="180" w:after="120"/>
      <w:ind w:left="720"/>
    </w:pPr>
    <w:rPr>
      <w:rFonts w:ascii="Times New Roman" w:eastAsia="宋体"/>
      <w:sz w:val="24"/>
    </w:rPr>
  </w:style>
  <w:style w:type="paragraph" w:customStyle="1" w:styleId="51">
    <w:name w:val="BodyText1I"/>
    <w:basedOn w:val="52"/>
    <w:autoRedefine/>
    <w:qFormat/>
    <w:uiPriority w:val="0"/>
    <w:pPr>
      <w:widowControl/>
      <w:spacing w:line="240" w:lineRule="auto"/>
      <w:ind w:firstLine="420" w:firstLineChars="100"/>
      <w:jc w:val="both"/>
    </w:pPr>
    <w:rPr>
      <w:rFonts w:ascii="Times New Roman" w:hAnsi="Times New Roman" w:eastAsia="华文仿宋"/>
      <w:color w:val="000000"/>
      <w:kern w:val="2"/>
      <w:sz w:val="18"/>
      <w:szCs w:val="18"/>
      <w:lang w:val="en-US" w:eastAsia="zh-CN" w:bidi="ar-SA"/>
    </w:rPr>
  </w:style>
  <w:style w:type="paragraph" w:customStyle="1" w:styleId="52">
    <w:name w:val="BodyText"/>
    <w:basedOn w:val="1"/>
    <w:autoRedefine/>
    <w:qFormat/>
    <w:uiPriority w:val="0"/>
    <w:pPr>
      <w:spacing w:after="156" w:line="360" w:lineRule="auto"/>
    </w:pPr>
    <w:rPr>
      <w:rFonts w:ascii="宋体" w:hAnsi="宋体"/>
      <w:color w:val="000000"/>
      <w:sz w:val="24"/>
    </w:rPr>
  </w:style>
  <w:style w:type="paragraph" w:customStyle="1" w:styleId="53">
    <w:name w:val="BodyText1I2"/>
    <w:basedOn w:val="54"/>
    <w:autoRedefine/>
    <w:qFormat/>
    <w:uiPriority w:val="0"/>
    <w:pPr>
      <w:widowControl/>
      <w:tabs>
        <w:tab w:val="left" w:pos="0"/>
      </w:tabs>
      <w:spacing w:after="120" w:line="240" w:lineRule="auto"/>
      <w:ind w:left="420" w:leftChars="200" w:firstLine="420" w:firstLineChars="200"/>
      <w:jc w:val="both"/>
    </w:pPr>
    <w:rPr>
      <w:rFonts w:eastAsia="楷体_GB2312"/>
      <w:b/>
      <w:szCs w:val="24"/>
    </w:rPr>
  </w:style>
  <w:style w:type="paragraph" w:customStyle="1" w:styleId="54">
    <w:name w:val="BodyTextIndent"/>
    <w:basedOn w:val="1"/>
    <w:autoRedefine/>
    <w:qFormat/>
    <w:uiPriority w:val="0"/>
    <w:pPr>
      <w:widowControl/>
      <w:spacing w:after="120" w:line="400" w:lineRule="exact"/>
      <w:ind w:left="420" w:leftChars="200"/>
      <w:jc w:val="both"/>
    </w:pPr>
  </w:style>
  <w:style w:type="character" w:customStyle="1" w:styleId="55">
    <w:name w:val="正文文本 Char"/>
    <w:link w:val="12"/>
    <w:autoRedefine/>
    <w:qFormat/>
    <w:uiPriority w:val="99"/>
    <w:rPr>
      <w:rFonts w:ascii="宋体" w:hAnsi="宋体" w:eastAsia="华文仿宋" w:cs="宋体"/>
      <w:color w:val="000000"/>
      <w:kern w:val="2"/>
      <w:sz w:val="24"/>
      <w:szCs w:val="24"/>
    </w:rPr>
  </w:style>
  <w:style w:type="character" w:customStyle="1" w:styleId="56">
    <w:name w:val="标题 1 Char"/>
    <w:link w:val="2"/>
    <w:autoRedefine/>
    <w:qFormat/>
    <w:uiPriority w:val="9"/>
    <w:rPr>
      <w:rFonts w:eastAsia="仿宋"/>
      <w:b/>
      <w:bCs/>
      <w:color w:val="000000"/>
      <w:kern w:val="44"/>
      <w:sz w:val="36"/>
      <w:szCs w:val="36"/>
    </w:rPr>
  </w:style>
  <w:style w:type="character" w:customStyle="1" w:styleId="57">
    <w:name w:val="批注文字 Char"/>
    <w:link w:val="10"/>
    <w:autoRedefine/>
    <w:qFormat/>
    <w:uiPriority w:val="0"/>
    <w:rPr>
      <w:rFonts w:ascii="Calibri Light" w:hAnsi="Calibri Light" w:eastAsia="华文仿宋" w:cs="Calibri Light"/>
      <w:kern w:val="2"/>
      <w:sz w:val="28"/>
      <w:szCs w:val="28"/>
    </w:rPr>
  </w:style>
  <w:style w:type="character" w:customStyle="1" w:styleId="58">
    <w:name w:val="批注框文本 Char"/>
    <w:link w:val="16"/>
    <w:autoRedefine/>
    <w:qFormat/>
    <w:uiPriority w:val="0"/>
    <w:rPr>
      <w:rFonts w:ascii="Calibri Light" w:hAnsi="Calibri Light" w:eastAsia="华文仿宋" w:cs="Calibri Light"/>
      <w:kern w:val="2"/>
      <w:sz w:val="18"/>
      <w:szCs w:val="18"/>
    </w:rPr>
  </w:style>
  <w:style w:type="character" w:customStyle="1" w:styleId="59">
    <w:name w:val="批注主题 Char"/>
    <w:link w:val="26"/>
    <w:autoRedefine/>
    <w:qFormat/>
    <w:uiPriority w:val="0"/>
  </w:style>
  <w:style w:type="paragraph" w:customStyle="1" w:styleId="60">
    <w:name w:val="正文（缩进 2 字符）"/>
    <w:basedOn w:val="1"/>
    <w:autoRedefine/>
    <w:qFormat/>
    <w:uiPriority w:val="99"/>
    <w:pPr>
      <w:ind w:firstLine="200" w:firstLineChars="200"/>
    </w:pPr>
  </w:style>
  <w:style w:type="paragraph" w:customStyle="1" w:styleId="61">
    <w:name w:val="正文（缩进 4 字符）"/>
    <w:basedOn w:val="1"/>
    <w:autoRedefine/>
    <w:qFormat/>
    <w:uiPriority w:val="99"/>
    <w:pPr>
      <w:ind w:firstLine="1134" w:firstLineChars="400"/>
    </w:pPr>
  </w:style>
  <w:style w:type="paragraph" w:customStyle="1" w:styleId="62">
    <w:name w:val="标题 2（投标文件）"/>
    <w:basedOn w:val="3"/>
    <w:autoRedefine/>
    <w:qFormat/>
    <w:uiPriority w:val="99"/>
    <w:pPr>
      <w:jc w:val="center"/>
    </w:pPr>
  </w:style>
  <w:style w:type="paragraph" w:customStyle="1" w:styleId="63">
    <w:name w:val="标题 3（投标文件）"/>
    <w:basedOn w:val="4"/>
    <w:autoRedefine/>
    <w:qFormat/>
    <w:uiPriority w:val="99"/>
    <w:pPr>
      <w:jc w:val="left"/>
    </w:pPr>
    <w:rPr>
      <w:u w:val="none"/>
    </w:rPr>
  </w:style>
  <w:style w:type="paragraph" w:customStyle="1" w:styleId="64">
    <w:name w:val="正文文本 31"/>
    <w:basedOn w:val="1"/>
    <w:autoRedefine/>
    <w:qFormat/>
    <w:uiPriority w:val="0"/>
    <w:rPr>
      <w:sz w:val="16"/>
      <w:szCs w:val="16"/>
    </w:rPr>
  </w:style>
  <w:style w:type="paragraph" w:customStyle="1" w:styleId="65">
    <w:name w:val="Default"/>
    <w:autoRedefine/>
    <w:qFormat/>
    <w:uiPriority w:val="99"/>
    <w:pPr>
      <w:widowControl w:val="0"/>
      <w:autoSpaceDE w:val="0"/>
      <w:autoSpaceDN w:val="0"/>
      <w:adjustRightInd w:val="0"/>
    </w:pPr>
    <w:rPr>
      <w:rFonts w:ascii="宋体" w:hAnsi="宋体" w:eastAsia="宋体" w:cs="宋体"/>
      <w:color w:val="000000"/>
      <w:sz w:val="24"/>
      <w:szCs w:val="24"/>
      <w:lang w:val="en-US" w:eastAsia="zh-CN" w:bidi="ar-SA"/>
    </w:rPr>
  </w:style>
  <w:style w:type="paragraph" w:customStyle="1" w:styleId="66">
    <w:name w:val="Table Paragraph"/>
    <w:basedOn w:val="1"/>
    <w:autoRedefine/>
    <w:qFormat/>
    <w:uiPriority w:val="99"/>
    <w:pPr>
      <w:autoSpaceDE w:val="0"/>
      <w:autoSpaceDN w:val="0"/>
      <w:jc w:val="left"/>
    </w:pPr>
    <w:rPr>
      <w:rFonts w:ascii="宋体" w:hAnsi="宋体" w:cs="宋体"/>
      <w:kern w:val="0"/>
      <w:sz w:val="22"/>
      <w:szCs w:val="22"/>
      <w:lang w:eastAsia="en-US"/>
    </w:rPr>
  </w:style>
  <w:style w:type="paragraph" w:customStyle="1" w:styleId="67">
    <w:name w:val="列出段落1"/>
    <w:basedOn w:val="1"/>
    <w:autoRedefine/>
    <w:qFormat/>
    <w:uiPriority w:val="34"/>
    <w:pPr>
      <w:ind w:firstLine="420" w:firstLineChars="200"/>
    </w:pPr>
    <w:rPr>
      <w:rFonts w:ascii="Times New Roman" w:hAnsi="Times New Roman"/>
    </w:rPr>
  </w:style>
  <w:style w:type="paragraph" w:customStyle="1" w:styleId="68">
    <w:name w:val="标题 5（有编号）（绿盟科技）"/>
    <w:basedOn w:val="1"/>
    <w:autoRedefine/>
    <w:qFormat/>
    <w:uiPriority w:val="0"/>
    <w:pPr>
      <w:keepNext/>
      <w:keepLines/>
      <w:numPr>
        <w:ilvl w:val="4"/>
        <w:numId w:val="2"/>
      </w:numPr>
      <w:tabs>
        <w:tab w:val="left" w:pos="0"/>
      </w:tabs>
      <w:spacing w:before="280" w:after="156" w:line="377" w:lineRule="auto"/>
      <w:outlineLvl w:val="4"/>
    </w:pPr>
    <w:rPr>
      <w:rFonts w:ascii="Arial" w:hAnsi="Arial" w:eastAsia="黑体"/>
      <w:b/>
      <w:kern w:val="0"/>
    </w:rPr>
  </w:style>
  <w:style w:type="paragraph" w:customStyle="1" w:styleId="69">
    <w:name w:val="样式4"/>
    <w:basedOn w:val="1"/>
    <w:autoRedefine/>
    <w:qFormat/>
    <w:uiPriority w:val="0"/>
    <w:pPr>
      <w:widowControl w:val="0"/>
      <w:autoSpaceDE w:val="0"/>
      <w:autoSpaceDN w:val="0"/>
      <w:spacing w:line="360" w:lineRule="auto"/>
      <w:ind w:firstLine="480" w:firstLineChars="200"/>
    </w:pPr>
    <w:rPr>
      <w:rFonts w:hint="eastAsia" w:ascii="宋体" w:hAnsi="宋体" w:eastAsia="等线" w:cs="Times New Roman"/>
      <w:color w:val="000000"/>
      <w:kern w:val="0"/>
      <w:sz w:val="24"/>
      <w:szCs w:val="24"/>
    </w:rPr>
  </w:style>
  <w:style w:type="paragraph" w:styleId="70">
    <w:name w:val="List Paragraph"/>
    <w:basedOn w:val="1"/>
    <w:autoRedefine/>
    <w:qFormat/>
    <w:uiPriority w:val="34"/>
    <w:pPr>
      <w:ind w:firstLine="420" w:firstLineChars="200"/>
    </w:pPr>
    <w:rPr>
      <w:szCs w:val="22"/>
    </w:rPr>
  </w:style>
  <w:style w:type="paragraph" w:customStyle="1" w:styleId="71">
    <w:name w:val="正文首行缩进两字符"/>
    <w:basedOn w:val="1"/>
    <w:autoRedefine/>
    <w:qFormat/>
    <w:uiPriority w:val="0"/>
    <w:pPr>
      <w:spacing w:line="360" w:lineRule="auto"/>
      <w:ind w:firstLine="200" w:firstLineChars="200"/>
    </w:pPr>
    <w:rPr>
      <w:rFonts w:cs="Times New Roman"/>
      <w:kern w:val="0"/>
      <w:sz w:val="24"/>
      <w:szCs w:val="20"/>
    </w:rPr>
  </w:style>
  <w:style w:type="character" w:customStyle="1" w:styleId="72">
    <w:name w:val="NormalCharacter"/>
    <w:autoRedefine/>
    <w:qFormat/>
    <w:uiPriority w:val="0"/>
    <w:rPr>
      <w:rFonts w:ascii="Calibri Light" w:hAnsi="Calibri Light" w:eastAsia="华文仿宋" w:cs="Calibri Light"/>
      <w:kern w:val="2"/>
      <w:sz w:val="28"/>
      <w:szCs w:val="28"/>
      <w:lang w:val="en-US" w:eastAsia="zh-CN" w:bidi="ar-SA"/>
    </w:rPr>
  </w:style>
  <w:style w:type="table" w:customStyle="1" w:styleId="73">
    <w:name w:val="Table Normal"/>
    <w:autoRedefine/>
    <w:unhideWhenUsed/>
    <w:qFormat/>
    <w:uiPriority w:val="0"/>
    <w:rPr>
      <w:lang w:val="en-US" w:eastAsia="zh-CN" w:bidi="ar-SA"/>
    </w:rPr>
    <w:tblPr>
      <w:tblCellMar>
        <w:top w:w="0" w:type="dxa"/>
        <w:left w:w="0" w:type="dxa"/>
        <w:bottom w:w="0" w:type="dxa"/>
        <w:right w:w="0" w:type="dxa"/>
      </w:tblCellMar>
    </w:tblPr>
  </w:style>
  <w:style w:type="paragraph" w:customStyle="1" w:styleId="74">
    <w:name w:val="msonormalcxspmiddle"/>
    <w:basedOn w:val="1"/>
    <w:autoRedefine/>
    <w:qFormat/>
    <w:uiPriority w:val="0"/>
    <w:pPr>
      <w:spacing w:before="100" w:beforeAutospacing="1" w:after="100" w:afterAutospacing="1"/>
      <w:jc w:val="left"/>
    </w:pPr>
    <w:rPr>
      <w:rFonts w:ascii="Times New Roman" w:hAnsi="Times New Roman"/>
      <w:sz w:val="24"/>
    </w:rPr>
  </w:style>
  <w:style w:type="paragraph" w:customStyle="1" w:styleId="75">
    <w:name w:val="p0"/>
    <w:basedOn w:val="1"/>
    <w:autoRedefine/>
    <w:qFormat/>
    <w:uiPriority w:val="0"/>
    <w:pPr>
      <w:widowControl/>
      <w:spacing w:line="240" w:lineRule="auto"/>
    </w:pPr>
    <w:rPr>
      <w:kern w:val="0"/>
      <w:szCs w:val="21"/>
    </w:rPr>
  </w:style>
  <w:style w:type="character" w:customStyle="1" w:styleId="76">
    <w:name w:val="input1"/>
    <w:basedOn w:val="31"/>
    <w:autoRedefine/>
    <w:qFormat/>
    <w:uiPriority w:val="0"/>
    <w:rPr>
      <w:color w:val="000000"/>
      <w:sz w:val="21"/>
      <w:szCs w:val="21"/>
      <w:bdr w:val="single" w:color="000000" w:sz="2" w:space="0"/>
      <w:shd w:val="clear" w:fill="F7F2B0"/>
    </w:rPr>
  </w:style>
  <w:style w:type="character" w:customStyle="1" w:styleId="77">
    <w:name w:val="wdate1"/>
    <w:basedOn w:val="31"/>
    <w:autoRedefine/>
    <w:qFormat/>
    <w:uiPriority w:val="0"/>
    <w:rPr>
      <w:shd w:val="clear" w:fill="F7F2B0"/>
    </w:rPr>
  </w:style>
  <w:style w:type="paragraph" w:customStyle="1" w:styleId="78">
    <w:name w:val="Table Text"/>
    <w:autoRedefine/>
    <w:qFormat/>
    <w:uiPriority w:val="0"/>
    <w:pPr>
      <w:kinsoku w:val="0"/>
      <w:autoSpaceDE w:val="0"/>
      <w:autoSpaceDN w:val="0"/>
      <w:adjustRightInd w:val="0"/>
      <w:snapToGrid w:val="0"/>
      <w:spacing w:line="240" w:lineRule="auto"/>
      <w:jc w:val="left"/>
      <w:textAlignment w:val="baseline"/>
    </w:pPr>
    <w:rPr>
      <w:rFonts w:ascii="仿宋" w:hAnsi="仿宋" w:eastAsia="仿宋" w:cs="仿宋"/>
      <w:snapToGrid w:val="0"/>
      <w:color w:val="000000"/>
      <w:kern w:val="0"/>
      <w:sz w:val="24"/>
      <w:szCs w:val="24"/>
      <w:lang w:val="en-US" w:eastAsia="en-US" w:bidi="ar-SA"/>
    </w:rPr>
  </w:style>
  <w:style w:type="paragraph" w:customStyle="1" w:styleId="79">
    <w:name w:val="※正文"/>
    <w:basedOn w:val="1"/>
    <w:next w:val="1"/>
    <w:qFormat/>
    <w:uiPriority w:val="0"/>
    <w:pPr>
      <w:widowControl/>
      <w:wordWrap w:val="0"/>
      <w:spacing w:line="400" w:lineRule="exact"/>
    </w:pPr>
    <w:rPr>
      <w:rFonts w:ascii="Calibri Light" w:hAnsi="Calibri Light" w:eastAsia="华文仿宋"/>
      <w:sz w:val="28"/>
      <w:szCs w:val="28"/>
    </w:rPr>
  </w:style>
  <w:style w:type="paragraph" w:customStyle="1" w:styleId="80">
    <w:name w:val="样式1"/>
    <w:basedOn w:val="1"/>
    <w:qFormat/>
    <w:uiPriority w:val="99"/>
    <w:pPr>
      <w:adjustRightInd w:val="0"/>
      <w:textAlignment w:val="baseline"/>
    </w:pPr>
    <w:rPr>
      <w:rFonts w:ascii="宋体" w:hAnsi="宋体"/>
      <w:kern w:val="0"/>
      <w:szCs w:val="21"/>
    </w:rPr>
  </w:style>
  <w:style w:type="character" w:customStyle="1" w:styleId="81">
    <w:name w:val="font11"/>
    <w:qFormat/>
    <w:uiPriority w:val="0"/>
    <w:rPr>
      <w:rFonts w:hint="eastAsia" w:ascii="宋体" w:hAnsi="宋体" w:eastAsia="宋体" w:cs="宋体"/>
      <w:color w:val="000000"/>
      <w:sz w:val="20"/>
      <w:szCs w:val="20"/>
      <w:u w:val="none"/>
    </w:rPr>
  </w:style>
  <w:style w:type="character" w:customStyle="1" w:styleId="82">
    <w:name w:val="font31"/>
    <w:qFormat/>
    <w:uiPriority w:val="0"/>
    <w:rPr>
      <w:rFonts w:hint="eastAsia" w:ascii="宋体" w:hAnsi="宋体" w:eastAsia="宋体" w:cs="宋体"/>
      <w:color w:val="000000"/>
      <w:sz w:val="20"/>
      <w:szCs w:val="20"/>
      <w:u w:val="single"/>
    </w:rPr>
  </w:style>
  <w:style w:type="character" w:customStyle="1" w:styleId="83">
    <w:name w:val="font21"/>
    <w:qFormat/>
    <w:uiPriority w:val="0"/>
    <w:rPr>
      <w:rFonts w:hint="eastAsia" w:ascii="宋体" w:hAnsi="宋体" w:eastAsia="宋体" w:cs="宋体"/>
      <w:b/>
      <w:bCs/>
      <w:color w:val="000000"/>
      <w:sz w:val="36"/>
      <w:szCs w:val="36"/>
      <w:u w:val="none"/>
    </w:rPr>
  </w:style>
  <w:style w:type="character" w:customStyle="1" w:styleId="84">
    <w:name w:val="font51"/>
    <w:qFormat/>
    <w:uiPriority w:val="0"/>
    <w:rPr>
      <w:rFonts w:hint="eastAsia" w:ascii="宋体" w:hAnsi="宋体" w:eastAsia="宋体" w:cs="宋体"/>
      <w:b/>
      <w:bCs/>
      <w:color w:val="000000"/>
      <w:sz w:val="36"/>
      <w:szCs w:val="36"/>
      <w:u w:val="single"/>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footer" Target="footer5.xml"/><Relationship Id="rId15" Type="http://schemas.openxmlformats.org/officeDocument/2006/relationships/header" Target="header7.xml"/><Relationship Id="rId14" Type="http://schemas.openxmlformats.org/officeDocument/2006/relationships/footer" Target="footer4.xml"/><Relationship Id="rId13" Type="http://schemas.openxmlformats.org/officeDocument/2006/relationships/header" Target="header6.xml"/><Relationship Id="rId12" Type="http://schemas.openxmlformats.org/officeDocument/2006/relationships/footer" Target="footer3.xml"/><Relationship Id="rId11" Type="http://schemas.openxmlformats.org/officeDocument/2006/relationships/header" Target="header5.xml"/><Relationship Id="rId10" Type="http://schemas.openxmlformats.org/officeDocument/2006/relationships/footer" Target="footer2.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satMod val="300000"/>
                <a:tint val="50000"/>
              </a:schemeClr>
            </a:gs>
            <a:gs pos="35000">
              <a:schemeClr val="phClr">
                <a:satMod val="300000"/>
                <a:tint val="37000"/>
              </a:schemeClr>
            </a:gs>
            <a:gs pos="100000">
              <a:schemeClr val="phClr">
                <a:satMod val="350000"/>
                <a:tint val="15000"/>
              </a:schemeClr>
            </a:gs>
          </a:gsLst>
          <a:lin ang="16200000" scaled="1"/>
        </a:gradFill>
        <a:gradFill rotWithShape="1">
          <a:gsLst>
            <a:gs pos="0">
              <a:schemeClr val="phClr">
                <a:satMod val="130000"/>
                <a:shade val="51000"/>
              </a:schemeClr>
            </a:gs>
            <a:gs pos="80000">
              <a:schemeClr val="phClr">
                <a:satMod val="130000"/>
                <a:shade val="93000"/>
              </a:schemeClr>
            </a:gs>
            <a:gs pos="100000">
              <a:schemeClr val="phClr">
                <a:satMod val="135000"/>
                <a:shade val="94000"/>
              </a:schemeClr>
            </a:gs>
          </a:gsLst>
          <a:lin ang="16200000" scaled="0"/>
        </a:gradFill>
      </a:fillStyleLst>
      <a:lnStyleLst>
        <a:ln w="9525" cap="flat" cmpd="sng" algn="ctr">
          <a:solidFill>
            <a:schemeClr val="phClr">
              <a:satMod val="105000"/>
              <a:shade val="9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atMod val="350000"/>
                <a:tint val="40000"/>
              </a:schemeClr>
            </a:gs>
            <a:gs pos="40000">
              <a:schemeClr val="phClr">
                <a:satMod val="350000"/>
                <a:shade val="99000"/>
                <a:tint val="45000"/>
              </a:schemeClr>
            </a:gs>
            <a:gs pos="100000">
              <a:schemeClr val="phClr">
                <a:satMod val="255000"/>
                <a:shade val="20000"/>
              </a:schemeClr>
            </a:gs>
          </a:gsLst>
          <a:path path="circle">
            <a:fillToRect l="50000" t="-80000" r="50000" b="180000"/>
          </a:path>
        </a:gradFill>
        <a:gradFill rotWithShape="1">
          <a:gsLst>
            <a:gs pos="0">
              <a:schemeClr val="phClr">
                <a:satMod val="300000"/>
                <a:tint val="80000"/>
              </a:schemeClr>
            </a:gs>
            <a:gs pos="100000">
              <a:schemeClr val="phClr">
                <a:satMod val="200000"/>
                <a:shade val="3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97</Pages>
  <Words>3720</Words>
  <Characters>4113</Characters>
  <Lines>288</Lines>
  <Paragraphs>81</Paragraphs>
  <TotalTime>283</TotalTime>
  <ScaleCrop>false</ScaleCrop>
  <LinksUpToDate>false</LinksUpToDate>
  <CharactersWithSpaces>4157</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2022-11-01T07:08:00Z</dcterms:created>
  <dc:creator>一颗糖豆</dc:creator>
  <cp:lastModifiedBy>祈如初</cp:lastModifiedBy>
  <cp:lastPrinted>2026-08-07T01:40:00Z</cp:lastPrinted>
  <dcterms:modified xsi:type="dcterms:W3CDTF">2026-08-07T09:21:11Z</dcterms:modified>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BFC9AD9606B3456C99F0B8DEF91AC682_13</vt:lpwstr>
  </property>
  <property fmtid="{D5CDD505-2E9C-101B-9397-08002B2CF9AE}" pid="4" name="KSOTemplateDocerSaveRecord">
    <vt:lpwstr>eyJoZGlkIjoiNmRmMDE3MjZkNzUzM2NhYTc5YjY5Y2Q5MjlhZTkyNGQiLCJ1c2VySWQiOiIxNzMyNTM1MjczIn0=</vt:lpwstr>
  </property>
</Properties>
</file>