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版本号：SCZD2026-CS-1298-00120260622002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主院区腔镜中心装修改造项目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SCZD2026-CS-1298-001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主院区腔镜中心装修改造项目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SCZD2026-CS-1298-001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主院区腔镜中心装修改造项目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主院区腔镜中心装修改造项目全专业装修，包含建筑、给排水、暖通、电气等专业及加固改造。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采购包1（陕西省人民医院主院区腔镜中心装修改造项目）：属于专门面向中小企业采购。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p>
      <w:pPr>
        <w:pStyle w:val="null3"/>
      </w:pPr>
      <w:r>
        <w:rPr>
          <w:rFonts w:ascii="仿宋_GB2312" w:hAnsi="仿宋_GB2312" w:cs="仿宋_GB2312" w:eastAsia="仿宋_GB2312"/>
        </w:rPr>
        <w:t>3、企业资质：供应商须具备建筑工程施工总承包三级及以上资质，并具备合法有效的安全生产许可证</w:t>
      </w:r>
    </w:p>
    <w:p>
      <w:pPr>
        <w:pStyle w:val="null3"/>
      </w:pPr>
      <w:r>
        <w:rPr>
          <w:rFonts w:ascii="仿宋_GB2312" w:hAnsi="仿宋_GB2312" w:cs="仿宋_GB2312" w:eastAsia="仿宋_GB2312"/>
        </w:rPr>
        <w:t>4、项目经理资质：拟派项目经理须具备建筑工程专业二级及以上注册建造师执业资格，并具有有效的安全生产考核合格证书（建安B证），在本单位注册，且未担任其他在施建设工程的项目经理（提供承诺书）</w:t>
      </w:r>
    </w:p>
    <w:p>
      <w:pPr>
        <w:pStyle w:val="null3"/>
      </w:pPr>
      <w:r>
        <w:rPr>
          <w:rFonts w:ascii="仿宋_GB2312" w:hAnsi="仿宋_GB2312" w:cs="仿宋_GB2312" w:eastAsia="仿宋_GB2312"/>
        </w:rPr>
        <w:t>5、网站可查询：供应商基本信息及项目经理执业基本信息在“陕西省住房和城乡建设厅（http://js.shaanxi.gov.cn/）”网站可查询</w:t>
      </w:r>
    </w:p>
    <w:p>
      <w:pPr>
        <w:pStyle w:val="null3"/>
      </w:pPr>
      <w:r>
        <w:rPr>
          <w:rFonts w:ascii="仿宋_GB2312" w:hAnsi="仿宋_GB2312" w:cs="仿宋_GB2312" w:eastAsia="仿宋_GB2312"/>
        </w:rPr>
        <w:t>6、供应商不得存在下列情形之一：（1）单位负责人为同一人或者存在直接控股、管理关系的不同供应商，不得参加本次采购活动；（2）为本项目提供整体设计、规范编制或者项目管理、监理、检测等服务的供应商，不得再参加本项目的采购活动</w:t>
      </w:r>
    </w:p>
    <w:p>
      <w:pPr>
        <w:pStyle w:val="null3"/>
      </w:pPr>
      <w:r>
        <w:rPr>
          <w:rFonts w:ascii="仿宋_GB2312" w:hAnsi="仿宋_GB2312" w:cs="仿宋_GB2312" w:eastAsia="仿宋_GB2312"/>
        </w:rPr>
        <w:t>7、规定方式获取文件：需按照磋商公告要求的方式获取磋商文件并登记备案，未按磋商公告要求的方式获取磋商文件并登记备案的供应商均无资格参加磋商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银行账号：102460078571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代理服务费收费标准：参照原国家计委计价格〔2002〕1980号文的计算方法按标准下浮43%收取。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踏勘时间：2026-06-23 09:30:00</w:t>
            </w:r>
          </w:p>
          <w:p>
            <w:pPr>
              <w:pStyle w:val="null3"/>
              <w:ind w:firstLine="975"/>
            </w:pPr>
            <w:r>
              <w:rPr>
                <w:rFonts w:ascii="仿宋_GB2312" w:hAnsi="仿宋_GB2312" w:cs="仿宋_GB2312" w:eastAsia="仿宋_GB2312"/>
              </w:rPr>
              <w:t>踏勘地点：陕西省人民医院主院区门诊楼</w:t>
            </w:r>
          </w:p>
          <w:p>
            <w:pPr>
              <w:pStyle w:val="null3"/>
              <w:ind w:firstLine="975"/>
            </w:pPr>
            <w:r>
              <w:rPr>
                <w:rFonts w:ascii="仿宋_GB2312" w:hAnsi="仿宋_GB2312" w:cs="仿宋_GB2312" w:eastAsia="仿宋_GB2312"/>
              </w:rPr>
              <w:t>联系人：刘海</w:t>
            </w:r>
          </w:p>
          <w:p>
            <w:pPr>
              <w:pStyle w:val="null3"/>
              <w:ind w:firstLine="975"/>
            </w:pPr>
            <w:r>
              <w:rPr>
                <w:rFonts w:ascii="仿宋_GB2312" w:hAnsi="仿宋_GB2312" w:cs="仿宋_GB2312" w:eastAsia="仿宋_GB2312"/>
              </w:rPr>
              <w:t>联系电话号码：15319418568</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2,420,000.00</w:t>
      </w:r>
    </w:p>
    <w:p>
      <w:pPr>
        <w:pStyle w:val="null3"/>
      </w:pPr>
      <w:r>
        <w:rPr>
          <w:rFonts w:ascii="仿宋_GB2312" w:hAnsi="仿宋_GB2312" w:cs="仿宋_GB2312" w:eastAsia="仿宋_GB2312"/>
        </w:rPr>
        <w:t>采购包最高限价（元）: 2,419,832.66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主院区腔镜中心装修改造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标的名称：主院区腔镜中心装修改造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1.建筑规模：建筑面积1330㎡，结构类型：框架结构</w:t>
            </w:r>
          </w:p>
          <w:p>
            <w:pPr>
              <w:pStyle w:val="null3"/>
              <w:jc w:val="both"/>
            </w:pPr>
            <w:r>
              <w:rPr>
                <w:rFonts w:ascii="仿宋_GB2312" w:hAnsi="仿宋_GB2312" w:cs="仿宋_GB2312" w:eastAsia="仿宋_GB2312"/>
                <w:sz w:val="20"/>
              </w:rPr>
              <w:t>2.项目内容：本次施工范围为门诊楼五层部分区域，对现有楼层进行内部装饰装修，主要包含布局改造、局部拆除及配套水暖电改造。具体要求详见图纸、清单。</w:t>
            </w:r>
          </w:p>
          <w:p>
            <w:pPr>
              <w:pStyle w:val="null3"/>
              <w:jc w:val="both"/>
            </w:pPr>
            <w:r>
              <w:rPr>
                <w:rFonts w:ascii="仿宋_GB2312" w:hAnsi="仿宋_GB2312" w:cs="仿宋_GB2312" w:eastAsia="仿宋_GB2312"/>
                <w:sz w:val="20"/>
              </w:rPr>
              <w:t>3.施工地点：陕西省人民医院主院区门诊楼五层</w:t>
            </w:r>
          </w:p>
          <w:p>
            <w:pPr>
              <w:pStyle w:val="null3"/>
            </w:pPr>
            <w:r>
              <w:rPr>
                <w:rFonts w:ascii="仿宋_GB2312" w:hAnsi="仿宋_GB2312" w:cs="仿宋_GB2312" w:eastAsia="仿宋_GB2312"/>
                <w:sz w:val="20"/>
              </w:rPr>
              <w:t>4.现场条件：现场为医院内部，以现场踏勘情况为准。</w:t>
            </w:r>
          </w:p>
          <w:p>
            <w:pPr>
              <w:pStyle w:val="null3"/>
            </w:pPr>
            <w:r>
              <w:rPr>
                <w:rFonts w:ascii="仿宋_GB2312" w:hAnsi="仿宋_GB2312" w:cs="仿宋_GB2312" w:eastAsia="仿宋_GB2312"/>
                <w:sz w:val="20"/>
              </w:rPr>
              <w:t>5.工期：90天。</w:t>
            </w:r>
          </w:p>
          <w:p>
            <w:pPr>
              <w:pStyle w:val="null3"/>
            </w:pPr>
            <w:r>
              <w:rPr>
                <w:rFonts w:ascii="仿宋_GB2312" w:hAnsi="仿宋_GB2312" w:cs="仿宋_GB2312" w:eastAsia="仿宋_GB2312"/>
                <w:sz w:val="20"/>
              </w:rPr>
              <w:t>6.工程验收合格后支付至合同金额的70%；审计完成后，支付至审定金额的97%，3%作为质保金，质保期满2年后一次性无息付完。</w:t>
            </w:r>
          </w:p>
          <w:p>
            <w:pPr>
              <w:pStyle w:val="null3"/>
            </w:pPr>
            <w:r>
              <w:rPr>
                <w:rFonts w:ascii="仿宋_GB2312" w:hAnsi="仿宋_GB2312" w:cs="仿宋_GB2312" w:eastAsia="仿宋_GB2312"/>
                <w:sz w:val="20"/>
              </w:rPr>
              <w:t>7.质保期及质保保修要求：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1）质保期2年；</w:t>
            </w:r>
          </w:p>
          <w:p>
            <w:pPr>
              <w:pStyle w:val="null3"/>
            </w:pPr>
            <w:r>
              <w:rPr>
                <w:rFonts w:ascii="仿宋_GB2312" w:hAnsi="仿宋_GB2312" w:cs="仿宋_GB2312" w:eastAsia="仿宋_GB2312"/>
                <w:sz w:val="20"/>
              </w:rPr>
              <w:t>（</w:t>
            </w:r>
            <w:r>
              <w:rPr>
                <w:rFonts w:ascii="仿宋_GB2312" w:hAnsi="仿宋_GB2312" w:cs="仿宋_GB2312" w:eastAsia="仿宋_GB2312"/>
                <w:sz w:val="20"/>
              </w:rPr>
              <w:t>2）质保期保修要求</w:t>
            </w:r>
          </w:p>
          <w:p>
            <w:pPr>
              <w:pStyle w:val="null3"/>
            </w:pPr>
            <w:r>
              <w:rPr>
                <w:rFonts w:ascii="仿宋_GB2312" w:hAnsi="仿宋_GB2312" w:cs="仿宋_GB2312" w:eastAsia="仿宋_GB2312"/>
                <w:sz w:val="20"/>
              </w:rPr>
              <w:t>整体工程质保期</w:t>
            </w:r>
            <w:r>
              <w:rPr>
                <w:rFonts w:ascii="仿宋_GB2312" w:hAnsi="仿宋_GB2312" w:cs="仿宋_GB2312" w:eastAsia="仿宋_GB2312"/>
                <w:sz w:val="20"/>
              </w:rPr>
              <w:t>2年，屋面防水工程5年，承包人必须严格按照审定的施工图和相关法律法规规定执行 。对于涉及结构安全的质量问题，应当按照《建设工程质量管理条例》的规定，立即向当地建设行政主管部门和有关部门报告，采取安全防范措施，并由承包人提出保修方案，如需设计的，需由原设计单位或具有相应资质等级的设计人提出保修方案，承包人实施保修。</w:t>
            </w:r>
          </w:p>
          <w:p>
            <w:pPr>
              <w:pStyle w:val="null3"/>
            </w:pPr>
            <w:r>
              <w:rPr>
                <w:rFonts w:ascii="仿宋_GB2312" w:hAnsi="仿宋_GB2312" w:cs="仿宋_GB2312" w:eastAsia="仿宋_GB2312"/>
                <w:sz w:val="20"/>
              </w:rPr>
              <w:t>8.工程验收的主要依据、标准及要求：</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2242"/>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规范、规程、标准名称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施工材料符合招标及环保要求，主材提供检验合格证、生产合格证等。</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部分施工工艺满足相关施工验收标准</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pPr>
            <w:r>
              <w:rPr>
                <w:rFonts w:ascii="仿宋_GB2312" w:hAnsi="仿宋_GB2312" w:cs="仿宋_GB2312" w:eastAsia="仿宋_GB2312"/>
              </w:rPr>
              <w:t>2.承包人在施工过程中使用或参考上述标准、规范以外的技术标准、规范时，应征得采购人的同意。</w:t>
            </w:r>
          </w:p>
          <w:p>
            <w:pPr>
              <w:pStyle w:val="null3"/>
            </w:pPr>
            <w:r>
              <w:rPr>
                <w:rFonts w:ascii="仿宋_GB2312" w:hAnsi="仿宋_GB2312" w:cs="仿宋_GB2312" w:eastAsia="仿宋_GB2312"/>
              </w:rPr>
              <w:t>3.在施工过程中，如果国家或有关部门颁布了新的技术标准或规范，则承包人应采用新的标准或规范进行施工。</w:t>
            </w:r>
          </w:p>
          <w:p>
            <w:pPr>
              <w:pStyle w:val="null3"/>
            </w:pPr>
            <w:r>
              <w:rPr>
                <w:rFonts w:ascii="仿宋_GB2312" w:hAnsi="仿宋_GB2312" w:cs="仿宋_GB2312" w:eastAsia="仿宋_GB2312"/>
              </w:rPr>
              <w:t>4.采购人提供工程的施工图纸和相关技术文件，是采购人现有的能被投标人利用的资料，采购人对投标人做出的任何推论、理解均不负责任。</w:t>
            </w:r>
          </w:p>
          <w:p>
            <w:pPr>
              <w:pStyle w:val="null3"/>
            </w:pPr>
            <w:r>
              <w:rPr>
                <w:rFonts w:ascii="仿宋_GB2312" w:hAnsi="仿宋_GB2312" w:cs="仿宋_GB2312" w:eastAsia="仿宋_GB2312"/>
              </w:rPr>
              <w:t>5.投标人应先到工地踏勘以充分了解工地位置、地质情况、进出场道路、拆迁干扰、储存空间、运输能力、装卸限制、行车干扰及任何其它足以影响承包价格的情况，了解设计图纸、施工规范、标准以及施工现场实际等情况，并应考虑现有人、材、机市场水平和供应、投标风险、不利的施工因素等，任何因忽视或误解工地情况而导致的索赔或工期延长申请将不获批准。</w:t>
            </w:r>
          </w:p>
          <w:p>
            <w:pPr>
              <w:pStyle w:val="null3"/>
            </w:pPr>
            <w:r>
              <w:rPr>
                <w:rFonts w:ascii="仿宋_GB2312" w:hAnsi="仿宋_GB2312" w:cs="仿宋_GB2312" w:eastAsia="仿宋_GB2312"/>
              </w:rPr>
              <w:t>6.投标人所提供的组件或附件如需向第三方外购时， 投标人应对质量负责，并提供相应的出厂和验收证明及相关技术文件。同时，还应满足本招标文件、工程量清单、施工图纸中的相关技术要求。</w:t>
            </w:r>
          </w:p>
          <w:p>
            <w:pPr>
              <w:pStyle w:val="null3"/>
            </w:pPr>
            <w:r>
              <w:rPr>
                <w:rFonts w:ascii="仿宋_GB2312" w:hAnsi="仿宋_GB2312" w:cs="仿宋_GB2312" w:eastAsia="仿宋_GB2312"/>
              </w:rPr>
              <w:t>7.质量必须达到现行合格标准，符合国家、行业、地方规定以及招标文件规定的强制性质量和安全标准要求。</w:t>
            </w:r>
          </w:p>
          <w:p>
            <w:pPr>
              <w:pStyle w:val="null3"/>
            </w:pPr>
            <w:r>
              <w:rPr>
                <w:rFonts w:ascii="仿宋_GB2312" w:hAnsi="仿宋_GB2312" w:cs="仿宋_GB2312" w:eastAsia="仿宋_GB2312"/>
              </w:rPr>
              <w:t>8.投标人中标后，本投标书中拟派项目经理必须与施工时实际委派项目经理一致，采购人将在签署施工合同前查验项目经理相关资质、身份材料以及中标人为项目经理最近半年缴纳社保的缴费凭据。项目经理必须履职尽责，全程参与施工、例会、解决施工中的问题，严禁挂名挂证。</w:t>
            </w:r>
          </w:p>
          <w:p>
            <w:pPr>
              <w:pStyle w:val="null3"/>
            </w:pPr>
            <w:r>
              <w:rPr>
                <w:rFonts w:ascii="仿宋_GB2312" w:hAnsi="仿宋_GB2312" w:cs="仿宋_GB2312" w:eastAsia="仿宋_GB2312"/>
              </w:rPr>
              <w:t>9</w:t>
            </w:r>
            <w:r>
              <w:rPr>
                <w:rFonts w:ascii="仿宋_GB2312" w:hAnsi="仿宋_GB2312" w:cs="仿宋_GB2312" w:eastAsia="仿宋_GB2312"/>
              </w:rPr>
              <w:t>. 投标人在招标过程中需要标明所有成品设备和产品的名称、规格型号、生产厂家、单价等有效信息。</w:t>
            </w:r>
          </w:p>
          <w:p>
            <w:pPr>
              <w:pStyle w:val="null3"/>
            </w:pP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.施工过程中，投标人应制定详细可行的防污降噪处理措施，减少对周围环境的影响，每天施工结束后对施工现场进行清扫，保证不影响医院正常办公和病人正常就诊。</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.承包人需要将专业工程或劳务进行分包的，应分包给具有相应资质的专业或劳务企业，并与分包企业签订分包合同。</w:t>
            </w:r>
          </w:p>
          <w:p>
            <w:pPr>
              <w:pStyle w:val="null3"/>
            </w:pPr>
            <w:r>
              <w:rPr>
                <w:rFonts w:ascii="仿宋_GB2312" w:hAnsi="仿宋_GB2312" w:cs="仿宋_GB2312" w:eastAsia="仿宋_GB2312"/>
              </w:rPr>
              <w:t>12</w:t>
            </w:r>
            <w:r>
              <w:rPr>
                <w:rFonts w:ascii="仿宋_GB2312" w:hAnsi="仿宋_GB2312" w:cs="仿宋_GB2312" w:eastAsia="仿宋_GB2312"/>
              </w:rPr>
              <w:t>.承包人不得将其承包的工程转包给他人，也不得将其承包的工程以分包的名义转包给他人。</w:t>
            </w:r>
          </w:p>
          <w:p>
            <w:pPr>
              <w:pStyle w:val="null3"/>
            </w:pPr>
            <w:r>
              <w:rPr>
                <w:rFonts w:ascii="仿宋_GB2312" w:hAnsi="仿宋_GB2312" w:cs="仿宋_GB2312" w:eastAsia="仿宋_GB2312"/>
              </w:rPr>
              <w:t>13</w:t>
            </w:r>
            <w:r>
              <w:rPr>
                <w:rFonts w:ascii="仿宋_GB2312" w:hAnsi="仿宋_GB2312" w:cs="仿宋_GB2312" w:eastAsia="仿宋_GB2312"/>
              </w:rPr>
              <w:t>.工程分包不能解除承包人任何责任与义务。承包人应在分包场地派驻相应管理人员，保证本合同的履行。分包单位的任何违约行为或疏忽导致工程损害或给发包人造成其他损失，承包人承担连带责任。</w:t>
            </w:r>
          </w:p>
          <w:p>
            <w:pPr>
              <w:pStyle w:val="null3"/>
            </w:pPr>
            <w:r>
              <w:rPr>
                <w:rFonts w:ascii="仿宋_GB2312" w:hAnsi="仿宋_GB2312" w:cs="仿宋_GB2312" w:eastAsia="仿宋_GB2312"/>
                <w:sz w:val="21"/>
              </w:rPr>
              <w:t>14.</w:t>
            </w:r>
            <w:r>
              <w:rPr>
                <w:rFonts w:ascii="仿宋_GB2312" w:hAnsi="仿宋_GB2312" w:cs="仿宋_GB2312" w:eastAsia="仿宋_GB2312"/>
                <w:sz w:val="21"/>
              </w:rPr>
              <w:t>因施工方组织不力或者有意怠工造成工期拖延超过合同约定</w:t>
            </w:r>
            <w:r>
              <w:rPr>
                <w:rFonts w:ascii="仿宋_GB2312" w:hAnsi="仿宋_GB2312" w:cs="仿宋_GB2312" w:eastAsia="仿宋_GB2312"/>
                <w:sz w:val="21"/>
              </w:rPr>
              <w:t>30%时，施工方即构成事实违约，采购方有权更换施工方，施工方已经发生的工程或材料费用不予结算。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具体内容详见清单及图纸，见附件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报价形式：</w:t>
            </w:r>
          </w:p>
          <w:p>
            <w:pPr>
              <w:pStyle w:val="null3"/>
              <w:jc w:val="both"/>
            </w:pPr>
            <w:r>
              <w:rPr>
                <w:rFonts w:ascii="仿宋_GB2312" w:hAnsi="仿宋_GB2312" w:cs="仿宋_GB2312" w:eastAsia="仿宋_GB2312"/>
                <w:sz w:val="20"/>
              </w:rPr>
              <w:t>1.本工程合同形式为固定综合单价合同；</w:t>
            </w:r>
          </w:p>
          <w:p>
            <w:pPr>
              <w:pStyle w:val="null3"/>
              <w:jc w:val="both"/>
            </w:pPr>
            <w:r>
              <w:rPr>
                <w:rFonts w:ascii="仿宋_GB2312" w:hAnsi="仿宋_GB2312" w:cs="仿宋_GB2312" w:eastAsia="仿宋_GB2312"/>
                <w:sz w:val="20"/>
              </w:rPr>
              <w:t>2.本工程计价采用固定综合单价，各投标人依据企业自身情况自主报价、风险自负。所有投标报价中的单价和合价均以人民币表示。</w:t>
            </w:r>
          </w:p>
          <w:p>
            <w:pPr>
              <w:pStyle w:val="null3"/>
              <w:jc w:val="both"/>
            </w:pPr>
            <w:r>
              <w:rPr>
                <w:rFonts w:ascii="仿宋_GB2312" w:hAnsi="仿宋_GB2312" w:cs="仿宋_GB2312" w:eastAsia="仿宋_GB2312"/>
                <w:sz w:val="20"/>
              </w:rPr>
              <w:t>3.投标人在投标报价时应仔细对招标文件进行透彻的分析研究，对图纸进行仔细的阅读和理解。</w:t>
            </w:r>
          </w:p>
          <w:p>
            <w:pPr>
              <w:pStyle w:val="null3"/>
              <w:jc w:val="both"/>
            </w:pPr>
            <w:r>
              <w:rPr>
                <w:rFonts w:ascii="仿宋_GB2312" w:hAnsi="仿宋_GB2312" w:cs="仿宋_GB2312" w:eastAsia="仿宋_GB2312"/>
                <w:sz w:val="20"/>
              </w:rPr>
              <w:t>4.各投标人对分部分项工程费、措施项目费、其他项目费等进行自主报价、风险自负。</w:t>
            </w:r>
          </w:p>
          <w:p>
            <w:pPr>
              <w:pStyle w:val="null3"/>
              <w:jc w:val="both"/>
            </w:pPr>
            <w:r>
              <w:rPr>
                <w:rFonts w:ascii="仿宋_GB2312" w:hAnsi="仿宋_GB2312" w:cs="仿宋_GB2312" w:eastAsia="仿宋_GB2312"/>
                <w:sz w:val="20"/>
              </w:rPr>
              <w:t>5.招标工程量清单的工程项目仅表达了主要工程做法，报价时各投标单位应依据图纸用料说明、相关图集，结合图纸、招标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r>
              <w:rPr>
                <w:rFonts w:ascii="仿宋_GB2312" w:hAnsi="仿宋_GB2312" w:cs="仿宋_GB2312" w:eastAsia="仿宋_GB2312"/>
                <w:sz w:val="20"/>
              </w:rPr>
              <w:t>变更或图纸与清单描述有冲突的，以变更或图纸为准；工程量清单报价按图纸报价，不能以工程量清单描述为由提出变更。</w:t>
            </w:r>
          </w:p>
          <w:p>
            <w:pPr>
              <w:pStyle w:val="null3"/>
              <w:jc w:val="both"/>
            </w:pPr>
            <w:r>
              <w:rPr>
                <w:rFonts w:ascii="仿宋_GB2312" w:hAnsi="仿宋_GB2312" w:cs="仿宋_GB2312" w:eastAsia="仿宋_GB2312"/>
                <w:sz w:val="20"/>
              </w:rPr>
              <w:t>对于专业工程暂估价和需二次深化设计内容及相似意思内容，由</w:t>
            </w:r>
            <w:r>
              <w:rPr>
                <w:rFonts w:ascii="仿宋_GB2312" w:hAnsi="仿宋_GB2312" w:cs="仿宋_GB2312" w:eastAsia="仿宋_GB2312"/>
                <w:sz w:val="20"/>
              </w:rPr>
              <w:t>承包人</w:t>
            </w:r>
            <w:r>
              <w:rPr>
                <w:rFonts w:ascii="仿宋_GB2312" w:hAnsi="仿宋_GB2312" w:cs="仿宋_GB2312" w:eastAsia="仿宋_GB2312"/>
                <w:sz w:val="20"/>
              </w:rPr>
              <w:t>进行深化设计，深化设计图经项目</w:t>
            </w:r>
            <w:r>
              <w:rPr>
                <w:rFonts w:ascii="仿宋_GB2312" w:hAnsi="仿宋_GB2312" w:cs="仿宋_GB2312" w:eastAsia="仿宋_GB2312"/>
                <w:sz w:val="20"/>
              </w:rPr>
              <w:t>负责人</w:t>
            </w:r>
            <w:r>
              <w:rPr>
                <w:rFonts w:ascii="仿宋_GB2312" w:hAnsi="仿宋_GB2312" w:cs="仿宋_GB2312" w:eastAsia="仿宋_GB2312"/>
                <w:sz w:val="20"/>
              </w:rPr>
              <w:t>确认后，由</w:t>
            </w:r>
            <w:r>
              <w:rPr>
                <w:rFonts w:ascii="仿宋_GB2312" w:hAnsi="仿宋_GB2312" w:cs="仿宋_GB2312" w:eastAsia="仿宋_GB2312"/>
                <w:sz w:val="20"/>
              </w:rPr>
              <w:t>承包人</w:t>
            </w:r>
            <w:r>
              <w:rPr>
                <w:rFonts w:ascii="仿宋_GB2312" w:hAnsi="仿宋_GB2312" w:cs="仿宋_GB2312" w:eastAsia="仿宋_GB2312"/>
                <w:sz w:val="20"/>
              </w:rPr>
              <w:t>出图，深化设计费用由</w:t>
            </w:r>
            <w:r>
              <w:rPr>
                <w:rFonts w:ascii="仿宋_GB2312" w:hAnsi="仿宋_GB2312" w:cs="仿宋_GB2312" w:eastAsia="仿宋_GB2312"/>
                <w:sz w:val="20"/>
              </w:rPr>
              <w:t>承包人</w:t>
            </w:r>
            <w:r>
              <w:rPr>
                <w:rFonts w:ascii="仿宋_GB2312" w:hAnsi="仿宋_GB2312" w:cs="仿宋_GB2312" w:eastAsia="仿宋_GB2312"/>
                <w:sz w:val="20"/>
              </w:rPr>
              <w:t>综合考虑在响应报价中，不再单独列项，采购人不再支付任何相关费用。</w:t>
            </w:r>
          </w:p>
          <w:p>
            <w:pPr>
              <w:pStyle w:val="null3"/>
              <w:jc w:val="both"/>
            </w:pPr>
            <w:r>
              <w:rPr>
                <w:rFonts w:ascii="仿宋_GB2312" w:hAnsi="仿宋_GB2312" w:cs="仿宋_GB2312" w:eastAsia="仿宋_GB2312"/>
                <w:sz w:val="20"/>
              </w:rPr>
              <w:t>6.投标人在投标截止前修改投标函中的投标总报价，应同时修改“已标价工程量清单”中的相应报价。</w:t>
            </w:r>
          </w:p>
          <w:p>
            <w:pPr>
              <w:pStyle w:val="null3"/>
              <w:jc w:val="both"/>
            </w:pPr>
            <w:r>
              <w:rPr>
                <w:rFonts w:ascii="仿宋_GB2312" w:hAnsi="仿宋_GB2312" w:cs="仿宋_GB2312" w:eastAsia="仿宋_GB2312"/>
                <w:sz w:val="20"/>
              </w:rPr>
              <w:t>7.本工程发包方式为包工包料。采用工程量清单计价模式下的固定综合单价合同；按《建设工程工程量清单计价标准（2024）》及《陕西省建设工程费用规则(2025)》计价；执行2025年新版专业配套基价表、《陕西省房屋建筑与装饰工程消耗量定额》等6个专业消耗量定额、施工机械台班费用定额、仪器仪表台班费用定额。</w:t>
            </w:r>
          </w:p>
          <w:p>
            <w:pPr>
              <w:pStyle w:val="null3"/>
              <w:jc w:val="both"/>
            </w:pPr>
            <w:r>
              <w:rPr>
                <w:rFonts w:ascii="仿宋_GB2312" w:hAnsi="仿宋_GB2312" w:cs="仿宋_GB2312" w:eastAsia="仿宋_GB2312"/>
                <w:sz w:val="20"/>
              </w:rPr>
              <w:t>8.评标办法采用综合评估法。</w:t>
            </w:r>
          </w:p>
          <w:p>
            <w:pPr>
              <w:pStyle w:val="null3"/>
              <w:jc w:val="both"/>
            </w:pPr>
            <w:r>
              <w:rPr>
                <w:rFonts w:ascii="仿宋_GB2312" w:hAnsi="仿宋_GB2312" w:cs="仿宋_GB2312" w:eastAsia="仿宋_GB2312"/>
                <w:sz w:val="20"/>
              </w:rPr>
              <w:t>9.承包人需严格按照《陕西省工程建设领域农民工工资专用账户管理暂行办法实施细则》(陕人社发(2022)5号)及《陕西省工程建设领域农民工工资保证金规定实施办法》(陕人社发(2022)6号)文件之规定执行，承包人应开立农民工工资专用账户并与发包人、开户银行签订资金管理三方协议，否则按承包人违约执行。</w:t>
            </w:r>
          </w:p>
          <w:p>
            <w:pPr>
              <w:pStyle w:val="null3"/>
              <w:jc w:val="both"/>
            </w:pPr>
            <w:r>
              <w:rPr>
                <w:rFonts w:ascii="仿宋_GB2312" w:hAnsi="仿宋_GB2312" w:cs="仿宋_GB2312" w:eastAsia="仿宋_GB2312"/>
                <w:sz w:val="20"/>
              </w:rPr>
              <w:t>10.本项目的所增减的费用(包括设计变更、现场签证、政策性调整费用及材料差价),在竣工时结算。变更签证三方现场实测实量，上报发包人认定后方可进入结算。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项目具体开工日期以招标人书面通知为准，</w:t>
            </w:r>
            <w:r>
              <w:rPr>
                <w:rFonts w:ascii="仿宋_GB2312" w:hAnsi="仿宋_GB2312" w:cs="仿宋_GB2312" w:eastAsia="仿宋_GB2312"/>
                <w:sz w:val="20"/>
              </w:rPr>
              <w:t>由于项目施工情况复杂，在累计总工期不变情况下，工期可根据现场实际情况按照发包人使用部门要求分阶段进行，累计工期不超过</w:t>
            </w:r>
            <w:r>
              <w:rPr>
                <w:rFonts w:ascii="仿宋_GB2312" w:hAnsi="仿宋_GB2312" w:cs="仿宋_GB2312" w:eastAsia="仿宋_GB2312"/>
                <w:sz w:val="20"/>
              </w:rPr>
              <w:t>90日历天。</w:t>
            </w:r>
            <w:r>
              <w:rPr>
                <w:rFonts w:ascii="仿宋_GB2312" w:hAnsi="仿宋_GB2312" w:cs="仿宋_GB2312" w:eastAsia="仿宋_GB2312"/>
                <w:sz w:val="20"/>
              </w:rPr>
              <w:t>在</w:t>
            </w:r>
            <w:r>
              <w:rPr>
                <w:rFonts w:ascii="仿宋_GB2312" w:hAnsi="仿宋_GB2312" w:cs="仿宋_GB2312" w:eastAsia="仿宋_GB2312"/>
                <w:sz w:val="20"/>
              </w:rPr>
              <w:t>此期间内发生的材料费、人工费、机械费等相关费用浮动所产生的影响以及政策性调整均由</w:t>
            </w:r>
            <w:r>
              <w:rPr>
                <w:rFonts w:ascii="仿宋_GB2312" w:hAnsi="仿宋_GB2312" w:cs="仿宋_GB2312" w:eastAsia="仿宋_GB2312"/>
                <w:sz w:val="20"/>
              </w:rPr>
              <w:t>承包</w:t>
            </w:r>
            <w:r>
              <w:rPr>
                <w:rFonts w:ascii="仿宋_GB2312" w:hAnsi="仿宋_GB2312" w:cs="仿宋_GB2312" w:eastAsia="仿宋_GB2312"/>
                <w:sz w:val="20"/>
              </w:rPr>
              <w:t>人自行承担。</w:t>
            </w:r>
          </w:p>
          <w:p>
            <w:pPr>
              <w:pStyle w:val="null3"/>
              <w:jc w:val="both"/>
            </w:pPr>
            <w:r>
              <w:rPr>
                <w:rFonts w:ascii="仿宋_GB2312" w:hAnsi="仿宋_GB2312" w:cs="仿宋_GB2312" w:eastAsia="仿宋_GB2312"/>
                <w:sz w:val="20"/>
              </w:rPr>
              <w:t>注：供应商自行踏勘过现场，并充分了解现场位置、道路、储存空间、装卸限制及任何其它足以影响磋商报价、工期的情况，任何因忽视或误解现场情况而导致的索赔、变增或工期延长申请将不获批准，可能导致的成本增加均在磋商报价中综合考虑。</w:t>
            </w:r>
          </w:p>
          <w:p>
            <w:pPr>
              <w:pStyle w:val="null3"/>
            </w:pPr>
            <w:r>
              <w:rPr>
                <w:rFonts w:ascii="仿宋_GB2312" w:hAnsi="仿宋_GB2312" w:cs="仿宋_GB2312" w:eastAsia="仿宋_GB2312"/>
                <w:sz w:val="20"/>
              </w:rPr>
              <w:t>因不确定因素导致停工、周边环境及设施设备保护、施工车辆</w:t>
            </w:r>
            <w:r>
              <w:rPr>
                <w:rFonts w:ascii="仿宋_GB2312" w:hAnsi="仿宋_GB2312" w:cs="仿宋_GB2312" w:eastAsia="仿宋_GB2312"/>
                <w:sz w:val="20"/>
              </w:rPr>
              <w:t>院内</w:t>
            </w:r>
            <w:r>
              <w:rPr>
                <w:rFonts w:ascii="仿宋_GB2312" w:hAnsi="仿宋_GB2312" w:cs="仿宋_GB2312" w:eastAsia="仿宋_GB2312"/>
                <w:sz w:val="20"/>
              </w:rPr>
              <w:t>通行及停车费等等所有因素可能导致的成本增加，均在磋商报价中综合考虑。成交供应商因任何原因提出追加费用，采购人均不予认可。</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具体内容详见技术参数及要求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具体内容详见技术参数及要求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拟派项目经理须具备建筑工程专业二级及以上注册建造师执业资格，并具有有效的安全生产考核合格证书（建安B证），在本单位注册，且未担任其他在施建设工程的项目经理（提供承诺书）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网站可查询</w:t>
            </w:r>
          </w:p>
        </w:tc>
        <w:tc>
          <w:tcPr>
            <w:tcW w:type="dxa" w:w="3322"/>
          </w:tcPr>
          <w:p>
            <w:pPr>
              <w:pStyle w:val="null3"/>
            </w:pPr>
            <w:r>
              <w:rPr>
                <w:rFonts w:ascii="仿宋_GB2312" w:hAnsi="仿宋_GB2312" w:cs="仿宋_GB2312" w:eastAsia="仿宋_GB2312"/>
              </w:rPr>
              <w:t>供应商基本信息及项目经理执业基本信息在“陕西省住房和城乡建设厅（http://js.shaanxi.gov.cn/）”网站可查询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规定方式获取文件</w:t>
            </w:r>
          </w:p>
        </w:tc>
        <w:tc>
          <w:tcPr>
            <w:tcW w:type="dxa" w:w="332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强制优先采购产品承诺函 响应文件封面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供应商首次磋商报价没有超出采购预算或最高限价或单项最高限价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强制优先采购产品承诺函 响应文件封面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强制优先采购产品承诺函 响应文件封面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强制优先采购产品承诺函 响应文件封面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按磋商文件要求缴纳保证金</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针对本项目列出的工程质量的技术组织措施的合理性、可行性等因素进行自主评分，措施全面合理得6分，基本合理得3分，无不得分。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针对本项目情况列出具体安全措施，明确相应的安全管理措施的合理性、可行性等因素进行自主评分，措施全面合理得6分，基本合理得3分，无不得分。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针对本项目列出的文明施工的技术措施及环境保护措施的合理性、可行性等因素进行自主评分，措施全面合理得6分，基本合理得3分，无不得分。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针对本项目列出的确保工期的技术组织措施的合理性、可行性等因素进行自主评分，措施全面合理得6分，基本合理得3分，无不得分。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针对本项目列出的施工方案施工方案的合理性、可行性等因素进行自主评分，全面合理得 6分，基本合理得3分，无不得分。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 业绩</w:t>
            </w:r>
          </w:p>
        </w:tc>
        <w:tc>
          <w:tcPr>
            <w:tcW w:type="dxa" w:w="2492"/>
          </w:tcPr>
          <w:p>
            <w:pPr>
              <w:pStyle w:val="null3"/>
            </w:pPr>
            <w:r>
              <w:rPr>
                <w:rFonts w:ascii="仿宋_GB2312" w:hAnsi="仿宋_GB2312" w:cs="仿宋_GB2312" w:eastAsia="仿宋_GB2312"/>
              </w:rPr>
              <w:t>自2023年1月1日起至本项目响应文件递交截止时间止已完工的项目，每提供1项类似业绩证明材料的计1分，最多计5分。 评审依据:以供应商所提供的合同扫描件(或复印件)并加盖供应商公章为准，合同上应体现供应商拟派项目负责人的相关信息(包括但不限于姓名等相关内容)，时间以合同签订时间为依据。注：与企业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项目组成员构成</w:t>
            </w:r>
          </w:p>
        </w:tc>
        <w:tc>
          <w:tcPr>
            <w:tcW w:type="dxa" w:w="2492"/>
          </w:tcPr>
          <w:p>
            <w:pPr>
              <w:pStyle w:val="null3"/>
            </w:pPr>
            <w:r>
              <w:rPr>
                <w:rFonts w:ascii="仿宋_GB2312" w:hAnsi="仿宋_GB2312" w:cs="仿宋_GB2312" w:eastAsia="仿宋_GB2312"/>
              </w:rPr>
              <w:t>由磋商小组进行赋分，项目经理部组成人员全面合理得5分，基本合理得3分，无不得分。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针对本项目列出的施工进度计划的合理性、可行性等因素进行自主评分，全面合理得5分，基本合理得3分，无不得分。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针对本项目列出的劳动力安排计划及劳务分包情况表的合理性、可行性等因素进行自主评分， 全面合理得 5分，基本合理得3分，不够合理得1分，无不得分。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针对本项目列出的施工机械配备和材料投入计划的合理性、可行性等因素进行自主评分，计划全面合理得5分，基本合理得3分，无不得分。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针对本项目列出的新技术、新产品、新工艺、新材料应用的合理性、先进性等因素进行自主评分；全面合理得5分，基本合理得3分，无不得分。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供应商提供2023年1月1日至响应截止时间（以合同签订时间为准）类似项目业绩，每提供一个业绩得2分，满分10分。 评审依据：以加盖公章的业绩合同复印件为准，合同至少需包含合同首页、中间页、签章页。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满足采购文件要求且有效响应文件的最后报价的最低报价为评审基准价，其价格分为满分。其他供应商的价格分统一按照下列公式计算：报价得分=（评标基准价/最后报价）×30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