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版本号：YMD-2026047F-0220260509001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招生就业服务项目(二次)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YMD-2026047F-02</w:t>
      </w:r>
      <w:r>
        <w:br/>
      </w:r>
      <w:r>
        <w:br/>
      </w:r>
      <w:r>
        <w:br/>
      </w:r>
    </w:p>
    <w:p>
      <w:pPr>
        <w:pStyle w:val="null3"/>
        <w:jc w:val="center"/>
        <w:outlineLvl w:val="2"/>
      </w:pPr>
      <w:r>
        <w:rPr>
          <w:rFonts w:ascii="仿宋_GB2312" w:hAnsi="仿宋_GB2312" w:cs="仿宋_GB2312" w:eastAsia="仿宋_GB2312"/>
          <w:sz w:val="28"/>
          <w:b/>
        </w:rPr>
        <w:t>西安职业技术学院</w:t>
      </w:r>
    </w:p>
    <w:p>
      <w:pPr>
        <w:pStyle w:val="null3"/>
        <w:jc w:val="center"/>
        <w:outlineLvl w:val="2"/>
      </w:pPr>
      <w:r>
        <w:rPr>
          <w:rFonts w:ascii="仿宋_GB2312" w:hAnsi="仿宋_GB2312" w:cs="仿宋_GB2312" w:eastAsia="仿宋_GB2312"/>
          <w:sz w:val="28"/>
          <w:b/>
        </w:rPr>
        <w:t>永明项目管理有限公司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永明项目管理有限公司</w:t>
      </w:r>
      <w:r>
        <w:rPr>
          <w:rFonts w:ascii="仿宋_GB2312" w:hAnsi="仿宋_GB2312" w:cs="仿宋_GB2312" w:eastAsia="仿宋_GB2312"/>
        </w:rPr>
        <w:t>（以下简称“代理机构”）受</w:t>
      </w:r>
      <w:r>
        <w:rPr>
          <w:rFonts w:ascii="仿宋_GB2312" w:hAnsi="仿宋_GB2312" w:cs="仿宋_GB2312" w:eastAsia="仿宋_GB2312"/>
        </w:rPr>
        <w:t>西安职业技术学院</w:t>
      </w:r>
      <w:r>
        <w:rPr>
          <w:rFonts w:ascii="仿宋_GB2312" w:hAnsi="仿宋_GB2312" w:cs="仿宋_GB2312" w:eastAsia="仿宋_GB2312"/>
        </w:rPr>
        <w:t>委托，拟对</w:t>
      </w:r>
      <w:r>
        <w:rPr>
          <w:rFonts w:ascii="仿宋_GB2312" w:hAnsi="仿宋_GB2312" w:cs="仿宋_GB2312" w:eastAsia="仿宋_GB2312"/>
        </w:rPr>
        <w:t>招生就业服务项目(二次)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YMD-2026047F-02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招生就业服务项目(二次)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做好我校2026年招生就业服务工作，招生办拟通过教育类网站、微信公众平台、招生政策宣传类刊物、深入省内生源中学等形式开展招生宣传，设计制作招生就业宣传品，利用高中信息平台在招生就业季轮番推送学校招生就业信息等。通过招生就业宣传传播校园文化、提升学校知名度、扩大学校影响力，努力完成2026年招生目标任务，促进毕业生高质量就业。</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采购包1（高中信息平台宣传服务项目）：属于专门面向中小企业采购。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2、财务状况：提供2024年度或2025年度经审计的财务会计报告或提交投标文件截止时间三个月内其基本账户开户银行出具的资信证明（附基本存款账户信息）。</w:t>
      </w:r>
    </w:p>
    <w:p>
      <w:pPr>
        <w:pStyle w:val="null3"/>
      </w:pPr>
      <w:r>
        <w:rPr>
          <w:rFonts w:ascii="仿宋_GB2312" w:hAnsi="仿宋_GB2312" w:cs="仿宋_GB2312" w:eastAsia="仿宋_GB2312"/>
        </w:rPr>
        <w:t>3、社会保障资金缴纳证明：提交投标文件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p>
      <w:pPr>
        <w:pStyle w:val="null3"/>
      </w:pPr>
      <w:r>
        <w:rPr>
          <w:rFonts w:ascii="仿宋_GB2312" w:hAnsi="仿宋_GB2312" w:cs="仿宋_GB2312" w:eastAsia="仿宋_GB2312"/>
        </w:rPr>
        <w:t>4、税收缴纳证明：提交投标文件截止时间前一年内至少一个月的纳税证明或完税证明（增值税、企业所得税至少提供一种），纳税证明或完税证明上应有代收机构或税务机关的公章或业务专用章。依法免税或无须缴纳税收的单位应提供相应证明文件。</w:t>
      </w:r>
    </w:p>
    <w:p>
      <w:pPr>
        <w:pStyle w:val="null3"/>
      </w:pPr>
      <w:r>
        <w:rPr>
          <w:rFonts w:ascii="仿宋_GB2312" w:hAnsi="仿宋_GB2312" w:cs="仿宋_GB2312" w:eastAsia="仿宋_GB2312"/>
        </w:rPr>
        <w:t>5、无重大违法记录声明：参加本次政府采购活动前3年内在经营活动中没有重大违法记录，以及未被列入失信被执行人、重大税收违法案件当事人名单、政府采购严重违法失信行为记录名单的书面声明。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6、提供具有履行的专业技术承诺：供应商须提供具有履行合同所必需的设备和专业技术能力的承诺。</w:t>
      </w:r>
    </w:p>
    <w:p>
      <w:pPr>
        <w:pStyle w:val="null3"/>
      </w:pPr>
      <w:r>
        <w:rPr>
          <w:rFonts w:ascii="仿宋_GB2312" w:hAnsi="仿宋_GB2312" w:cs="仿宋_GB2312" w:eastAsia="仿宋_GB2312"/>
        </w:rPr>
        <w:t>7、法定代表人（主要负责人）委托授权书\身份证明：供应商应授权合法的人员参与磋商全过程，其中法定代表人直接磋商，须附法定代表人身份证明书。法定代表人授权代表参加磋商的，须附法定代表人授权书。</w:t>
      </w:r>
    </w:p>
    <w:p>
      <w:pPr>
        <w:pStyle w:val="null3"/>
      </w:pPr>
      <w:r>
        <w:rPr>
          <w:rFonts w:ascii="仿宋_GB2312" w:hAnsi="仿宋_GB2312" w:cs="仿宋_GB2312" w:eastAsia="仿宋_GB2312"/>
        </w:rPr>
        <w:t>8、供应商信用查询：供应商应在信用中国、中国执行信息公开网和中国政府采购网（www.ccgp.gov.cn）可查询信用记录，并且未被列入失信被执行人、重大税收违法案件当事人名单、政府采购严重违法失信行为记录名单等，以磋商当日现场查询结果截图形式留存。</w:t>
      </w:r>
    </w:p>
    <w:p>
      <w:pPr>
        <w:pStyle w:val="null3"/>
      </w:pPr>
      <w:r>
        <w:rPr>
          <w:rFonts w:ascii="仿宋_GB2312" w:hAnsi="仿宋_GB2312" w:cs="仿宋_GB2312" w:eastAsia="仿宋_GB2312"/>
        </w:rPr>
        <w:t>9、联合体磋商：本项目不接受联合体磋商（提供相应承诺）;供应商需在项目电子化交易系统中按要求上传相应证明文件并进行电子签章。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雁塔区鱼斗路251号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张晓光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029-84492916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永明项目管理有限公司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陕西省西安市雁塔区旺座曲江M座25楼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王彩玲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18182603963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由成交供应商在领取成交通知书前，一次性向采购代理机构支付成交服务费，服务费由采购人与采购代理机构约定：按照《招标代理服务收费管理暂行办法》（计价格【2002】1980号）代理服务收费标准进行收费 账户名称：永明项目管理有限公司 开户银行：中信银行陕西自贸试验区西安科技支行 账 号：7252410182600044355 转账事由：项目编号 代理服务费 咨询电话：18182603963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西安职业技术学院</w:t>
      </w:r>
      <w:r>
        <w:rPr>
          <w:rFonts w:ascii="仿宋_GB2312" w:hAnsi="仿宋_GB2312" w:cs="仿宋_GB2312" w:eastAsia="仿宋_GB2312"/>
        </w:rPr>
        <w:t>和</w:t>
      </w:r>
      <w:r>
        <w:rPr>
          <w:rFonts w:ascii="仿宋_GB2312" w:hAnsi="仿宋_GB2312" w:cs="仿宋_GB2312" w:eastAsia="仿宋_GB2312"/>
        </w:rPr>
        <w:t>永明项目管理有限公司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永明项目管理有限公司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永明项目管理有限公司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永明项目管理有限公司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永明项目管理有限公司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永明项目管理有限公司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联系人：王彩玲</w:t>
      </w:r>
    </w:p>
    <w:p>
      <w:pPr>
        <w:pStyle w:val="null3"/>
      </w:pPr>
      <w:r>
        <w:rPr>
          <w:rFonts w:ascii="仿宋_GB2312" w:hAnsi="仿宋_GB2312" w:cs="仿宋_GB2312" w:eastAsia="仿宋_GB2312"/>
        </w:rPr>
        <w:t>联系电话：18182603963</w:t>
      </w:r>
    </w:p>
    <w:p>
      <w:pPr>
        <w:pStyle w:val="null3"/>
      </w:pPr>
      <w:r>
        <w:rPr>
          <w:rFonts w:ascii="仿宋_GB2312" w:hAnsi="仿宋_GB2312" w:cs="仿宋_GB2312" w:eastAsia="仿宋_GB2312"/>
        </w:rPr>
        <w:t>地址：陕西省西安市雁塔区旺座曲江M座25楼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做好我校2026年招生就业服务工作，招生办拟通过教育类网站、微信公众平台、招生政策宣传类刊物、深入省内生源中学等形式开展招生宣传，设计制作招生就业宣传品，利用高中信息平台在招生就业季轮番推送学校招生就业信息等。通过招生就业宣传传播校园文化、提升学校知名度、扩大学校影响力，努力完成2026年招生目标任务，促进毕业生高质量就业。</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高中信息平台宣传服务项目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标的名称：高中信息平台宣传服务项目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一、项目概况</w:t>
            </w:r>
          </w:p>
          <w:p>
            <w:pPr>
              <w:pStyle w:val="null3"/>
              <w:ind w:firstLine="420"/>
              <w:jc w:val="both"/>
            </w:pPr>
            <w:r>
              <w:rPr>
                <w:rFonts w:ascii="仿宋_GB2312" w:hAnsi="仿宋_GB2312" w:cs="仿宋_GB2312" w:eastAsia="仿宋_GB2312"/>
                <w:sz w:val="21"/>
                <w:color w:val="000000"/>
              </w:rPr>
              <w:t>为做好我校2026年招生就业服务工作，招生办拟通过教育类网站、微信公众平台、招生政策宣传类刊物、深入省内生源中学等形式开展招生宣传，设计制作招生就业宣传品，利用高中信息平台在招生就业季轮番推送学校招生就业信息等。通过招生就业宣传传播校园文化、提升学校知名度、扩大学校影响力，努力完成2026年招生目标任务，促进毕业生高质量就业。</w:t>
            </w:r>
          </w:p>
          <w:p>
            <w:pPr>
              <w:pStyle w:val="null3"/>
              <w:jc w:val="both"/>
            </w:pPr>
            <w:r>
              <w:rPr>
                <w:rFonts w:ascii="仿宋_GB2312" w:hAnsi="仿宋_GB2312" w:cs="仿宋_GB2312" w:eastAsia="仿宋_GB2312"/>
                <w:sz w:val="21"/>
                <w:b/>
                <w:color w:val="000000"/>
              </w:rPr>
              <w:t>二、服务内容</w:t>
            </w:r>
          </w:p>
          <w:p>
            <w:pPr>
              <w:pStyle w:val="null3"/>
              <w:jc w:val="both"/>
            </w:pPr>
            <w:r>
              <w:rPr>
                <w:rFonts w:ascii="仿宋_GB2312" w:hAnsi="仿宋_GB2312" w:cs="仿宋_GB2312" w:eastAsia="仿宋_GB2312"/>
                <w:sz w:val="21"/>
                <w:color w:val="000000"/>
              </w:rPr>
              <w:t>在全省不少于160所高中及中职学校全方位宣传学校办学优势、专业特色及就业情况等招生就业信息，具体如下：</w:t>
            </w:r>
          </w:p>
          <w:p>
            <w:pPr>
              <w:pStyle w:val="null3"/>
              <w:jc w:val="both"/>
            </w:pPr>
            <w:r>
              <w:rPr>
                <w:rFonts w:ascii="仿宋_GB2312" w:hAnsi="仿宋_GB2312" w:cs="仿宋_GB2312" w:eastAsia="仿宋_GB2312"/>
                <w:sz w:val="21"/>
                <w:color w:val="000000"/>
              </w:rPr>
              <w:t>（1）广告形式：文本、图片、PPT、视频多形式宣传。</w:t>
            </w:r>
          </w:p>
          <w:p>
            <w:pPr>
              <w:pStyle w:val="null3"/>
              <w:jc w:val="both"/>
            </w:pPr>
            <w:r>
              <w:rPr>
                <w:rFonts w:ascii="仿宋_GB2312" w:hAnsi="仿宋_GB2312" w:cs="仿宋_GB2312" w:eastAsia="仿宋_GB2312"/>
                <w:sz w:val="21"/>
                <w:color w:val="000000"/>
              </w:rPr>
              <w:t>（2）广告时间为10秒轮播一次。</w:t>
            </w:r>
          </w:p>
          <w:p>
            <w:pPr>
              <w:pStyle w:val="null3"/>
              <w:jc w:val="both"/>
            </w:pPr>
            <w:r>
              <w:rPr>
                <w:rFonts w:ascii="仿宋_GB2312" w:hAnsi="仿宋_GB2312" w:cs="仿宋_GB2312" w:eastAsia="仿宋_GB2312"/>
                <w:sz w:val="21"/>
                <w:color w:val="000000"/>
              </w:rPr>
              <w:t>（3）每天按单张宣传图片计算，频次不低于500次。</w:t>
            </w:r>
          </w:p>
          <w:p>
            <w:pPr>
              <w:pStyle w:val="null3"/>
              <w:jc w:val="both"/>
            </w:pPr>
            <w:r>
              <w:rPr>
                <w:rFonts w:ascii="仿宋_GB2312" w:hAnsi="仿宋_GB2312" w:cs="仿宋_GB2312" w:eastAsia="仿宋_GB2312"/>
                <w:sz w:val="21"/>
                <w:color w:val="000000"/>
              </w:rPr>
              <w:t>（4）全屏幕播放每天不少于10次。</w:t>
            </w:r>
          </w:p>
          <w:p>
            <w:pPr>
              <w:pStyle w:val="null3"/>
              <w:jc w:val="both"/>
            </w:pPr>
            <w:r>
              <w:rPr>
                <w:rFonts w:ascii="仿宋_GB2312" w:hAnsi="仿宋_GB2312" w:cs="仿宋_GB2312" w:eastAsia="仿宋_GB2312"/>
                <w:sz w:val="21"/>
                <w:b/>
                <w:color w:val="000000"/>
              </w:rPr>
              <w:t>三、技术要求</w:t>
            </w:r>
            <w:r>
              <w:rPr>
                <w:rFonts w:ascii="仿宋_GB2312" w:hAnsi="仿宋_GB2312" w:cs="仿宋_GB2312" w:eastAsia="仿宋_GB2312"/>
                <w:sz w:val="21"/>
                <w:color w:val="000000"/>
              </w:rPr>
              <w:t>（如有，一般适合于技术服务项目）</w:t>
            </w:r>
          </w:p>
          <w:p>
            <w:pPr>
              <w:pStyle w:val="null3"/>
              <w:jc w:val="both"/>
            </w:pPr>
            <w:r>
              <w:rPr>
                <w:rFonts w:ascii="仿宋_GB2312" w:hAnsi="仿宋_GB2312" w:cs="仿宋_GB2312" w:eastAsia="仿宋_GB2312"/>
                <w:sz w:val="21"/>
                <w:b/>
                <w:color w:val="000000"/>
              </w:rPr>
              <w:t>四、服务要求</w:t>
            </w:r>
            <w:r>
              <w:rPr>
                <w:rFonts w:ascii="仿宋_GB2312" w:hAnsi="仿宋_GB2312" w:cs="仿宋_GB2312" w:eastAsia="仿宋_GB2312"/>
                <w:sz w:val="21"/>
                <w:color w:val="000000"/>
              </w:rPr>
              <w:t>（如对人员配置、专业设备、服务标准等）</w:t>
            </w:r>
          </w:p>
          <w:p>
            <w:pPr>
              <w:pStyle w:val="null3"/>
              <w:ind w:firstLine="420"/>
              <w:jc w:val="both"/>
            </w:pPr>
            <w:r>
              <w:rPr>
                <w:rFonts w:ascii="仿宋_GB2312" w:hAnsi="仿宋_GB2312" w:cs="仿宋_GB2312" w:eastAsia="仿宋_GB2312"/>
                <w:sz w:val="21"/>
                <w:color w:val="000000"/>
              </w:rPr>
              <w:t>服务商须熟悉国家教育考试招生政策、陕西省教育考试招生相关规定及高校就业政策，在招生就业季安排专人提供各项服务。</w:t>
            </w:r>
          </w:p>
          <w:p>
            <w:pPr>
              <w:pStyle w:val="null3"/>
              <w:jc w:val="both"/>
            </w:pPr>
            <w:r>
              <w:rPr>
                <w:rFonts w:ascii="仿宋_GB2312" w:hAnsi="仿宋_GB2312" w:cs="仿宋_GB2312" w:eastAsia="仿宋_GB2312"/>
                <w:sz w:val="21"/>
                <w:b/>
                <w:color w:val="000000"/>
              </w:rPr>
              <w:t>五、商务要求</w:t>
            </w:r>
          </w:p>
          <w:p>
            <w:pPr>
              <w:pStyle w:val="null3"/>
              <w:jc w:val="both"/>
            </w:pPr>
            <w:r>
              <w:rPr>
                <w:rFonts w:ascii="仿宋_GB2312" w:hAnsi="仿宋_GB2312" w:cs="仿宋_GB2312" w:eastAsia="仿宋_GB2312"/>
                <w:sz w:val="21"/>
                <w:color w:val="000000"/>
              </w:rPr>
              <w:t>（一）服务期限</w:t>
            </w:r>
          </w:p>
          <w:p>
            <w:pPr>
              <w:pStyle w:val="null3"/>
              <w:ind w:firstLine="420"/>
              <w:jc w:val="both"/>
            </w:pPr>
            <w:r>
              <w:rPr>
                <w:rFonts w:ascii="仿宋_GB2312" w:hAnsi="仿宋_GB2312" w:cs="仿宋_GB2312" w:eastAsia="仿宋_GB2312"/>
                <w:sz w:val="21"/>
                <w:color w:val="000000"/>
              </w:rPr>
              <w:t>自合同签订之日起一年，广告投放于2026年8月31日前完成。</w:t>
            </w:r>
          </w:p>
          <w:p>
            <w:pPr>
              <w:pStyle w:val="null3"/>
              <w:jc w:val="both"/>
            </w:pPr>
            <w:r>
              <w:rPr>
                <w:rFonts w:ascii="仿宋_GB2312" w:hAnsi="仿宋_GB2312" w:cs="仿宋_GB2312" w:eastAsia="仿宋_GB2312"/>
                <w:sz w:val="21"/>
                <w:color w:val="000000"/>
              </w:rPr>
              <w:t>（二）款项结算</w:t>
            </w:r>
          </w:p>
          <w:p>
            <w:pPr>
              <w:pStyle w:val="null3"/>
            </w:pPr>
            <w:r>
              <w:rPr>
                <w:rFonts w:ascii="仿宋_GB2312" w:hAnsi="仿宋_GB2312" w:cs="仿宋_GB2312" w:eastAsia="仿宋_GB2312"/>
                <w:sz w:val="21"/>
                <w:color w:val="000000"/>
              </w:rPr>
              <w:t xml:space="preserve">  在完成合同签订后，甲方需要支付预付款项，为总金额的40%；在完成服务并通过甲方验收后一次性支付剩余款项，为总金额的60%。</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服务商须熟悉国家教育考试招生政策、陕西省教育考试招生相关规定及高校就业政策，在招生就业季安排专人提供各项服务。</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自合同签订之日起一年，广告投放于2026年8月31日前完成。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西安职业技术学院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在完成合同签订后，提供增值税专用发票后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项目实施完工并验收合格，供应商提供付款申请，提供增值税专用发票后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本合同在履行过程中发生的争议，由甲方、乙方双方当事人协商解决，协商不成的依法向甲方所在地人民法院起诉。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3.4.1.成交供应商在领取成交通知书时提供纸质版响应文件一正一副。</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提供2024年度或2025年度经审计的财务会计报告或提交投标文件截止时间三个月内其基本账户开户银行出具的资信证明（附基本存款账户信息）。</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交投标文件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投标文件截止时间前一年内至少一个月的纳税证明或完税证明（增值税、企业所得税至少提供一种），纳税证明或完税证明上应有代收机构或税务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参加本次政府采购活动前3年内在经营活动中没有重大违法记录，以及未被列入失信被执行人、重大税收违法案件当事人名单、政府采购严重违法失信行为记录名单的书面声明。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提供具有履行的专业技术承诺</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供应商应授权合法的人员参与磋商全过程，其中法定代表人直接磋商，须附法定代表人身份证明书。法定代表人授权代表参加磋商的，须附法定代表人授权书。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供应商信用查询</w:t>
            </w:r>
          </w:p>
        </w:tc>
        <w:tc>
          <w:tcPr>
            <w:tcW w:type="dxa" w:w="3322"/>
          </w:tcPr>
          <w:p>
            <w:pPr>
              <w:pStyle w:val="null3"/>
            </w:pPr>
            <w:r>
              <w:rPr>
                <w:rFonts w:ascii="仿宋_GB2312" w:hAnsi="仿宋_GB2312" w:cs="仿宋_GB2312" w:eastAsia="仿宋_GB2312"/>
              </w:rPr>
              <w:t>供应商应在信用中国、中国执行信息公开网和中国政府采购网（www.ccgp.gov.cn）可查询信用记录，并且未被列入失信被执行人、重大税收违法案件当事人名单、政府采购严重违法失信行为记录名单等，以磋商当日现场查询结果截图形式留存。</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联合体磋商</w:t>
            </w:r>
          </w:p>
        </w:tc>
        <w:tc>
          <w:tcPr>
            <w:tcW w:type="dxa" w:w="3322"/>
          </w:tcPr>
          <w:p>
            <w:pPr>
              <w:pStyle w:val="null3"/>
            </w:pPr>
            <w:r>
              <w:rPr>
                <w:rFonts w:ascii="仿宋_GB2312" w:hAnsi="仿宋_GB2312" w:cs="仿宋_GB2312" w:eastAsia="仿宋_GB2312"/>
              </w:rPr>
              <w:t>本项目不接受联合体磋商（提供相应承诺）;供应商需在项目电子化交易系统中按要求上传相应证明文件并进行电子签章。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响应文件编制、签署盖章</w:t>
            </w:r>
          </w:p>
        </w:tc>
        <w:tc>
          <w:tcPr>
            <w:tcW w:type="dxa" w:w="3322"/>
          </w:tcPr>
          <w:p>
            <w:pPr>
              <w:pStyle w:val="null3"/>
            </w:pPr>
            <w:r>
              <w:rPr>
                <w:rFonts w:ascii="仿宋_GB2312" w:hAnsi="仿宋_GB2312" w:cs="仿宋_GB2312" w:eastAsia="仿宋_GB2312"/>
              </w:rPr>
              <w:t>按磋商文件格式编制，并按要求加盖了供应商公章和有法定代表人/企业负责人或其授权代表签字或加盖人名章。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供应商资格证明文件.docx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供应商报价是固定价且未超过预算金额（磋商文件有最高限价的，报价未超过最高限价）。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磋商文件有效期</w:t>
            </w:r>
          </w:p>
        </w:tc>
        <w:tc>
          <w:tcPr>
            <w:tcW w:type="dxa" w:w="3322"/>
          </w:tcPr>
          <w:p>
            <w:pPr>
              <w:pStyle w:val="null3"/>
            </w:pPr>
            <w:r>
              <w:rPr>
                <w:rFonts w:ascii="仿宋_GB2312" w:hAnsi="仿宋_GB2312" w:cs="仿宋_GB2312" w:eastAsia="仿宋_GB2312"/>
              </w:rPr>
              <w:t>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付款方式是否满足竞争性磋商文件的要求。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服务期限是否满足竞争性磋商文件的要求。</w:t>
            </w:r>
          </w:p>
        </w:tc>
        <w:tc>
          <w:tcPr>
            <w:tcW w:type="dxa" w:w="1661"/>
          </w:tcPr>
          <w:p>
            <w:pPr>
              <w:pStyle w:val="null3"/>
            </w:pPr>
            <w:r>
              <w:rPr>
                <w:rFonts w:ascii="仿宋_GB2312" w:hAnsi="仿宋_GB2312" w:cs="仿宋_GB2312" w:eastAsia="仿宋_GB2312"/>
              </w:rPr>
              <w:t>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供应商针对招生宣传服务内容和要求的理解提供总体实施计划与服务方案，内容包括但不限于服务内容、技术要求、服务要求、商务响应、其他相关服务方案，确保方案具有针对性、吸引力和可操作性； 1、对学校招生宣传需求理解深度高、精准度强，宣传方案的传播策略专业且创新度高，方案充分突出学校办学特色，针对性、吸引力、可操作性均达到项目最高要求，得30分； 2、对学校招生宣传需求理解深度较高、精准度较强，宣传方案的传播策略较专业且创新度较高，方案突出学校办学特色，针对性、吸引力、可操作性良好，得27分； 3、对学校招生宣传需求理解深度一般、精准度一般，宣传方案传播策略常规化，媒介应用能力一般，方案基本体现学校办学特色，针对性、吸引力、可操作性一般，得24分； 未按要求提交本项服务方案或方案核心内容缺失、无效，得0分。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有合理的阶段划分，各阶段有明确的工作目标、有可行的执行计划与时间表等； 1.方案详细、科学合理、切实可行的，得20分； 2.方案内容一般、合理可行的，得17分； 3.没有按招标文件要求提供方案（或方案被评定为不可行），得14分； 未提供不得分 。</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拟投入本项目服务团队</w:t>
            </w:r>
          </w:p>
        </w:tc>
        <w:tc>
          <w:tcPr>
            <w:tcW w:type="dxa" w:w="2492"/>
          </w:tcPr>
          <w:p>
            <w:pPr>
              <w:pStyle w:val="null3"/>
            </w:pPr>
            <w:r>
              <w:rPr>
                <w:rFonts w:ascii="仿宋_GB2312" w:hAnsi="仿宋_GB2312" w:cs="仿宋_GB2312" w:eastAsia="仿宋_GB2312"/>
              </w:rPr>
              <w:t>针对本项目的项目团队组织机构，包括但不限于团队组织人员配置明细、团队人员管理制度、各专业种类、岗位配置、配置人员工作经验等。人员安排科学、合理、完全满足采购需求，得9分；人员安排基本满足实际需要，得6分；人员安排需要优化后才能满足实际需要，得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同类招生宣传平台资源</w:t>
            </w:r>
          </w:p>
        </w:tc>
        <w:tc>
          <w:tcPr>
            <w:tcW w:type="dxa" w:w="2492"/>
          </w:tcPr>
          <w:p>
            <w:pPr>
              <w:pStyle w:val="null3"/>
            </w:pPr>
            <w:r>
              <w:rPr>
                <w:rFonts w:ascii="仿宋_GB2312" w:hAnsi="仿宋_GB2312" w:cs="仿宋_GB2312" w:eastAsia="仿宋_GB2312"/>
              </w:rPr>
              <w:t>供应商具有与本项目同类招生宣传服务相关的合作资源、宣传渠道、官方网站、微信公众号、微博、视频号、抖音号、小红书、本地生活号、教育类平台等可用于招生宣传的正规运营媒体平台资源，每提供 1 项有效资源得2分，最多得 10 分；未提供或提供无效材料的不得分。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需针对本项目编制完整、规范、无歧义的服务承诺文件，内容包含但不限于以下针对本项目的各项服务质量目标、服务质量保障措施、服务响应时间承诺（含日常响应、紧急需求响应、重大节点响应等）。1、服务承诺文件内容完整、逻辑清晰、无任何瑕疵，服务质量目标量化明确、可考核、可达成；保障措施具体可行、针对性强，覆盖全服务流程；服务响应时间承诺清晰、合理、可落地，完全满足本项目服务要求，得7分；2、服务承诺文件存在如目标描述不够量化、保障措施缺乏细节、响应时间约定不明确等，但核心承诺内容有效，不影响项目整体执行，得4分；3、服务承诺文件存在如目标与措施不匹配、响应时间存在模糊表述、关键环节缺失等，需供应商补充说明后方可执行，整体承诺存在一定不完善性，得2分；4、未按要求提供服务承诺文件，或文件存在如核心模块缺失、承诺内容虚假、无法落地等，无法满足本项目基本服务需求，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风险预案</w:t>
            </w:r>
          </w:p>
        </w:tc>
        <w:tc>
          <w:tcPr>
            <w:tcW w:type="dxa" w:w="2492"/>
          </w:tcPr>
          <w:p>
            <w:pPr>
              <w:pStyle w:val="null3"/>
            </w:pPr>
            <w:r>
              <w:rPr>
                <w:rFonts w:ascii="仿宋_GB2312" w:hAnsi="仿宋_GB2312" w:cs="仿宋_GB2312" w:eastAsia="仿宋_GB2312"/>
              </w:rPr>
              <w:t>供应商须针对招生宣传执行过程中，因政策调整、网络故障、平台限制、自然灾害、等导致宣传内容需临时调整、延期发布、错漏播出、渠道中断等情况，提供专项、具体、可落地的应急响应方案。 1、提供详细、完整、针对性强的不可抗力应急响应方案，内容齐全、方案科学合理、可直接执行的，得4 分；2、未提供应急响应方案，或方案内容空洞、无具体措施、无法应对突发宣传调整与漏播情况的，得0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要求提供2023年1月1日起至今的同类服务项目业绩，需提供合同扫描盖章件；每提供一份得2分，最高得10分，未提供不得分。（注：合同扫描盖章件至少具备首页、内容页及签字盖章页）</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满足磋商文件要求且最后报价最低的供应商的价格为磋商基准价，其价格分为满分。其他供应商的价格分统一按照下列公式计算：磋商报价得分=（磋商基准价/最后磋商报价）×价格分分值。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