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版本号：HRC-ZBDL-2026-00428.1B120260430001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2026年碑林区照明亮化维保服务(二次)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HRC-ZBDL-2026-00428.1B1</w:t>
      </w:r>
      <w:r>
        <w:br/>
      </w:r>
      <w:r>
        <w:br/>
      </w:r>
      <w:r>
        <w:br/>
      </w:r>
    </w:p>
    <w:p>
      <w:pPr>
        <w:pStyle w:val="null3"/>
        <w:jc w:val="center"/>
        <w:outlineLvl w:val="2"/>
      </w:pPr>
      <w:r>
        <w:rPr>
          <w:rFonts w:ascii="仿宋_GB2312" w:hAnsi="仿宋_GB2312" w:cs="仿宋_GB2312" w:eastAsia="仿宋_GB2312"/>
          <w:sz w:val="28"/>
          <w:b/>
        </w:rPr>
        <w:t>西安市碑林区城市管理和综合执法局（本级）</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西安市碑林区城市管理和综合执法局（本级）</w:t>
      </w:r>
      <w:r>
        <w:rPr>
          <w:rFonts w:ascii="仿宋_GB2312" w:hAnsi="仿宋_GB2312" w:cs="仿宋_GB2312" w:eastAsia="仿宋_GB2312"/>
        </w:rPr>
        <w:t>委托，拟对</w:t>
      </w:r>
      <w:r>
        <w:rPr>
          <w:rFonts w:ascii="仿宋_GB2312" w:hAnsi="仿宋_GB2312" w:cs="仿宋_GB2312" w:eastAsia="仿宋_GB2312"/>
        </w:rPr>
        <w:t>2026年碑林区照明亮化维保服务(二次)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HRC-ZBDL-2026-00428.1B1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2026年碑林区照明亮化维保服务(二次)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项目地点位于西安市碑林区；维护范围包括碑林区301个控制柜（290栋楼宇)和14座亮化人行天桥的日常维修；夜景亮化照明控制平台的日常维修等。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采购包1（2026年碑林区照明亮化维保服务）：属于专门面向中小企业采购。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市政公用工程施工总承包三级或以上（含三级）资质或具备城市及道路照明工程专业承包三级或以上（含三级）资质，具备有效的安全生产许可证，提供相关证明资料复印件或扫描件加盖公章或电子章。</w:t>
      </w:r>
    </w:p>
    <w:p>
      <w:pPr>
        <w:pStyle w:val="null3"/>
      </w:pPr>
      <w:r>
        <w:rPr>
          <w:rFonts w:ascii="仿宋_GB2312" w:hAnsi="仿宋_GB2312" w:cs="仿宋_GB2312" w:eastAsia="仿宋_GB2312"/>
        </w:rPr>
        <w:t>2、供应商拟派项目经理要求：供应商拟派项目经理须具备（市政公用工程专业或机电工程专业）二级或以上（含二级）注册建造师执业资格，具备有效的安全生产考核合格证书（建安B证），未担任其他在建工程的项目经理且无不良记录（提供承诺书）。 1.证书证明资料：提供相关证明资料复印件或扫描件加盖公章或电子章； 2.无在建证明资料：提供承诺书。</w:t>
      </w:r>
    </w:p>
    <w:p>
      <w:pPr>
        <w:pStyle w:val="null3"/>
      </w:pPr>
      <w:r>
        <w:rPr>
          <w:rFonts w:ascii="仿宋_GB2312" w:hAnsi="仿宋_GB2312" w:cs="仿宋_GB2312" w:eastAsia="仿宋_GB2312"/>
        </w:rPr>
        <w:t>3、供应商基本信息及拟派项目经理的基本信息要求：供应商基本信息及拟派项目经理的基本信息在“陕西省住房和城乡建设厅”网站可查询，提供“陕西省住房和城乡建设厅”相关网页截图并加盖公章或电子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西安市碑林区城市管理和综合执法局（本级）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碑林区雁塔北路23号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宇文肖泽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029-62523380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西安市曲江新区雁翔路3269号旺座曲江E座29层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王洁、张婷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18706799201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采购包1：2,408,200.00元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代理服务费收费标准：1.按照国家计委颁发的《招标代理服务收费管理暂行办法》（计价格[2002]1980号）、国家发展和改革委员会颁发的《关于招标代理服务收费有关问题的通知》（发改办价格[2003] 857号）和《关于降低部分建设项目收费标准规范收费行为等有关问题的通知》(发改价格[2011]534号)的有关规定标准向中标供应商收取。 2.缴费时间:确定中标人后3日内，由中标人向招标代理机构一次付清招标代理服务费。 3.银行信息: 户 名:华睿诚项目管理有限公司 开户银行:西安银行股份有限公司小寨东路支行 账 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西安市碑林区城市管理和综合执法局（本级）</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西安市碑林区城市管理和综合执法局（本级）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西安市碑林区城市管理和综合执法局（本级）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联系人：华睿诚项目管理有限公司 王洁、张婷</w:t>
      </w:r>
    </w:p>
    <w:p>
      <w:pPr>
        <w:pStyle w:val="null3"/>
      </w:pPr>
      <w:r>
        <w:rPr>
          <w:rFonts w:ascii="仿宋_GB2312" w:hAnsi="仿宋_GB2312" w:cs="仿宋_GB2312" w:eastAsia="仿宋_GB2312"/>
        </w:rPr>
        <w:t>联系电话：18706799201</w:t>
      </w:r>
    </w:p>
    <w:p>
      <w:pPr>
        <w:pStyle w:val="null3"/>
      </w:pPr>
      <w:r>
        <w:rPr>
          <w:rFonts w:ascii="仿宋_GB2312" w:hAnsi="仿宋_GB2312" w:cs="仿宋_GB2312" w:eastAsia="仿宋_GB2312"/>
        </w:rPr>
        <w:t>地址：西安市曲江新区雁翔路3269号旺座曲江E座29层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项目地点位于西安市碑林区；维护范围包括碑林区301个控制柜（290栋楼宇)和14座亮化人行天桥的日常维修；夜景亮化照明控制平台的日常维修等。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2,408,200.00</w:t>
      </w:r>
    </w:p>
    <w:p>
      <w:pPr>
        <w:pStyle w:val="null3"/>
      </w:pPr>
      <w:r>
        <w:rPr>
          <w:rFonts w:ascii="仿宋_GB2312" w:hAnsi="仿宋_GB2312" w:cs="仿宋_GB2312" w:eastAsia="仿宋_GB2312"/>
        </w:rPr>
        <w:t>采购包最高限价（元）: 2,408,200.00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亮化维保服务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2,408,200.00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标的名称：亮化维保服务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采购包</w:t>
            </w:r>
            <w:r>
              <w:rPr>
                <w:rFonts w:ascii="仿宋_GB2312" w:hAnsi="仿宋_GB2312" w:cs="仿宋_GB2312" w:eastAsia="仿宋_GB2312"/>
                <w:sz w:val="21"/>
              </w:rPr>
              <w:t>1：</w:t>
            </w:r>
          </w:p>
          <w:p>
            <w:pPr>
              <w:pStyle w:val="null3"/>
              <w:ind w:firstLine="420"/>
              <w:jc w:val="both"/>
            </w:pPr>
            <w:r>
              <w:rPr>
                <w:rFonts w:ascii="仿宋_GB2312" w:hAnsi="仿宋_GB2312" w:cs="仿宋_GB2312" w:eastAsia="仿宋_GB2312"/>
                <w:sz w:val="21"/>
              </w:rPr>
              <w:t>标的名称：</w:t>
            </w:r>
            <w:r>
              <w:rPr>
                <w:rFonts w:ascii="仿宋_GB2312" w:hAnsi="仿宋_GB2312" w:cs="仿宋_GB2312" w:eastAsia="仿宋_GB2312"/>
                <w:sz w:val="21"/>
              </w:rPr>
              <w:t>2026年碑林区照明亮化维保服务（二次）</w:t>
            </w:r>
          </w:p>
          <w:p>
            <w:pPr>
              <w:pStyle w:val="null3"/>
              <w:ind w:firstLine="420"/>
              <w:jc w:val="both"/>
            </w:pPr>
            <w:r>
              <w:rPr>
                <w:rFonts w:ascii="仿宋_GB2312" w:hAnsi="仿宋_GB2312" w:cs="仿宋_GB2312" w:eastAsia="仿宋_GB2312"/>
                <w:sz w:val="21"/>
              </w:rPr>
              <w:t>本项目地点位于西安市碑林区；维护范围包括碑林区</w:t>
            </w:r>
            <w:r>
              <w:rPr>
                <w:rFonts w:ascii="仿宋_GB2312" w:hAnsi="仿宋_GB2312" w:cs="仿宋_GB2312" w:eastAsia="仿宋_GB2312"/>
                <w:sz w:val="21"/>
              </w:rPr>
              <w:t>301个控制柜（290栋楼宇)和14座亮化人行天桥的日常维修；夜景亮化照明控制平台的日常维修。维护项目包括对所有亮化楼宇及亮化人行天桥照明线路的巡查和检修；定期巡查碑林区辖区内所有的照明亮化配备设施，并对有故障问题的设备设施及时维修或拆除，对脏污的设施设备及时进行清洁；对夜景亮化照明控制中心平台设备提供维护管理，主要包含软件维护服务、硬件维护服务、驻点值班服务(配维保工程车；为重大节假日和重要活动提供灯光保障措施等。同时还包括所有楼宇亮化情况的定期巡查，包括南大街(钟楼一南门)、柿园路(经九路一兴庆路)、互助路(兴庆路一东二环)、南二环东(东南二环拐角-赛格)、雁塔北路(雁塔立交以北-和平门)、长安北路(友谊路-长安立交)、东大街(钟楼-东门)、南二环西(雁塔北路以西)、和平路(和平门-东大街)、东关正街(环城东路-更新路段)、环城东路(永乐路-东南城角)、东二环(东二环沿线)。</w:t>
            </w:r>
          </w:p>
          <w:p>
            <w:pPr>
              <w:pStyle w:val="null3"/>
              <w:ind w:firstLine="420"/>
              <w:jc w:val="both"/>
            </w:pPr>
            <w:r>
              <w:rPr>
                <w:rFonts w:ascii="仿宋_GB2312" w:hAnsi="仿宋_GB2312" w:cs="仿宋_GB2312" w:eastAsia="仿宋_GB2312"/>
                <w:sz w:val="21"/>
              </w:rPr>
              <w:t>提供维保服务一方需在碑林区辖区设置固定项目管理部</w:t>
            </w:r>
            <w:r>
              <w:rPr>
                <w:rFonts w:ascii="仿宋_GB2312" w:hAnsi="仿宋_GB2312" w:cs="仿宋_GB2312" w:eastAsia="仿宋_GB2312"/>
                <w:sz w:val="21"/>
              </w:rPr>
              <w:t>,配备满足项目开展的办公室、物资材料仓储室、机械设备停放场以及相应的生活区:成立成员结构合理、分工明确的项目管理组织机构，并保证项目组成员具有相应资格或职称证书，持证上岗；项目组人员必须包含项目负责人、技术负责人、技术管理人员、安全专职人员(2人以上)、质检人员、资料员、专业的维修养护人员:对自有的养护维修作业人员和机械设备购买保险及相应的劳保用具；自备项目所需的机械设备及工具；具备健全的日常巡查制度、维护制度、自查自检制度应及急处理处置预案等。</w:t>
            </w:r>
          </w:p>
          <w:p>
            <w:pPr>
              <w:pStyle w:val="null3"/>
              <w:ind w:firstLine="420"/>
              <w:jc w:val="both"/>
            </w:pPr>
            <w:r>
              <w:rPr>
                <w:rFonts w:ascii="仿宋_GB2312" w:hAnsi="仿宋_GB2312" w:cs="仿宋_GB2312" w:eastAsia="仿宋_GB2312"/>
                <w:sz w:val="21"/>
              </w:rPr>
              <w:t>具体内容如下：</w:t>
            </w:r>
          </w:p>
          <w:p>
            <w:pPr>
              <w:pStyle w:val="null3"/>
              <w:ind w:firstLine="422"/>
              <w:jc w:val="both"/>
            </w:pPr>
            <w:r>
              <w:rPr>
                <w:rFonts w:ascii="仿宋_GB2312" w:hAnsi="仿宋_GB2312" w:cs="仿宋_GB2312" w:eastAsia="仿宋_GB2312"/>
                <w:sz w:val="21"/>
                <w:b/>
              </w:rPr>
              <w:t>一、城市夜景亮化设施维保</w:t>
            </w:r>
          </w:p>
          <w:p>
            <w:pPr>
              <w:pStyle w:val="null3"/>
              <w:ind w:firstLine="420"/>
              <w:jc w:val="both"/>
            </w:pPr>
            <w:r>
              <w:rPr>
                <w:rFonts w:ascii="仿宋_GB2312" w:hAnsi="仿宋_GB2312" w:cs="仿宋_GB2312" w:eastAsia="仿宋_GB2312"/>
                <w:sz w:val="21"/>
                <w:color w:val="333333"/>
                <w:shd w:fill="FFFFFF" w:val="clear"/>
              </w:rPr>
              <w:t>全区楼宇亮化及亮化人行天桥维护包括对碑林区所有亮化楼宇及亮化人行天桥（详见附件</w:t>
            </w:r>
            <w:r>
              <w:rPr>
                <w:rFonts w:ascii="仿宋_GB2312" w:hAnsi="仿宋_GB2312" w:cs="仿宋_GB2312" w:eastAsia="仿宋_GB2312"/>
                <w:sz w:val="21"/>
                <w:color w:val="333333"/>
                <w:shd w:fill="FFFFFF" w:val="clear"/>
              </w:rPr>
              <w:t>1、3）进行日常巡查检修、定期维护、不定期维护、防雷接地维护、物资储备及供应保障（包括零星采购及维修更换），保证所有亮化设施严格按照《西安市夜景照明启闭时间管理实施方案》(市城管发(2020)45号)正常安全点亮。重大节假日和重大活动时确保所有亮化设施按照采购方要求随时进行启闭时间调整。</w:t>
            </w:r>
          </w:p>
          <w:p>
            <w:pPr>
              <w:pStyle w:val="null3"/>
              <w:ind w:firstLine="422"/>
              <w:jc w:val="both"/>
            </w:pPr>
            <w:r>
              <w:rPr>
                <w:rFonts w:ascii="仿宋_GB2312" w:hAnsi="仿宋_GB2312" w:cs="仿宋_GB2312" w:eastAsia="仿宋_GB2312"/>
                <w:sz w:val="21"/>
                <w:b/>
              </w:rPr>
              <w:t>二、夜景照明控制中心平台设备维保</w:t>
            </w:r>
          </w:p>
          <w:p>
            <w:pPr>
              <w:pStyle w:val="null3"/>
              <w:ind w:firstLine="420"/>
              <w:jc w:val="both"/>
            </w:pPr>
            <w:r>
              <w:rPr>
                <w:rFonts w:ascii="仿宋_GB2312" w:hAnsi="仿宋_GB2312" w:cs="仿宋_GB2312" w:eastAsia="仿宋_GB2312"/>
                <w:sz w:val="21"/>
                <w:color w:val="333333"/>
                <w:shd w:fill="FFFFFF" w:val="clear"/>
              </w:rPr>
              <w:t>夜景照明控制中心平台设备维保包括对平台提供软件维护服务、硬件维护服务、驻点值班服务（配维保工程车）及通讯服务。</w:t>
            </w:r>
          </w:p>
          <w:p>
            <w:pPr>
              <w:pStyle w:val="null3"/>
              <w:ind w:firstLine="422"/>
              <w:jc w:val="both"/>
            </w:pPr>
            <w:r>
              <w:rPr>
                <w:rFonts w:ascii="仿宋_GB2312" w:hAnsi="仿宋_GB2312" w:cs="仿宋_GB2312" w:eastAsia="仿宋_GB2312"/>
                <w:sz w:val="21"/>
                <w:b/>
              </w:rPr>
              <w:t>三、项目要求</w:t>
            </w:r>
          </w:p>
          <w:p>
            <w:pPr>
              <w:pStyle w:val="null3"/>
              <w:ind w:firstLine="422"/>
              <w:jc w:val="both"/>
            </w:pPr>
            <w:r>
              <w:rPr>
                <w:rFonts w:ascii="仿宋_GB2312" w:hAnsi="仿宋_GB2312" w:cs="仿宋_GB2312" w:eastAsia="仿宋_GB2312"/>
                <w:sz w:val="21"/>
                <w:b/>
              </w:rPr>
              <w:t>（一）夜景亮化设施养护要求</w:t>
            </w:r>
          </w:p>
          <w:p>
            <w:pPr>
              <w:pStyle w:val="null3"/>
              <w:ind w:firstLine="420"/>
              <w:jc w:val="both"/>
            </w:pPr>
            <w:r>
              <w:rPr>
                <w:rFonts w:ascii="仿宋_GB2312" w:hAnsi="仿宋_GB2312" w:cs="仿宋_GB2312" w:eastAsia="仿宋_GB2312"/>
                <w:sz w:val="21"/>
                <w:color w:val="333333"/>
                <w:shd w:fill="FFFFFF" w:val="clear"/>
              </w:rPr>
              <w:t>1、养护标准</w:t>
            </w:r>
          </w:p>
          <w:p>
            <w:pPr>
              <w:pStyle w:val="null3"/>
              <w:ind w:firstLine="420"/>
              <w:jc w:val="both"/>
            </w:pPr>
            <w:r>
              <w:rPr>
                <w:rFonts w:ascii="仿宋_GB2312" w:hAnsi="仿宋_GB2312" w:cs="仿宋_GB2312" w:eastAsia="仿宋_GB2312"/>
                <w:sz w:val="21"/>
                <w:color w:val="333333"/>
                <w:shd w:fill="FFFFFF" w:val="clear"/>
              </w:rPr>
              <w:t>根据《城市照明设施养护维修服务标准》</w:t>
            </w:r>
            <w:r>
              <w:rPr>
                <w:rFonts w:ascii="仿宋_GB2312" w:hAnsi="仿宋_GB2312" w:cs="仿宋_GB2312" w:eastAsia="仿宋_GB2312"/>
                <w:sz w:val="21"/>
                <w:color w:val="333333"/>
                <w:shd w:fill="FFFFFF" w:val="clear"/>
              </w:rPr>
              <w:t>(DB3301/T 0165-2015)、《城市道路照明设计标准》(CJJ45-2015)、《城市夜景照明设计规范》(JGJ/T163)、《建筑电气照明装置施工与验收规范》(GB50617)、《城市道路照明工程施工及验收规程》(CJJ89)等及国家有关强制性标准的规定执行。</w:t>
            </w:r>
          </w:p>
          <w:p>
            <w:pPr>
              <w:pStyle w:val="null3"/>
              <w:ind w:firstLine="420"/>
              <w:jc w:val="both"/>
            </w:pPr>
            <w:r>
              <w:rPr>
                <w:rFonts w:ascii="仿宋_GB2312" w:hAnsi="仿宋_GB2312" w:cs="仿宋_GB2312" w:eastAsia="仿宋_GB2312"/>
                <w:sz w:val="21"/>
                <w:color w:val="333333"/>
                <w:shd w:fill="FFFFFF" w:val="clear"/>
              </w:rPr>
              <w:t>2、做好巡检</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按现行有关规范要求精心组织养护。对所有夜景亮化设施进行日常巡查，每天至少巡查一次，并及时记录设施的运行情况；所有夜景亮化设施、配电箱等应每周至少巡检一次；地埋电缆线路、接地装置、防雷装置、漏电保护装置每季度应至少巡检一次；集中控制装置、照明节电装置或其他智慧照明装置应每季度至少巡检一次；及时发现和处理设施缺陷和故障，确保夜景亮化设施完好和安全运行。如遇到特殊情况，须随时巡检。</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高温、大风、雷雨或冰雪等特殊自然灾害性气候来临前，应按要求进行防火、防风、防汛、防雷、抗雪等专项检查，并增加巡检次数，必要时根据现场实际情况做临时断电处理，并报告采购人。特殊自然灾害期间，应成立应急抢险小组，落实专人值班值守，做好突发事件的应急抢险工作，确保人员、设备、材料“三落实”，并做好信息的报送及数据、图片等记录的存档。此外，应保持联络畅通，及时反映情况，服从采购人的指挥和安排。</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3）遭遇非养护原因引起的意外事故(如雷击)或人为破坏造成的设施损坏，须立即采取应急抢修措施，避免其他相关设施遭受破坏，并做好赔偿、修复的调查工作。除不可抗力的自然环境因素外，因偷盗等人为因素导致的夜景亮化设施故障，养护单位应第一时间向采购人报告，必要时报警，并及时更换或维修故障设施，费用自行承担。</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4）在重大活动或节假日期间负责对夜景亮化设施的启闭时间按规定提前进行调整，具体启闭时间以上级的通知要求为准。在夜景亮化设施以节假日模式或平时模式开启时，养护单位须上路开展巡查。</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5）非重大活动和大型节假日期间，每日1次全覆盖巡查;重大活动和大型节假日期间，每日2次全覆盖巡查。巡查人员须按照当天夜景亮化设施启闭时间要求提前到岗并做好签到登记，非必要不可提前撤岗，如需撤岗，必须有替换人员。特大活动保障期间，须成立应急小分队，制定应急保障措施，提前2天将保障期间的值班表上报给采购人，安排人员24小时值班，必要时需蹲点监护，并提前准备好总维护量额5%以上的备货。</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6）当天巡查时需对正常运行和存在问题的夜景亮化设施都进行拍照、上报、留档记录，照片等影像资料需要有时间地点等水印。夜景亮化设施存在的问题整改后同样需要拍照留档，并将整改前后的对比照片按月度编制好后报区采购人。每次巡检都需要留存巡检记录和影像资料，以备查验。</w:t>
            </w:r>
          </w:p>
          <w:p>
            <w:pPr>
              <w:pStyle w:val="null3"/>
              <w:ind w:firstLine="420"/>
              <w:jc w:val="both"/>
            </w:pPr>
            <w:r>
              <w:rPr>
                <w:rFonts w:ascii="仿宋_GB2312" w:hAnsi="仿宋_GB2312" w:cs="仿宋_GB2312" w:eastAsia="仿宋_GB2312"/>
                <w:sz w:val="21"/>
                <w:color w:val="333333"/>
                <w:shd w:fill="FFFFFF" w:val="clear"/>
              </w:rPr>
              <w:t>3、对夜景亮化设施控制机房进行定期巡查</w:t>
            </w:r>
          </w:p>
          <w:p>
            <w:pPr>
              <w:pStyle w:val="null3"/>
              <w:ind w:firstLine="420"/>
              <w:jc w:val="both"/>
            </w:pPr>
            <w:r>
              <w:rPr>
                <w:rFonts w:ascii="仿宋_GB2312" w:hAnsi="仿宋_GB2312" w:cs="仿宋_GB2312" w:eastAsia="仿宋_GB2312"/>
                <w:sz w:val="21"/>
                <w:color w:val="333333"/>
                <w:shd w:fill="FFFFFF" w:val="clear"/>
              </w:rPr>
              <w:t>(1)基础环境</w:t>
            </w:r>
          </w:p>
          <w:p>
            <w:pPr>
              <w:pStyle w:val="null3"/>
              <w:ind w:firstLine="420"/>
              <w:jc w:val="both"/>
            </w:pPr>
            <w:r>
              <w:rPr>
                <w:rFonts w:ascii="仿宋_GB2312" w:hAnsi="仿宋_GB2312" w:cs="仿宋_GB2312" w:eastAsia="仿宋_GB2312"/>
                <w:sz w:val="21"/>
                <w:color w:val="333333"/>
                <w:shd w:fill="FFFFFF" w:val="clear"/>
              </w:rPr>
              <w:t>查看机柜电缆、光纤等线路的连接情况</w:t>
            </w:r>
            <w:r>
              <w:rPr>
                <w:rFonts w:ascii="仿宋_GB2312" w:hAnsi="仿宋_GB2312" w:cs="仿宋_GB2312" w:eastAsia="仿宋_GB2312"/>
                <w:sz w:val="21"/>
                <w:color w:val="333333"/>
                <w:shd w:fill="FFFFFF" w:val="clear"/>
              </w:rPr>
              <w:t>;梳理各类标识标签是否缺失;机房、机柜设备的清洁;加强地板、墙面、吊顶、门窗、照明及相关配套的巡查。</w:t>
            </w:r>
          </w:p>
          <w:p>
            <w:pPr>
              <w:pStyle w:val="null3"/>
              <w:ind w:firstLine="420"/>
              <w:jc w:val="both"/>
            </w:pPr>
            <w:r>
              <w:rPr>
                <w:rFonts w:ascii="仿宋_GB2312" w:hAnsi="仿宋_GB2312" w:cs="仿宋_GB2312" w:eastAsia="仿宋_GB2312"/>
                <w:sz w:val="21"/>
                <w:color w:val="333333"/>
                <w:shd w:fill="FFFFFF" w:val="clear"/>
              </w:rPr>
              <w:t>(2)供配电系统</w:t>
            </w:r>
          </w:p>
          <w:p>
            <w:pPr>
              <w:pStyle w:val="null3"/>
              <w:ind w:firstLine="420"/>
              <w:jc w:val="both"/>
            </w:pPr>
            <w:r>
              <w:rPr>
                <w:rFonts w:ascii="仿宋_GB2312" w:hAnsi="仿宋_GB2312" w:cs="仿宋_GB2312" w:eastAsia="仿宋_GB2312"/>
                <w:sz w:val="21"/>
                <w:color w:val="333333"/>
                <w:shd w:fill="FFFFFF" w:val="clear"/>
              </w:rPr>
              <w:t>检查配电室环境温度、注意有无异味、异常声响</w:t>
            </w:r>
            <w:r>
              <w:rPr>
                <w:rFonts w:ascii="仿宋_GB2312" w:hAnsi="仿宋_GB2312" w:cs="仿宋_GB2312" w:eastAsia="仿宋_GB2312"/>
                <w:sz w:val="21"/>
                <w:color w:val="333333"/>
                <w:shd w:fill="FFFFFF" w:val="clear"/>
              </w:rPr>
              <w:t>;查看各输入输出开关仪表显示状态;检查配电线路连接情况，UPS温度、声音、电压、电流有无异常;查看蓄电池外观有无变形，测量电池温度、电压数值;检查电源列头柜输入输出空开状态及防雷、接地是否牢固。</w:t>
            </w:r>
          </w:p>
          <w:p>
            <w:pPr>
              <w:pStyle w:val="null3"/>
              <w:ind w:firstLine="420"/>
              <w:jc w:val="both"/>
            </w:pPr>
            <w:r>
              <w:rPr>
                <w:rFonts w:ascii="仿宋_GB2312" w:hAnsi="仿宋_GB2312" w:cs="仿宋_GB2312" w:eastAsia="仿宋_GB2312"/>
                <w:sz w:val="21"/>
                <w:color w:val="333333"/>
                <w:shd w:fill="FFFFFF" w:val="clear"/>
              </w:rPr>
              <w:t>(3)新风制冷</w:t>
            </w:r>
          </w:p>
          <w:p>
            <w:pPr>
              <w:pStyle w:val="null3"/>
              <w:ind w:firstLine="420"/>
              <w:jc w:val="both"/>
            </w:pPr>
            <w:r>
              <w:rPr>
                <w:rFonts w:ascii="仿宋_GB2312" w:hAnsi="仿宋_GB2312" w:cs="仿宋_GB2312" w:eastAsia="仿宋_GB2312"/>
                <w:sz w:val="21"/>
                <w:color w:val="333333"/>
                <w:shd w:fill="FFFFFF" w:val="clear"/>
              </w:rPr>
              <w:t>确保机房温度保持在</w:t>
            </w:r>
            <w:r>
              <w:rPr>
                <w:rFonts w:ascii="仿宋_GB2312" w:hAnsi="仿宋_GB2312" w:cs="仿宋_GB2312" w:eastAsia="仿宋_GB2312"/>
                <w:sz w:val="21"/>
                <w:color w:val="333333"/>
                <w:shd w:fill="FFFFFF" w:val="clear"/>
              </w:rPr>
              <w:t>22℃±3℃;了解机房精密空调及新风设备的运行状态,对压缩机、制冷系统、电气部分进行检修;查看精密空调室外机、过滤网、加湿管道及排水是否正常。</w:t>
            </w:r>
          </w:p>
          <w:p>
            <w:pPr>
              <w:pStyle w:val="null3"/>
              <w:ind w:firstLine="420"/>
              <w:jc w:val="both"/>
            </w:pPr>
            <w:r>
              <w:rPr>
                <w:rFonts w:ascii="仿宋_GB2312" w:hAnsi="仿宋_GB2312" w:cs="仿宋_GB2312" w:eastAsia="仿宋_GB2312"/>
                <w:sz w:val="21"/>
                <w:color w:val="333333"/>
                <w:shd w:fill="FFFFFF" w:val="clear"/>
              </w:rPr>
              <w:t>(4)消防设施</w:t>
            </w:r>
          </w:p>
          <w:p>
            <w:pPr>
              <w:pStyle w:val="null3"/>
              <w:ind w:firstLine="420"/>
              <w:jc w:val="both"/>
            </w:pPr>
            <w:r>
              <w:rPr>
                <w:rFonts w:ascii="仿宋_GB2312" w:hAnsi="仿宋_GB2312" w:cs="仿宋_GB2312" w:eastAsia="仿宋_GB2312"/>
                <w:sz w:val="21"/>
                <w:color w:val="333333"/>
                <w:shd w:fill="FFFFFF" w:val="clear"/>
              </w:rPr>
              <w:t>巡查应急照明及疏散指示标志工作状态</w:t>
            </w:r>
            <w:r>
              <w:rPr>
                <w:rFonts w:ascii="仿宋_GB2312" w:hAnsi="仿宋_GB2312" w:cs="仿宋_GB2312" w:eastAsia="仿宋_GB2312"/>
                <w:sz w:val="21"/>
                <w:color w:val="333333"/>
                <w:shd w:fill="FFFFFF" w:val="clear"/>
              </w:rPr>
              <w:t>;查看灭火器及钢瓶压力指示针是否在正常范围内;查看烟感温感探测器，手动报警按钮和报警控制器电源及工作状态。</w:t>
            </w:r>
          </w:p>
          <w:p>
            <w:pPr>
              <w:pStyle w:val="null3"/>
              <w:ind w:firstLine="420"/>
              <w:jc w:val="both"/>
            </w:pPr>
            <w:r>
              <w:rPr>
                <w:rFonts w:ascii="仿宋_GB2312" w:hAnsi="仿宋_GB2312" w:cs="仿宋_GB2312" w:eastAsia="仿宋_GB2312"/>
                <w:sz w:val="21"/>
                <w:color w:val="333333"/>
                <w:shd w:fill="FFFFFF" w:val="clear"/>
              </w:rPr>
              <w:t>(5)视频安防</w:t>
            </w:r>
          </w:p>
          <w:p>
            <w:pPr>
              <w:pStyle w:val="null3"/>
              <w:ind w:firstLine="420"/>
              <w:jc w:val="both"/>
            </w:pPr>
            <w:r>
              <w:rPr>
                <w:rFonts w:ascii="仿宋_GB2312" w:hAnsi="仿宋_GB2312" w:cs="仿宋_GB2312" w:eastAsia="仿宋_GB2312"/>
                <w:sz w:val="21"/>
                <w:color w:val="333333"/>
                <w:shd w:fill="FFFFFF" w:val="clear"/>
              </w:rPr>
              <w:t>对所有监控摄像头进行实况点播，确认画面是否流畅</w:t>
            </w:r>
            <w:r>
              <w:rPr>
                <w:rFonts w:ascii="仿宋_GB2312" w:hAnsi="仿宋_GB2312" w:cs="仿宋_GB2312" w:eastAsia="仿宋_GB2312"/>
                <w:sz w:val="21"/>
                <w:color w:val="333333"/>
                <w:shd w:fill="FFFFFF" w:val="clear"/>
              </w:rPr>
              <w:t>;对监控</w:t>
            </w:r>
            <w:r>
              <w:rPr>
                <w:rFonts w:ascii="仿宋_GB2312" w:hAnsi="仿宋_GB2312" w:cs="仿宋_GB2312" w:eastAsia="仿宋_GB2312"/>
                <w:sz w:val="21"/>
                <w:color w:val="333333"/>
                <w:shd w:fill="FFFFFF" w:val="clear"/>
              </w:rPr>
              <w:t>软件</w:t>
            </w:r>
            <w:r>
              <w:rPr>
                <w:rFonts w:ascii="仿宋_GB2312" w:hAnsi="仿宋_GB2312" w:cs="仿宋_GB2312" w:eastAsia="仿宋_GB2312"/>
                <w:sz w:val="21"/>
                <w:color w:val="333333"/>
                <w:shd w:fill="FFFFFF" w:val="clear"/>
              </w:rPr>
              <w:t>系统</w:t>
            </w:r>
            <w:r>
              <w:rPr>
                <w:rFonts w:ascii="仿宋_GB2312" w:hAnsi="仿宋_GB2312" w:cs="仿宋_GB2312" w:eastAsia="仿宋_GB2312"/>
                <w:sz w:val="21"/>
                <w:color w:val="333333"/>
                <w:shd w:fill="FFFFFF" w:val="clear"/>
              </w:rPr>
              <w:t>进行测试，保证录像机可录像存储</w:t>
            </w:r>
            <w:r>
              <w:rPr>
                <w:rFonts w:ascii="仿宋_GB2312" w:hAnsi="仿宋_GB2312" w:cs="仿宋_GB2312" w:eastAsia="仿宋_GB2312"/>
                <w:sz w:val="21"/>
                <w:color w:val="333333"/>
                <w:shd w:fill="FFFFFF" w:val="clear"/>
              </w:rPr>
              <w:t>;查看各机房门禁系统运行状态，测试安防联动性。</w:t>
            </w:r>
          </w:p>
          <w:p>
            <w:pPr>
              <w:pStyle w:val="null3"/>
              <w:ind w:firstLine="420"/>
              <w:jc w:val="both"/>
            </w:pPr>
            <w:r>
              <w:rPr>
                <w:rFonts w:ascii="仿宋_GB2312" w:hAnsi="仿宋_GB2312" w:cs="仿宋_GB2312" w:eastAsia="仿宋_GB2312"/>
                <w:sz w:val="21"/>
                <w:color w:val="333333"/>
                <w:shd w:fill="FFFFFF" w:val="clear"/>
              </w:rPr>
              <w:t>4、清洗</w:t>
            </w:r>
          </w:p>
          <w:p>
            <w:pPr>
              <w:pStyle w:val="null3"/>
              <w:ind w:firstLine="420"/>
              <w:jc w:val="both"/>
            </w:pPr>
            <w:r>
              <w:rPr>
                <w:rFonts w:ascii="仿宋_GB2312" w:hAnsi="仿宋_GB2312" w:cs="仿宋_GB2312" w:eastAsia="仿宋_GB2312"/>
                <w:sz w:val="21"/>
                <w:color w:val="333333"/>
                <w:shd w:fill="FFFFFF" w:val="clear"/>
              </w:rPr>
              <w:t>对所有夜景亮化设施定期进行清洗，保持设施的清洁，无明显污垢。亮化工程建筑物夜景亮化设施外表应无污染、锈蚀、违规粘贴。建筑物夜景亮化设施每半年清洗一次，污染严重地段提高清洁工作频次</w:t>
            </w:r>
            <w:r>
              <w:rPr>
                <w:rFonts w:ascii="仿宋_GB2312" w:hAnsi="仿宋_GB2312" w:cs="仿宋_GB2312" w:eastAsia="仿宋_GB2312"/>
                <w:sz w:val="21"/>
                <w:color w:val="333333"/>
                <w:shd w:fill="FFFFFF" w:val="clear"/>
              </w:rPr>
              <w:t>;室外配电箱每半年清洗一次，室内配电箱每年清洗一次，污染严重地段提高清洁工作频次;设施设备积尘明显或者存在乱张贴的要及时清理;及时清除未经许可的任何悬挂物。</w:t>
            </w:r>
          </w:p>
          <w:p>
            <w:pPr>
              <w:pStyle w:val="null3"/>
              <w:ind w:firstLine="420"/>
              <w:jc w:val="both"/>
            </w:pPr>
            <w:r>
              <w:rPr>
                <w:rFonts w:ascii="仿宋_GB2312" w:hAnsi="仿宋_GB2312" w:cs="仿宋_GB2312" w:eastAsia="仿宋_GB2312"/>
                <w:sz w:val="21"/>
                <w:color w:val="333333"/>
                <w:shd w:fill="FFFFFF" w:val="clear"/>
              </w:rPr>
              <w:t>5、喷漆翻新:</w:t>
            </w:r>
          </w:p>
          <w:p>
            <w:pPr>
              <w:pStyle w:val="null3"/>
              <w:ind w:firstLine="420"/>
              <w:jc w:val="both"/>
            </w:pPr>
            <w:r>
              <w:rPr>
                <w:rFonts w:ascii="仿宋_GB2312" w:hAnsi="仿宋_GB2312" w:cs="仿宋_GB2312" w:eastAsia="仿宋_GB2312"/>
                <w:sz w:val="21"/>
                <w:color w:val="333333"/>
                <w:shd w:fill="FFFFFF" w:val="clear"/>
              </w:rPr>
              <w:t>影响观瞻的设施表面每年集中喷漆一次。</w:t>
            </w:r>
          </w:p>
          <w:p>
            <w:pPr>
              <w:pStyle w:val="null3"/>
              <w:ind w:firstLine="420"/>
              <w:jc w:val="both"/>
            </w:pPr>
            <w:r>
              <w:rPr>
                <w:rFonts w:ascii="仿宋_GB2312" w:hAnsi="仿宋_GB2312" w:cs="仿宋_GB2312" w:eastAsia="仿宋_GB2312"/>
                <w:sz w:val="21"/>
                <w:color w:val="333333"/>
                <w:shd w:fill="FFFFFF" w:val="clear"/>
              </w:rPr>
              <w:t>6、设施维护检测:</w:t>
            </w:r>
          </w:p>
          <w:p>
            <w:pPr>
              <w:pStyle w:val="null3"/>
              <w:ind w:firstLine="420"/>
              <w:jc w:val="both"/>
            </w:pPr>
            <w:r>
              <w:rPr>
                <w:rFonts w:ascii="仿宋_GB2312" w:hAnsi="仿宋_GB2312" w:cs="仿宋_GB2312" w:eastAsia="仿宋_GB2312"/>
                <w:sz w:val="21"/>
                <w:color w:val="333333"/>
                <w:shd w:fill="FFFFFF" w:val="clear"/>
              </w:rPr>
              <w:t>按维护要求，春、秋两季定期常规检查电缆、灯具、控制柜各一次</w:t>
            </w:r>
            <w:r>
              <w:rPr>
                <w:rFonts w:ascii="仿宋_GB2312" w:hAnsi="仿宋_GB2312" w:cs="仿宋_GB2312" w:eastAsia="仿宋_GB2312"/>
                <w:sz w:val="21"/>
                <w:color w:val="333333"/>
                <w:shd w:fill="FFFFFF" w:val="clear"/>
              </w:rPr>
              <w:t>;重大保障活动及国家法定节假日前做好电缆、灯具、控制柜的专项检测;电缆每年绝缘测试一次;控制柜预防性检测每年一次。</w:t>
            </w:r>
          </w:p>
          <w:p>
            <w:pPr>
              <w:pStyle w:val="null3"/>
              <w:ind w:firstLine="420"/>
              <w:jc w:val="both"/>
            </w:pPr>
            <w:r>
              <w:rPr>
                <w:rFonts w:ascii="仿宋_GB2312" w:hAnsi="仿宋_GB2312" w:cs="仿宋_GB2312" w:eastAsia="仿宋_GB2312"/>
                <w:sz w:val="21"/>
                <w:color w:val="333333"/>
                <w:shd w:fill="FFFFFF" w:val="clear"/>
              </w:rPr>
              <w:t>7、日常维护:</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1）对碑林区所有亮化楼宇及亮化人行天桥进行维护、损坏修复。</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2）要求夜景亮化设施无破损、开裂、倾斜、脱落、缺亮、显示不同步等问题。对所发现的故障和缺陷应及时修复，确保夜景亮化设施及附属设施正常安全运行。</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3）景观照明灯饰故障，1个工作日内修复;楼宇及人行天桥亮化因故障无法点亮，2个工作日内修复；控制柜故障，1个工作日内修复;因安全、保障等要求，需实施应急处理的，应立即采取措施做好处置。因特殊情况无法按时修复的，可在规定时间内提出延期申请。如因养护单位未按照合同要求进行保养造成的损坏,由养护单位承担相应责任:</w:t>
            </w:r>
          </w:p>
          <w:p>
            <w:pPr>
              <w:pStyle w:val="null3"/>
              <w:ind w:firstLine="420"/>
              <w:jc w:val="both"/>
            </w:pPr>
            <w:r>
              <w:rPr>
                <w:rFonts w:ascii="仿宋_GB2312" w:hAnsi="仿宋_GB2312" w:cs="仿宋_GB2312" w:eastAsia="仿宋_GB2312"/>
                <w:sz w:val="21"/>
                <w:color w:val="333333"/>
                <w:shd w:fill="FFFFFF" w:val="clear"/>
              </w:rPr>
              <w:t>8、保障夜景亮化设施运行安全、正常、稳定。政府大型活动、外事活动等提供完善的保障方案和实施24小时值班制度，并确保设施完好率、亮灯率、整洁率达到100%。</w:t>
            </w:r>
          </w:p>
          <w:p>
            <w:pPr>
              <w:pStyle w:val="null3"/>
              <w:ind w:firstLine="422"/>
              <w:jc w:val="both"/>
            </w:pPr>
            <w:r>
              <w:rPr>
                <w:rFonts w:ascii="仿宋_GB2312" w:hAnsi="仿宋_GB2312" w:cs="仿宋_GB2312" w:eastAsia="仿宋_GB2312"/>
                <w:sz w:val="21"/>
                <w:b/>
              </w:rPr>
              <w:t>（二）夜景照明控制中心平台设备维保要求</w:t>
            </w:r>
          </w:p>
          <w:p>
            <w:pPr>
              <w:pStyle w:val="null3"/>
              <w:ind w:firstLine="420"/>
              <w:jc w:val="both"/>
            </w:pPr>
            <w:r>
              <w:rPr>
                <w:rFonts w:ascii="仿宋_GB2312" w:hAnsi="仿宋_GB2312" w:cs="仿宋_GB2312" w:eastAsia="仿宋_GB2312"/>
                <w:sz w:val="21"/>
                <w:color w:val="333333"/>
                <w:shd w:fill="FFFFFF" w:val="clear"/>
              </w:rPr>
              <w:t>1、配备专职的安全管理员、应急事件处置人员及相关专业技术人员，通过</w:t>
            </w:r>
            <w:r>
              <w:rPr>
                <w:rFonts w:ascii="仿宋_GB2312" w:hAnsi="仿宋_GB2312" w:cs="仿宋_GB2312" w:eastAsia="仿宋_GB2312"/>
                <w:sz w:val="21"/>
                <w:color w:val="333333"/>
                <w:shd w:fill="FFFFFF" w:val="clear"/>
              </w:rPr>
              <w:t>预防性维护</w:t>
            </w: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热线电话及电子邮件支持</w:t>
            </w: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远程在线诊断与调试</w:t>
            </w:r>
            <w:r>
              <w:rPr>
                <w:rFonts w:ascii="仿宋_GB2312" w:hAnsi="仿宋_GB2312" w:cs="仿宋_GB2312" w:eastAsia="仿宋_GB2312"/>
                <w:sz w:val="21"/>
                <w:color w:val="333333"/>
                <w:shd w:fill="FFFFFF" w:val="clear"/>
              </w:rPr>
              <w:t>及</w:t>
            </w:r>
            <w:r>
              <w:rPr>
                <w:rFonts w:ascii="仿宋_GB2312" w:hAnsi="仿宋_GB2312" w:cs="仿宋_GB2312" w:eastAsia="仿宋_GB2312"/>
                <w:sz w:val="21"/>
                <w:color w:val="333333"/>
                <w:shd w:fill="FFFFFF" w:val="clear"/>
              </w:rPr>
              <w:t>现场服务</w:t>
            </w:r>
            <w:r>
              <w:rPr>
                <w:rFonts w:ascii="仿宋_GB2312" w:hAnsi="仿宋_GB2312" w:cs="仿宋_GB2312" w:eastAsia="仿宋_GB2312"/>
                <w:sz w:val="21"/>
                <w:color w:val="333333"/>
                <w:shd w:fill="FFFFFF" w:val="clear"/>
              </w:rPr>
              <w:t>等运维方式提供运维服务，保证系统平台的安全稳定运行。（附件</w:t>
            </w:r>
            <w:r>
              <w:rPr>
                <w:rFonts w:ascii="仿宋_GB2312" w:hAnsi="仿宋_GB2312" w:cs="仿宋_GB2312" w:eastAsia="仿宋_GB2312"/>
                <w:sz w:val="21"/>
                <w:color w:val="333333"/>
                <w:shd w:fill="FFFFFF" w:val="clear"/>
              </w:rPr>
              <w:t>4）</w:t>
            </w:r>
          </w:p>
          <w:p>
            <w:pPr>
              <w:pStyle w:val="null3"/>
              <w:ind w:firstLine="420"/>
              <w:jc w:val="both"/>
            </w:pPr>
            <w:r>
              <w:rPr>
                <w:rFonts w:ascii="仿宋_GB2312" w:hAnsi="仿宋_GB2312" w:cs="仿宋_GB2312" w:eastAsia="仿宋_GB2312"/>
                <w:sz w:val="21"/>
                <w:color w:val="333333"/>
                <w:shd w:fill="FFFFFF" w:val="clear"/>
              </w:rPr>
              <w:t>2、安排专人进行值班服务。</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w:t>
            </w:r>
            <w:r>
              <w:rPr>
                <w:rFonts w:ascii="仿宋_GB2312" w:hAnsi="仿宋_GB2312" w:cs="仿宋_GB2312" w:eastAsia="仿宋_GB2312"/>
                <w:sz w:val="21"/>
                <w:color w:val="333333"/>
                <w:shd w:fill="FFFFFF" w:val="clear"/>
              </w:rPr>
              <w:t>技术人员通过远程值守及驻点值方式相结合方式，对平台进行开关灯时间前后两小时的值班，通过专业的分析手段，发现设备运行情况异常，及时通知维护班组进行场处理故障</w:t>
            </w:r>
            <w:r>
              <w:rPr>
                <w:rFonts w:ascii="仿宋_GB2312" w:hAnsi="仿宋_GB2312" w:cs="仿宋_GB2312" w:eastAsia="仿宋_GB2312"/>
                <w:sz w:val="21"/>
                <w:color w:val="333333"/>
                <w:shd w:fill="FFFFFF" w:val="clear"/>
              </w:rPr>
              <w:t>。</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w:t>
            </w:r>
            <w:r>
              <w:rPr>
                <w:rFonts w:ascii="仿宋_GB2312" w:hAnsi="仿宋_GB2312" w:cs="仿宋_GB2312" w:eastAsia="仿宋_GB2312"/>
                <w:sz w:val="21"/>
                <w:color w:val="333333"/>
                <w:shd w:fill="FFFFFF" w:val="clear"/>
              </w:rPr>
              <w:t>每天进行故障监控，确保针对监控平台进行系统巡查，并打印出报表交给有关人员，列明需要维修内容和地点，巡查软件监控平台各个软件组成部分运行数据是否正常，现场监控终端运行数据是否正常，针对出现异常和故障的问题进行分类及时派单</w:t>
            </w:r>
            <w:r>
              <w:rPr>
                <w:rFonts w:ascii="仿宋_GB2312" w:hAnsi="仿宋_GB2312" w:cs="仿宋_GB2312" w:eastAsia="仿宋_GB2312"/>
                <w:sz w:val="21"/>
                <w:color w:val="333333"/>
                <w:shd w:fill="FFFFFF" w:val="clear"/>
              </w:rPr>
              <w:t>。</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3）</w:t>
            </w:r>
            <w:r>
              <w:rPr>
                <w:rFonts w:ascii="仿宋_GB2312" w:hAnsi="仿宋_GB2312" w:cs="仿宋_GB2312" w:eastAsia="仿宋_GB2312"/>
                <w:sz w:val="21"/>
                <w:color w:val="333333"/>
                <w:shd w:fill="FFFFFF" w:val="clear"/>
              </w:rPr>
              <w:t>及时发现系统报警信息，第一时间通知维护班组进行处理，保障夜景亮化照明</w:t>
            </w:r>
            <w:r>
              <w:rPr>
                <w:rFonts w:ascii="仿宋_GB2312" w:hAnsi="仿宋_GB2312" w:cs="仿宋_GB2312" w:eastAsia="仿宋_GB2312"/>
                <w:sz w:val="21"/>
                <w:color w:val="333333"/>
                <w:shd w:fill="FFFFFF" w:val="clear"/>
              </w:rPr>
              <w:t>设施</w:t>
            </w:r>
            <w:r>
              <w:rPr>
                <w:rFonts w:ascii="仿宋_GB2312" w:hAnsi="仿宋_GB2312" w:cs="仿宋_GB2312" w:eastAsia="仿宋_GB2312"/>
                <w:sz w:val="21"/>
                <w:color w:val="333333"/>
                <w:shd w:fill="FFFFFF" w:val="clear"/>
              </w:rPr>
              <w:t>的正常</w:t>
            </w:r>
            <w:r>
              <w:rPr>
                <w:rFonts w:ascii="仿宋_GB2312" w:hAnsi="仿宋_GB2312" w:cs="仿宋_GB2312" w:eastAsia="仿宋_GB2312"/>
                <w:sz w:val="21"/>
                <w:color w:val="333333"/>
                <w:shd w:fill="FFFFFF" w:val="clear"/>
              </w:rPr>
              <w:t>点亮</w:t>
            </w: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大部分无法点亮</w:t>
            </w:r>
            <w:r>
              <w:rPr>
                <w:rFonts w:ascii="仿宋_GB2312" w:hAnsi="仿宋_GB2312" w:cs="仿宋_GB2312" w:eastAsia="仿宋_GB2312"/>
                <w:sz w:val="21"/>
                <w:color w:val="333333"/>
                <w:shd w:fill="FFFFFF" w:val="clear"/>
              </w:rPr>
              <w:t>的情况及时报相关领导；在</w:t>
            </w:r>
            <w:r>
              <w:rPr>
                <w:rFonts w:ascii="仿宋_GB2312" w:hAnsi="仿宋_GB2312" w:cs="仿宋_GB2312" w:eastAsia="仿宋_GB2312"/>
                <w:sz w:val="21"/>
                <w:color w:val="333333"/>
                <w:shd w:fill="FFFFFF" w:val="clear"/>
              </w:rPr>
              <w:t>点亮</w:t>
            </w:r>
            <w:r>
              <w:rPr>
                <w:rFonts w:ascii="仿宋_GB2312" w:hAnsi="仿宋_GB2312" w:cs="仿宋_GB2312" w:eastAsia="仿宋_GB2312"/>
                <w:sz w:val="21"/>
                <w:color w:val="333333"/>
                <w:shd w:fill="FFFFFF" w:val="clear"/>
              </w:rPr>
              <w:t>期间，需要对开关箱进行查看，做到有故障，及时通知反馈</w:t>
            </w:r>
            <w:r>
              <w:rPr>
                <w:rFonts w:ascii="仿宋_GB2312" w:hAnsi="仿宋_GB2312" w:cs="仿宋_GB2312" w:eastAsia="仿宋_GB2312"/>
                <w:sz w:val="21"/>
                <w:color w:val="333333"/>
                <w:shd w:fill="FFFFFF" w:val="clear"/>
              </w:rPr>
              <w:t>。</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4）</w:t>
            </w:r>
            <w:r>
              <w:rPr>
                <w:rFonts w:ascii="仿宋_GB2312" w:hAnsi="仿宋_GB2312" w:cs="仿宋_GB2312" w:eastAsia="仿宋_GB2312"/>
                <w:sz w:val="21"/>
                <w:color w:val="333333"/>
                <w:shd w:fill="FFFFFF" w:val="clear"/>
              </w:rPr>
              <w:t>配合夜景亮化照明管理单位、相关部门进行亮化照明临时</w:t>
            </w:r>
            <w:r>
              <w:rPr>
                <w:rFonts w:ascii="仿宋_GB2312" w:hAnsi="仿宋_GB2312" w:cs="仿宋_GB2312" w:eastAsia="仿宋_GB2312"/>
                <w:sz w:val="21"/>
                <w:color w:val="333333"/>
                <w:shd w:fill="FFFFFF" w:val="clear"/>
              </w:rPr>
              <w:t>点亮</w:t>
            </w:r>
            <w:r>
              <w:rPr>
                <w:rFonts w:ascii="仿宋_GB2312" w:hAnsi="仿宋_GB2312" w:cs="仿宋_GB2312" w:eastAsia="仿宋_GB2312"/>
                <w:sz w:val="21"/>
                <w:color w:val="333333"/>
                <w:shd w:fill="FFFFFF" w:val="clear"/>
              </w:rPr>
              <w:t>工作，并做好相关记录及反馈</w:t>
            </w:r>
            <w:r>
              <w:rPr>
                <w:rFonts w:ascii="仿宋_GB2312" w:hAnsi="仿宋_GB2312" w:cs="仿宋_GB2312" w:eastAsia="仿宋_GB2312"/>
                <w:sz w:val="21"/>
                <w:color w:val="333333"/>
                <w:shd w:fill="FFFFFF" w:val="clear"/>
              </w:rPr>
              <w:t>亮化设施</w:t>
            </w:r>
            <w:r>
              <w:rPr>
                <w:rFonts w:ascii="仿宋_GB2312" w:hAnsi="仿宋_GB2312" w:cs="仿宋_GB2312" w:eastAsia="仿宋_GB2312"/>
                <w:sz w:val="21"/>
                <w:color w:val="333333"/>
                <w:shd w:fill="FFFFFF" w:val="clear"/>
              </w:rPr>
              <w:t>状态；配合维护班组对开关箱进行开关灯操作，方便各维护班进行</w:t>
            </w:r>
            <w:r>
              <w:rPr>
                <w:rFonts w:ascii="仿宋_GB2312" w:hAnsi="仿宋_GB2312" w:cs="仿宋_GB2312" w:eastAsia="仿宋_GB2312"/>
                <w:sz w:val="21"/>
                <w:color w:val="333333"/>
                <w:shd w:fill="FFFFFF" w:val="clear"/>
              </w:rPr>
              <w:t>亮化设施</w:t>
            </w:r>
            <w:r>
              <w:rPr>
                <w:rFonts w:ascii="仿宋_GB2312" w:hAnsi="仿宋_GB2312" w:cs="仿宋_GB2312" w:eastAsia="仿宋_GB2312"/>
                <w:sz w:val="21"/>
                <w:color w:val="333333"/>
                <w:shd w:fill="FFFFFF" w:val="clear"/>
              </w:rPr>
              <w:t>检修</w:t>
            </w:r>
            <w:r>
              <w:rPr>
                <w:rFonts w:ascii="仿宋_GB2312" w:hAnsi="仿宋_GB2312" w:cs="仿宋_GB2312" w:eastAsia="仿宋_GB2312"/>
                <w:sz w:val="21"/>
                <w:color w:val="333333"/>
                <w:shd w:fill="FFFFFF" w:val="clear"/>
              </w:rPr>
              <w:t>。</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5）</w:t>
            </w:r>
            <w:r>
              <w:rPr>
                <w:rFonts w:ascii="仿宋_GB2312" w:hAnsi="仿宋_GB2312" w:cs="仿宋_GB2312" w:eastAsia="仿宋_GB2312"/>
                <w:sz w:val="21"/>
                <w:color w:val="333333"/>
                <w:shd w:fill="FFFFFF" w:val="clear"/>
              </w:rPr>
              <w:t>每天查看系统里是否存在待解决的故障，如果有及时处理并反馈到相关领导处，并做好反馈记录</w:t>
            </w:r>
            <w:r>
              <w:rPr>
                <w:rFonts w:ascii="仿宋_GB2312" w:hAnsi="仿宋_GB2312" w:cs="仿宋_GB2312" w:eastAsia="仿宋_GB2312"/>
                <w:sz w:val="21"/>
                <w:color w:val="333333"/>
                <w:shd w:fill="FFFFFF" w:val="clear"/>
              </w:rPr>
              <w:t>。</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6）</w:t>
            </w:r>
            <w:r>
              <w:rPr>
                <w:rFonts w:ascii="仿宋_GB2312" w:hAnsi="仿宋_GB2312" w:cs="仿宋_GB2312" w:eastAsia="仿宋_GB2312"/>
                <w:sz w:val="21"/>
                <w:color w:val="333333"/>
                <w:shd w:fill="FFFFFF" w:val="clear"/>
              </w:rPr>
              <w:t>对每个月、每季度、每年的所有监控数据、监控记录、维修记录等工作量进行统计，形成档案存档</w:t>
            </w:r>
            <w:r>
              <w:rPr>
                <w:rFonts w:ascii="仿宋_GB2312" w:hAnsi="仿宋_GB2312" w:cs="仿宋_GB2312" w:eastAsia="仿宋_GB2312"/>
                <w:sz w:val="21"/>
                <w:color w:val="333333"/>
                <w:shd w:fill="FFFFFF" w:val="clear"/>
              </w:rPr>
              <w:t>。</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7）</w:t>
            </w:r>
            <w:r>
              <w:rPr>
                <w:rFonts w:ascii="仿宋_GB2312" w:hAnsi="仿宋_GB2312" w:cs="仿宋_GB2312" w:eastAsia="仿宋_GB2312"/>
                <w:sz w:val="21"/>
                <w:color w:val="333333"/>
                <w:shd w:fill="FFFFFF" w:val="clear"/>
              </w:rPr>
              <w:t>每月对通讯网络、通讯设备进行检查，内容包括是否欠费、是否超流量，同时对终端</w:t>
            </w:r>
            <w:r>
              <w:rPr>
                <w:rFonts w:ascii="仿宋_GB2312" w:hAnsi="仿宋_GB2312" w:cs="仿宋_GB2312" w:eastAsia="仿宋_GB2312"/>
                <w:sz w:val="21"/>
                <w:color w:val="333333"/>
                <w:shd w:fill="FFFFFF" w:val="clear"/>
              </w:rPr>
              <w:t>IP地址、端口号、物联网卡等进行管理。</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8）</w:t>
            </w:r>
            <w:r>
              <w:rPr>
                <w:rFonts w:ascii="仿宋_GB2312" w:hAnsi="仿宋_GB2312" w:cs="仿宋_GB2312" w:eastAsia="仿宋_GB2312"/>
                <w:sz w:val="21"/>
                <w:color w:val="333333"/>
                <w:shd w:fill="FFFFFF" w:val="clear"/>
              </w:rPr>
              <w:t>在碑林区辖区设置固定项目管理部，配备满足项目开展的办公室、物资材料仓储室、机械设备停放场以及相应的生活区。</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9）有</w:t>
            </w:r>
            <w:r>
              <w:rPr>
                <w:rFonts w:ascii="仿宋_GB2312" w:hAnsi="仿宋_GB2312" w:cs="仿宋_GB2312" w:eastAsia="仿宋_GB2312"/>
                <w:sz w:val="21"/>
                <w:color w:val="333333"/>
                <w:shd w:fill="FFFFFF" w:val="clear"/>
              </w:rPr>
              <w:t>成员结构合理、分工明确</w:t>
            </w:r>
            <w:r>
              <w:rPr>
                <w:rFonts w:ascii="仿宋_GB2312" w:hAnsi="仿宋_GB2312" w:cs="仿宋_GB2312" w:eastAsia="仿宋_GB2312"/>
                <w:sz w:val="21"/>
                <w:color w:val="333333"/>
                <w:shd w:fill="FFFFFF" w:val="clear"/>
              </w:rPr>
              <w:t>的</w:t>
            </w:r>
            <w:r>
              <w:rPr>
                <w:rFonts w:ascii="仿宋_GB2312" w:hAnsi="仿宋_GB2312" w:cs="仿宋_GB2312" w:eastAsia="仿宋_GB2312"/>
                <w:sz w:val="21"/>
                <w:color w:val="333333"/>
                <w:shd w:fill="FFFFFF" w:val="clear"/>
              </w:rPr>
              <w:t>项目管理组织机构，并保证项目组成员具有相应资格或职称证书，持证上岗。</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10</w:t>
            </w:r>
            <w:r>
              <w:rPr>
                <w:rFonts w:ascii="仿宋_GB2312" w:hAnsi="仿宋_GB2312" w:cs="仿宋_GB2312" w:eastAsia="仿宋_GB2312"/>
                <w:sz w:val="21"/>
                <w:color w:val="333333"/>
                <w:shd w:fill="FFFFFF" w:val="clear"/>
              </w:rPr>
              <w:t>）项目组人员必须包含项目负责人、技术负责人、技术管理人员、安全专职人员</w:t>
            </w:r>
            <w:r>
              <w:rPr>
                <w:rFonts w:ascii="仿宋_GB2312" w:hAnsi="仿宋_GB2312" w:cs="仿宋_GB2312" w:eastAsia="仿宋_GB2312"/>
                <w:sz w:val="21"/>
                <w:color w:val="333333"/>
                <w:shd w:fill="FFFFFF" w:val="clear"/>
              </w:rPr>
              <w:t>(2人以上)、质检人员、资料员、专业的维修养护人员。</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11</w:t>
            </w:r>
            <w:r>
              <w:rPr>
                <w:rFonts w:ascii="仿宋_GB2312" w:hAnsi="仿宋_GB2312" w:cs="仿宋_GB2312" w:eastAsia="仿宋_GB2312"/>
                <w:sz w:val="21"/>
                <w:color w:val="333333"/>
                <w:shd w:fill="FFFFFF" w:val="clear"/>
              </w:rPr>
              <w:t>）对自有的养护维修作业人员和机械设备购买保险及相应的劳保用具。</w:t>
            </w:r>
          </w:p>
          <w:p>
            <w:pPr>
              <w:pStyle w:val="null3"/>
              <w:ind w:firstLine="420"/>
              <w:jc w:val="both"/>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12</w:t>
            </w:r>
            <w:r>
              <w:rPr>
                <w:rFonts w:ascii="仿宋_GB2312" w:hAnsi="仿宋_GB2312" w:cs="仿宋_GB2312" w:eastAsia="仿宋_GB2312"/>
                <w:sz w:val="21"/>
                <w:color w:val="333333"/>
                <w:shd w:fill="FFFFFF" w:val="clear"/>
              </w:rPr>
              <w:t>）具备健全的日常巡查制度、维护制度、自查自检制度应及急处理处置预案。</w:t>
            </w:r>
          </w:p>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1</w:t>
            </w:r>
          </w:p>
          <w:tbl>
            <w:tblPr>
              <w:tblBorders>
                <w:top w:val="none" w:color="000000" w:sz="4"/>
                <w:left w:val="none" w:color="000000" w:sz="4"/>
                <w:bottom w:val="none" w:color="000000" w:sz="4"/>
                <w:right w:val="none" w:color="000000" w:sz="4"/>
                <w:insideH w:val="none"/>
                <w:insideV w:val="none"/>
              </w:tblBorders>
            </w:tblPr>
            <w:tblGrid>
              <w:gridCol w:w="238"/>
              <w:gridCol w:w="458"/>
              <w:gridCol w:w="404"/>
              <w:gridCol w:w="988"/>
              <w:gridCol w:w="431"/>
              <w:gridCol w:w="337"/>
              <w:gridCol w:w="314"/>
            </w:tblGrid>
            <w:tr>
              <w:tc>
                <w:tcPr>
                  <w:tcW w:type="dxa" w:w="23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道路</w:t>
                  </w:r>
                  <w:r>
                    <w:br/>
                  </w:r>
                  <w:r>
                    <w:rPr>
                      <w:rFonts w:ascii="仿宋_GB2312" w:hAnsi="仿宋_GB2312" w:cs="仿宋_GB2312" w:eastAsia="仿宋_GB2312"/>
                      <w:sz w:val="21"/>
                      <w:b/>
                      <w:color w:val="000000"/>
                    </w:rPr>
                    <w:t>名称</w:t>
                  </w:r>
                </w:p>
              </w:tc>
              <w:tc>
                <w:tcPr>
                  <w:tcW w:type="dxa" w:w="4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道路起止点</w:t>
                  </w:r>
                </w:p>
              </w:tc>
              <w:tc>
                <w:tcPr>
                  <w:tcW w:type="dxa" w:w="98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建筑物名称</w:t>
                  </w:r>
                </w:p>
              </w:tc>
              <w:tc>
                <w:tcPr>
                  <w:tcW w:type="dxa" w:w="4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楼宇建筑属性</w:t>
                  </w:r>
                </w:p>
              </w:tc>
              <w:tc>
                <w:tcPr>
                  <w:tcW w:type="dxa" w:w="3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控制柜</w:t>
                  </w:r>
                  <w:r>
                    <w:br/>
                  </w:r>
                  <w:r>
                    <w:rPr>
                      <w:rFonts w:ascii="仿宋_GB2312" w:hAnsi="仿宋_GB2312" w:cs="仿宋_GB2312" w:eastAsia="仿宋_GB2312"/>
                      <w:sz w:val="21"/>
                      <w:b/>
                      <w:color w:val="000000"/>
                    </w:rPr>
                    <w:t>数量（个）</w:t>
                  </w:r>
                </w:p>
              </w:tc>
              <w:tc>
                <w:tcPr>
                  <w:tcW w:type="dxa" w:w="3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楼宇</w:t>
                  </w:r>
                  <w:r>
                    <w:br/>
                  </w:r>
                  <w:r>
                    <w:rPr>
                      <w:rFonts w:ascii="仿宋_GB2312" w:hAnsi="仿宋_GB2312" w:cs="仿宋_GB2312" w:eastAsia="仿宋_GB2312"/>
                      <w:sz w:val="21"/>
                      <w:b/>
                      <w:color w:val="000000"/>
                    </w:rPr>
                    <w:t>数量（栋）</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南大街</w:t>
                  </w:r>
                  <w:r>
                    <w:br/>
                  </w:r>
                  <w:r>
                    <w:br/>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南门</w:t>
                  </w:r>
                  <w:r>
                    <w:rPr>
                      <w:rFonts w:ascii="仿宋_GB2312" w:hAnsi="仿宋_GB2312" w:cs="仿宋_GB2312" w:eastAsia="仿宋_GB2312"/>
                      <w:sz w:val="21"/>
                      <w:color w:val="000000"/>
                    </w:rPr>
                    <w:t>—钟楼</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有色院</w:t>
                  </w:r>
                  <w:r>
                    <w:rPr>
                      <w:rFonts w:ascii="仿宋_GB2312" w:hAnsi="仿宋_GB2312" w:cs="仿宋_GB2312" w:eastAsia="仿宋_GB2312"/>
                      <w:sz w:val="21"/>
                      <w:color w:val="000000"/>
                    </w:rPr>
                    <w:t>(桔子酒店）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西北水电大厦（博水商务大厦）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钟楼饭店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西安饭庄</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清沐假日酒店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二轻局（工艺大厦）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亨吉利世界名表中心</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湘子庙门牌楼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公共建筑</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开元商城</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富和大厦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文物大厦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森源大厦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百货大厦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华都妇产医院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医院</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东大街</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钟楼</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东门</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全季酒店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唐城百信鞋业</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锦业国际城</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美伦酒店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东门美博城</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新天地商业步行街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碑林区市民中心</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东方国际</w:t>
                  </w:r>
                  <w:r>
                    <w:rPr>
                      <w:rFonts w:ascii="仿宋_GB2312" w:hAnsi="仿宋_GB2312" w:cs="仿宋_GB2312" w:eastAsia="仿宋_GB2312"/>
                      <w:sz w:val="21"/>
                      <w:color w:val="000000"/>
                    </w:rPr>
                    <w:t>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东方国际</w:t>
                  </w:r>
                  <w:r>
                    <w:rPr>
                      <w:rFonts w:ascii="仿宋_GB2312" w:hAnsi="仿宋_GB2312" w:cs="仿宋_GB2312" w:eastAsia="仿宋_GB2312"/>
                      <w:sz w:val="21"/>
                      <w:color w:val="000000"/>
                    </w:rPr>
                    <w:t>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布丁酒店（伯曼酒店）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清沐铂金酒店</w:t>
                  </w:r>
                  <w:r>
                    <w:rPr>
                      <w:rFonts w:ascii="仿宋_GB2312" w:hAnsi="仿宋_GB2312" w:cs="仿宋_GB2312" w:eastAsia="仿宋_GB2312"/>
                      <w:sz w:val="21"/>
                      <w:color w:val="000000"/>
                    </w:rPr>
                    <w:t>+工商银行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协通国际</w:t>
                  </w:r>
                  <w:r>
                    <w:rPr>
                      <w:rFonts w:ascii="仿宋_GB2312" w:hAnsi="仿宋_GB2312" w:cs="仿宋_GB2312" w:eastAsia="仿宋_GB2312"/>
                      <w:sz w:val="21"/>
                      <w:color w:val="000000"/>
                    </w:rPr>
                    <w:t>(原新华书店）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巢悦精品酒店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水利部陕西设计院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星程酒店（化玻大厦）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西安消防</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周大生一排临街商铺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美术馆</w:t>
                  </w:r>
                  <w:r>
                    <w:rPr>
                      <w:rFonts w:ascii="仿宋_GB2312" w:hAnsi="仿宋_GB2312" w:cs="仿宋_GB2312" w:eastAsia="仿宋_GB2312"/>
                      <w:sz w:val="21"/>
                      <w:color w:val="000000"/>
                    </w:rPr>
                    <w:t>-美豪酒店（速8酒店）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舜江广场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怡莱酒店（怡欣酒店）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目兮映画家庭纪念影像馆</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七匹狼</w:t>
                  </w:r>
                  <w:r>
                    <w:rPr>
                      <w:rFonts w:ascii="仿宋_GB2312" w:hAnsi="仿宋_GB2312" w:cs="仿宋_GB2312" w:eastAsia="仿宋_GB2312"/>
                      <w:sz w:val="21"/>
                      <w:color w:val="000000"/>
                    </w:rPr>
                    <w:t>-中国银行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陆海军医疗美容</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中信银行（金和大厦）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锦融资产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凯莱假日临街商铺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曲江国际影城（长安国际影城）</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西北金行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和平路</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大差市</w:t>
                  </w:r>
                  <w:r>
                    <w:rPr>
                      <w:rFonts w:ascii="仿宋_GB2312" w:hAnsi="仿宋_GB2312" w:cs="仿宋_GB2312" w:eastAsia="仿宋_GB2312"/>
                      <w:sz w:val="21"/>
                      <w:color w:val="000000"/>
                    </w:rPr>
                    <w:t>-和平门路段</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和平大道</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中财金融大厦（楼顶）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招商银行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华辰酒店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陕西公证（金鑫国际）</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原名单陕西糖尿病医院</w:t>
                  </w:r>
                  <w:r>
                    <w:rPr>
                      <w:rFonts w:ascii="仿宋_GB2312" w:hAnsi="仿宋_GB2312" w:cs="仿宋_GB2312" w:eastAsia="仿宋_GB2312"/>
                      <w:sz w:val="21"/>
                      <w:color w:val="000000"/>
                    </w:rPr>
                    <w:t>(世纪广场)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和平大厦（如家酒店）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绿地大楼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中国工商银行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汉唐华盛</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和平门酒店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佳腾大厦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和平公馆</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梅园宾馆</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天阙照明</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丽诺口腔</w:t>
                  </w:r>
                  <w:r>
                    <w:rPr>
                      <w:rFonts w:ascii="仿宋_GB2312" w:hAnsi="仿宋_GB2312" w:cs="仿宋_GB2312" w:eastAsia="仿宋_GB2312"/>
                      <w:sz w:val="21"/>
                      <w:color w:val="000000"/>
                    </w:rPr>
                    <w:t>(同亚朵酒店）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环城东路</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永乐路</w:t>
                  </w:r>
                  <w:r>
                    <w:rPr>
                      <w:rFonts w:ascii="仿宋_GB2312" w:hAnsi="仿宋_GB2312" w:cs="仿宋_GB2312" w:eastAsia="仿宋_GB2312"/>
                      <w:sz w:val="21"/>
                      <w:color w:val="000000"/>
                    </w:rPr>
                    <w:t>-东南城角</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残疾人服务中心</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西安热力公司</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陕西省电力小东门社区</w:t>
                  </w:r>
                  <w:r>
                    <w:rPr>
                      <w:rFonts w:ascii="仿宋_GB2312" w:hAnsi="仿宋_GB2312" w:cs="仿宋_GB2312" w:eastAsia="仿宋_GB2312"/>
                      <w:sz w:val="21"/>
                      <w:color w:val="000000"/>
                    </w:rPr>
                    <w:t>1号楼顶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陕西省电力小东门社区</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陕西省电力小东门社区</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国家电网西北公司（高楼）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国家电网西北公司（低楼）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新技术开发推广站</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西北电网家属院</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西北电网家属院</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大香港酒楼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东屿枫舍</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长乐嘉韵售楼部（亚朵酒店）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雅阁酒店</w:t>
                  </w:r>
                  <w:r>
                    <w:rPr>
                      <w:rFonts w:ascii="仿宋_GB2312" w:hAnsi="仿宋_GB2312" w:cs="仿宋_GB2312" w:eastAsia="仿宋_GB2312"/>
                      <w:sz w:val="21"/>
                      <w:color w:val="000000"/>
                    </w:rPr>
                    <w:t>(古迹岭社）1号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雅阁酒店</w:t>
                  </w:r>
                  <w:r>
                    <w:rPr>
                      <w:rFonts w:ascii="仿宋_GB2312" w:hAnsi="仿宋_GB2312" w:cs="仿宋_GB2312" w:eastAsia="仿宋_GB2312"/>
                      <w:sz w:val="21"/>
                      <w:color w:val="000000"/>
                    </w:rPr>
                    <w:t>(古迹岭社区）2号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雅阁酒店</w:t>
                  </w:r>
                  <w:r>
                    <w:rPr>
                      <w:rFonts w:ascii="仿宋_GB2312" w:hAnsi="仿宋_GB2312" w:cs="仿宋_GB2312" w:eastAsia="仿宋_GB2312"/>
                      <w:sz w:val="21"/>
                      <w:color w:val="000000"/>
                    </w:rPr>
                    <w:t>(古迹岭社区）3号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高速神州酒店（长安驿）</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如家酒店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东关正街</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环城东路</w:t>
                  </w:r>
                  <w:r>
                    <w:rPr>
                      <w:rFonts w:ascii="仿宋_GB2312" w:hAnsi="仿宋_GB2312" w:cs="仿宋_GB2312" w:eastAsia="仿宋_GB2312"/>
                      <w:sz w:val="21"/>
                      <w:color w:val="000000"/>
                    </w:rPr>
                    <w:t>-更新路段</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东方星苑</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东方星苑</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东方星苑</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w:t>
                  </w:r>
                  <w:r>
                    <w:rPr>
                      <w:rFonts w:ascii="仿宋_GB2312" w:hAnsi="仿宋_GB2312" w:cs="仿宋_GB2312" w:eastAsia="仿宋_GB2312"/>
                      <w:sz w:val="21"/>
                      <w:color w:val="000000"/>
                    </w:rPr>
                    <w:t>葉</w:t>
                  </w:r>
                  <w:r>
                    <w:rPr>
                      <w:rFonts w:ascii="仿宋_GB2312" w:hAnsi="仿宋_GB2312" w:cs="仿宋_GB2312" w:eastAsia="仿宋_GB2312"/>
                      <w:sz w:val="21"/>
                      <w:color w:val="000000"/>
                    </w:rPr>
                    <w:t>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西厦地产</w:t>
                  </w:r>
                  <w:r>
                    <w:rPr>
                      <w:rFonts w:ascii="仿宋_GB2312" w:hAnsi="仿宋_GB2312" w:cs="仿宋_GB2312" w:eastAsia="仿宋_GB2312"/>
                      <w:sz w:val="21"/>
                      <w:color w:val="000000"/>
                    </w:rPr>
                    <w:t>1号（底层）</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西厦地产</w:t>
                  </w:r>
                  <w:r>
                    <w:rPr>
                      <w:rFonts w:ascii="仿宋_GB2312" w:hAnsi="仿宋_GB2312" w:cs="仿宋_GB2312" w:eastAsia="仿宋_GB2312"/>
                      <w:sz w:val="21"/>
                      <w:color w:val="000000"/>
                    </w:rPr>
                    <w:t>2号（高层）</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幸福逸家</w:t>
                  </w:r>
                  <w:r>
                    <w:rPr>
                      <w:rFonts w:ascii="仿宋_GB2312" w:hAnsi="仿宋_GB2312" w:cs="仿宋_GB2312" w:eastAsia="仿宋_GB2312"/>
                      <w:sz w:val="21"/>
                      <w:color w:val="000000"/>
                    </w:rPr>
                    <w:t>1号（楼顶）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幸福逸家</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西安红光</w:t>
                  </w:r>
                  <w:r>
                    <w:br/>
                  </w:r>
                  <w:r>
                    <w:rPr>
                      <w:rFonts w:ascii="仿宋_GB2312" w:hAnsi="仿宋_GB2312" w:cs="仿宋_GB2312" w:eastAsia="仿宋_GB2312"/>
                      <w:sz w:val="21"/>
                      <w:color w:val="000000"/>
                    </w:rPr>
                    <w:t>影娱大厦</w:t>
                  </w:r>
                  <w:r>
                    <w:rPr>
                      <w:rFonts w:ascii="仿宋_GB2312" w:hAnsi="仿宋_GB2312" w:cs="仿宋_GB2312" w:eastAsia="仿宋_GB2312"/>
                      <w:sz w:val="21"/>
                      <w:color w:val="000000"/>
                    </w:rPr>
                    <w:t>(TT网咖）</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如家酒店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招商局广场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世贸大厦（</w:t>
                  </w:r>
                  <w:r>
                    <w:rPr>
                      <w:rFonts w:ascii="仿宋_GB2312" w:hAnsi="仿宋_GB2312" w:cs="仿宋_GB2312" w:eastAsia="仿宋_GB2312"/>
                      <w:sz w:val="21"/>
                      <w:color w:val="000000"/>
                    </w:rPr>
                    <w:t>4栋）1号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世贸大厦（</w:t>
                  </w:r>
                  <w:r>
                    <w:rPr>
                      <w:rFonts w:ascii="仿宋_GB2312" w:hAnsi="仿宋_GB2312" w:cs="仿宋_GB2312" w:eastAsia="仿宋_GB2312"/>
                      <w:sz w:val="21"/>
                      <w:color w:val="000000"/>
                    </w:rPr>
                    <w:t>4栋）2号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中国华融</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柿园路</w:t>
                  </w:r>
                  <w:r>
                    <w:br/>
                  </w:r>
                  <w:r>
                    <w:rPr>
                      <w:rFonts w:ascii="仿宋_GB2312" w:hAnsi="仿宋_GB2312" w:cs="仿宋_GB2312" w:eastAsia="仿宋_GB2312"/>
                      <w:sz w:val="21"/>
                      <w:color w:val="000000"/>
                    </w:rPr>
                    <w:t>互助路</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东二环</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更新路</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铭爵大厦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秦农银行（互助路口）</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东方星座</w:t>
                  </w:r>
                  <w:r>
                    <w:rPr>
                      <w:rFonts w:ascii="仿宋_GB2312" w:hAnsi="仿宋_GB2312" w:cs="仿宋_GB2312" w:eastAsia="仿宋_GB2312"/>
                      <w:sz w:val="21"/>
                      <w:color w:val="000000"/>
                    </w:rPr>
                    <w:t>A座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东方星座</w:t>
                  </w:r>
                  <w:r>
                    <w:rPr>
                      <w:rFonts w:ascii="仿宋_GB2312" w:hAnsi="仿宋_GB2312" w:cs="仿宋_GB2312" w:eastAsia="仿宋_GB2312"/>
                      <w:sz w:val="21"/>
                      <w:color w:val="000000"/>
                    </w:rPr>
                    <w:t>B座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东方星座</w:t>
                  </w:r>
                  <w:r>
                    <w:rPr>
                      <w:rFonts w:ascii="仿宋_GB2312" w:hAnsi="仿宋_GB2312" w:cs="仿宋_GB2312" w:eastAsia="仿宋_GB2312"/>
                      <w:sz w:val="21"/>
                      <w:color w:val="000000"/>
                    </w:rPr>
                    <w:t>C座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招商银行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东方漂染厂家属院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科大医院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麦迪格眼科</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湖景嘉苑</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兴庆宫</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兴庆宫</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爱扉酒店（七天快捷酒店）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互助路社区高层楼</w:t>
                  </w:r>
                  <w:r>
                    <w:rPr>
                      <w:rFonts w:ascii="仿宋_GB2312" w:hAnsi="仿宋_GB2312" w:cs="仿宋_GB2312" w:eastAsia="仿宋_GB2312"/>
                      <w:sz w:val="21"/>
                      <w:color w:val="000000"/>
                    </w:rPr>
                    <w:t>1号（汉庭酒店）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互助路社区高层楼</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唐轩阁（电信社区高层）</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陕西省电力公司</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陕西省电力公司</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西部电力国际商务中心</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西部电力国际商务中心</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兴庆小区（临街商铺）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兴庆小区</w:t>
                  </w:r>
                  <w:r>
                    <w:rPr>
                      <w:rFonts w:ascii="仿宋_GB2312" w:hAnsi="仿宋_GB2312" w:cs="仿宋_GB2312" w:eastAsia="仿宋_GB2312"/>
                      <w:sz w:val="21"/>
                      <w:color w:val="000000"/>
                    </w:rPr>
                    <w:t>（卫生服务站）</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朗福大厦（名爵高层）</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互助路社区高层楼</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帝标大厦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湖景嘉苑</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西安皇后大酒店</w:t>
                  </w:r>
                  <w:r>
                    <w:rPr>
                      <w:rFonts w:ascii="仿宋_GB2312" w:hAnsi="仿宋_GB2312" w:cs="仿宋_GB2312" w:eastAsia="仿宋_GB2312"/>
                      <w:sz w:val="21"/>
                      <w:color w:val="000000"/>
                    </w:rPr>
                    <w:t>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西安皇后大酒店</w:t>
                  </w:r>
                  <w:r>
                    <w:rPr>
                      <w:rFonts w:ascii="仿宋_GB2312" w:hAnsi="仿宋_GB2312" w:cs="仿宋_GB2312" w:eastAsia="仿宋_GB2312"/>
                      <w:sz w:val="21"/>
                      <w:color w:val="000000"/>
                    </w:rPr>
                    <w:t>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东二环</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东二环沿线</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东窑坊小区</w:t>
                  </w:r>
                  <w:r>
                    <w:rPr>
                      <w:rFonts w:ascii="仿宋_GB2312" w:hAnsi="仿宋_GB2312" w:cs="仿宋_GB2312" w:eastAsia="仿宋_GB2312"/>
                      <w:sz w:val="21"/>
                      <w:color w:val="000000"/>
                    </w:rPr>
                    <w:t>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东窑坊小区</w:t>
                  </w:r>
                  <w:r>
                    <w:rPr>
                      <w:rFonts w:ascii="仿宋_GB2312" w:hAnsi="仿宋_GB2312" w:cs="仿宋_GB2312" w:eastAsia="仿宋_GB2312"/>
                      <w:sz w:val="21"/>
                      <w:color w:val="000000"/>
                    </w:rPr>
                    <w:t>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高山流水星币</w:t>
                  </w:r>
                  <w:r>
                    <w:rPr>
                      <w:rFonts w:ascii="仿宋_GB2312" w:hAnsi="仿宋_GB2312" w:cs="仿宋_GB2312" w:eastAsia="仿宋_GB2312"/>
                      <w:sz w:val="21"/>
                      <w:color w:val="000000"/>
                    </w:rPr>
                    <w:t>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高山流水星币</w:t>
                  </w:r>
                  <w:r>
                    <w:rPr>
                      <w:rFonts w:ascii="仿宋_GB2312" w:hAnsi="仿宋_GB2312" w:cs="仿宋_GB2312" w:eastAsia="仿宋_GB2312"/>
                      <w:sz w:val="21"/>
                      <w:color w:val="000000"/>
                    </w:rPr>
                    <w:t>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高山流水星币</w:t>
                  </w:r>
                  <w:r>
                    <w:rPr>
                      <w:rFonts w:ascii="仿宋_GB2312" w:hAnsi="仿宋_GB2312" w:cs="仿宋_GB2312" w:eastAsia="仿宋_GB2312"/>
                      <w:sz w:val="21"/>
                      <w:color w:val="000000"/>
                    </w:rPr>
                    <w:t>3#</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高山流水星币</w:t>
                  </w:r>
                  <w:r>
                    <w:rPr>
                      <w:rFonts w:ascii="仿宋_GB2312" w:hAnsi="仿宋_GB2312" w:cs="仿宋_GB2312" w:eastAsia="仿宋_GB2312"/>
                      <w:sz w:val="21"/>
                      <w:color w:val="000000"/>
                    </w:rPr>
                    <w:t>4#（裙楼）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高山流水星座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健辉大厦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交大二村</w:t>
                  </w:r>
                  <w:r>
                    <w:rPr>
                      <w:rFonts w:ascii="仿宋_GB2312" w:hAnsi="仿宋_GB2312" w:cs="仿宋_GB2312" w:eastAsia="仿宋_GB2312"/>
                      <w:sz w:val="21"/>
                      <w:color w:val="000000"/>
                    </w:rPr>
                    <w:t>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交大二村</w:t>
                  </w:r>
                  <w:r>
                    <w:rPr>
                      <w:rFonts w:ascii="仿宋_GB2312" w:hAnsi="仿宋_GB2312" w:cs="仿宋_GB2312" w:eastAsia="仿宋_GB2312"/>
                      <w:sz w:val="21"/>
                      <w:color w:val="000000"/>
                    </w:rPr>
                    <w:t>2#（中）</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交大二村</w:t>
                  </w:r>
                  <w:r>
                    <w:rPr>
                      <w:rFonts w:ascii="仿宋_GB2312" w:hAnsi="仿宋_GB2312" w:cs="仿宋_GB2312" w:eastAsia="仿宋_GB2312"/>
                      <w:sz w:val="21"/>
                      <w:color w:val="000000"/>
                    </w:rPr>
                    <w:t>3#</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交大三村</w:t>
                  </w:r>
                  <w:r>
                    <w:rPr>
                      <w:rFonts w:ascii="仿宋_GB2312" w:hAnsi="仿宋_GB2312" w:cs="仿宋_GB2312" w:eastAsia="仿宋_GB2312"/>
                      <w:sz w:val="21"/>
                      <w:color w:val="000000"/>
                    </w:rPr>
                    <w:t>1#南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交大三村</w:t>
                  </w:r>
                  <w:r>
                    <w:rPr>
                      <w:rFonts w:ascii="仿宋_GB2312" w:hAnsi="仿宋_GB2312" w:cs="仿宋_GB2312" w:eastAsia="仿宋_GB2312"/>
                      <w:sz w:val="21"/>
                      <w:color w:val="000000"/>
                    </w:rPr>
                    <w:t>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交大三村</w:t>
                  </w:r>
                  <w:r>
                    <w:rPr>
                      <w:rFonts w:ascii="仿宋_GB2312" w:hAnsi="仿宋_GB2312" w:cs="仿宋_GB2312" w:eastAsia="仿宋_GB2312"/>
                      <w:sz w:val="21"/>
                      <w:color w:val="000000"/>
                    </w:rPr>
                    <w:t>3#</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电子大厦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太和公园人家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建国饭店</w:t>
                  </w:r>
                  <w:r>
                    <w:rPr>
                      <w:rFonts w:ascii="仿宋_GB2312" w:hAnsi="仿宋_GB2312" w:cs="仿宋_GB2312" w:eastAsia="仿宋_GB2312"/>
                      <w:sz w:val="21"/>
                      <w:color w:val="000000"/>
                    </w:rPr>
                    <w:t>1#L1-12＊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建国饭店</w:t>
                  </w:r>
                  <w:r>
                    <w:rPr>
                      <w:rFonts w:ascii="仿宋_GB2312" w:hAnsi="仿宋_GB2312" w:cs="仿宋_GB2312" w:eastAsia="仿宋_GB2312"/>
                      <w:sz w:val="21"/>
                      <w:color w:val="000000"/>
                    </w:rPr>
                    <w:t>2#L13-23＊</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建国饭店</w:t>
                  </w:r>
                  <w:r>
                    <w:rPr>
                      <w:rFonts w:ascii="仿宋_GB2312" w:hAnsi="仿宋_GB2312" w:cs="仿宋_GB2312" w:eastAsia="仿宋_GB2312"/>
                      <w:sz w:val="21"/>
                      <w:color w:val="000000"/>
                    </w:rPr>
                    <w:t>2#L13-23＊2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西安工程大学金花宛</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西安理工大学办公楼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学校</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国家林草局规划设计院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世纪大厦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居然之家</w:t>
                  </w:r>
                  <w:r>
                    <w:rPr>
                      <w:rFonts w:ascii="仿宋_GB2312" w:hAnsi="仿宋_GB2312" w:cs="仿宋_GB2312" w:eastAsia="仿宋_GB2312"/>
                      <w:sz w:val="21"/>
                      <w:color w:val="000000"/>
                    </w:rPr>
                    <w:t>L1-12＊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居然之家</w:t>
                  </w:r>
                  <w:r>
                    <w:rPr>
                      <w:rFonts w:ascii="仿宋_GB2312" w:hAnsi="仿宋_GB2312" w:cs="仿宋_GB2312" w:eastAsia="仿宋_GB2312"/>
                      <w:sz w:val="21"/>
                      <w:color w:val="000000"/>
                    </w:rPr>
                    <w:t>L13-20＊</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维也纳酒店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泰华紫落澜庭</w:t>
                  </w:r>
                  <w:r>
                    <w:rPr>
                      <w:rFonts w:ascii="仿宋_GB2312" w:hAnsi="仿宋_GB2312" w:cs="仿宋_GB2312" w:eastAsia="仿宋_GB2312"/>
                      <w:sz w:val="21"/>
                      <w:color w:val="000000"/>
                    </w:rPr>
                    <w:t>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泰华紫落澜庭</w:t>
                  </w:r>
                  <w:r>
                    <w:rPr>
                      <w:rFonts w:ascii="仿宋_GB2312" w:hAnsi="仿宋_GB2312" w:cs="仿宋_GB2312" w:eastAsia="仿宋_GB2312"/>
                      <w:sz w:val="21"/>
                      <w:color w:val="000000"/>
                    </w:rPr>
                    <w:t>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西安工程大学</w:t>
                  </w:r>
                  <w:r>
                    <w:rPr>
                      <w:rFonts w:ascii="仿宋_GB2312" w:hAnsi="仿宋_GB2312" w:cs="仿宋_GB2312" w:eastAsia="仿宋_GB2312"/>
                      <w:sz w:val="21"/>
                      <w:color w:val="000000"/>
                    </w:rPr>
                    <w:t>1#（南1）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学校</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西安工程大学</w:t>
                  </w:r>
                  <w:r>
                    <w:rPr>
                      <w:rFonts w:ascii="仿宋_GB2312" w:hAnsi="仿宋_GB2312" w:cs="仿宋_GB2312" w:eastAsia="仿宋_GB2312"/>
                      <w:sz w:val="21"/>
                      <w:color w:val="000000"/>
                    </w:rPr>
                    <w:t>2#（北1）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学校</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艺泽大厦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胜蓝月子会所（立丰国际店）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立丰国际</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西安铁路信号公司</w:t>
                  </w:r>
                  <w:r>
                    <w:rPr>
                      <w:rFonts w:ascii="仿宋_GB2312" w:hAnsi="仿宋_GB2312" w:cs="仿宋_GB2312" w:eastAsia="仿宋_GB2312"/>
                      <w:sz w:val="21"/>
                      <w:color w:val="000000"/>
                    </w:rPr>
                    <w:t>(多客酒店）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中国消防救助站（金花北路）</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互助路红楼（长乐公园站派出所）</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雁塔北路</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雁塔立交以北</w:t>
                  </w:r>
                  <w:r>
                    <w:rPr>
                      <w:rFonts w:ascii="仿宋_GB2312" w:hAnsi="仿宋_GB2312" w:cs="仿宋_GB2312" w:eastAsia="仿宋_GB2312"/>
                      <w:sz w:val="21"/>
                      <w:color w:val="000000"/>
                    </w:rPr>
                    <w:t>-和平门</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中安大厦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中煤综合楼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李家村购物中心</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东新科贸</w:t>
                  </w:r>
                  <w:r>
                    <w:rPr>
                      <w:rFonts w:ascii="仿宋_GB2312" w:hAnsi="仿宋_GB2312" w:cs="仿宋_GB2312" w:eastAsia="仿宋_GB2312"/>
                      <w:sz w:val="21"/>
                      <w:color w:val="000000"/>
                    </w:rPr>
                    <w:t>A座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东新科贸</w:t>
                  </w:r>
                  <w:r>
                    <w:rPr>
                      <w:rFonts w:ascii="仿宋_GB2312" w:hAnsi="仿宋_GB2312" w:cs="仿宋_GB2312" w:eastAsia="仿宋_GB2312"/>
                      <w:sz w:val="21"/>
                      <w:color w:val="000000"/>
                    </w:rPr>
                    <w:t>B座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东新科贸</w:t>
                  </w:r>
                  <w:r>
                    <w:rPr>
                      <w:rFonts w:ascii="仿宋_GB2312" w:hAnsi="仿宋_GB2312" w:cs="仿宋_GB2312" w:eastAsia="仿宋_GB2312"/>
                      <w:sz w:val="21"/>
                      <w:color w:val="000000"/>
                    </w:rPr>
                    <w:t>C座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百脑汇</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百瑞广场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赛格电脑城</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赛格电脑城</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西安话剧院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中铁第一国际</w:t>
                  </w:r>
                  <w:r>
                    <w:rPr>
                      <w:rFonts w:ascii="仿宋_GB2312" w:hAnsi="仿宋_GB2312" w:cs="仿宋_GB2312" w:eastAsia="仿宋_GB2312"/>
                      <w:sz w:val="21"/>
                      <w:color w:val="000000"/>
                    </w:rPr>
                    <w:t>1号（楼顶）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中铁第一国际</w:t>
                  </w:r>
                  <w:r>
                    <w:rPr>
                      <w:rFonts w:ascii="仿宋_GB2312" w:hAnsi="仿宋_GB2312" w:cs="仿宋_GB2312" w:eastAsia="仿宋_GB2312"/>
                      <w:sz w:val="21"/>
                      <w:color w:val="000000"/>
                    </w:rPr>
                    <w:t>2号（楼顶）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天成大厦</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天成大厦</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天成大厦</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天成大厦</w:t>
                  </w:r>
                  <w:r>
                    <w:rPr>
                      <w:rFonts w:ascii="仿宋_GB2312" w:hAnsi="仿宋_GB2312" w:cs="仿宋_GB2312" w:eastAsia="仿宋_GB2312"/>
                      <w:sz w:val="21"/>
                      <w:color w:val="000000"/>
                    </w:rPr>
                    <w:t>4号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金都大厦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鹏博大厦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天成大厦（小红楼）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爱宠部落会所（楼顶）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时代壹号大厦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中机第七设计院家属院</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中机第七设计院家属院</w:t>
                  </w:r>
                  <w:r>
                    <w:rPr>
                      <w:rFonts w:ascii="仿宋_GB2312" w:hAnsi="仿宋_GB2312" w:cs="仿宋_GB2312" w:eastAsia="仿宋_GB2312"/>
                      <w:sz w:val="21"/>
                      <w:color w:val="000000"/>
                    </w:rPr>
                    <w:t>9号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途客中国酒店</w:t>
                  </w:r>
                  <w:r>
                    <w:rPr>
                      <w:rFonts w:ascii="仿宋_GB2312" w:hAnsi="仿宋_GB2312" w:cs="仿宋_GB2312" w:eastAsia="仿宋_GB2312"/>
                      <w:sz w:val="21"/>
                      <w:color w:val="000000"/>
                    </w:rPr>
                    <w:t xml:space="preserve">  </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中铁一局住宅区</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中铁一局住宅区</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中铁一局住宅区</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经纬馨园（心情雅苑高层）</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赛博广场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红方大厦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华润万家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天域凯莱酒店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亚朵酒店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亚朵酒店南侧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工商银行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盛唐阁宾馆</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李家村万达</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石化小区办公楼</w:t>
                  </w:r>
                  <w:r>
                    <w:rPr>
                      <w:rFonts w:ascii="仿宋_GB2312" w:hAnsi="仿宋_GB2312" w:cs="仿宋_GB2312" w:eastAsia="仿宋_GB2312"/>
                      <w:sz w:val="21"/>
                      <w:color w:val="000000"/>
                    </w:rPr>
                    <w:t>/南侧商铺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上品快印店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兵工大厦底层</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长安北路</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友谊路</w:t>
                  </w:r>
                  <w:r>
                    <w:rPr>
                      <w:rFonts w:ascii="仿宋_GB2312" w:hAnsi="仿宋_GB2312" w:cs="仿宋_GB2312" w:eastAsia="仿宋_GB2312"/>
                      <w:sz w:val="21"/>
                      <w:color w:val="000000"/>
                    </w:rPr>
                    <w:t>-长安</w:t>
                  </w:r>
                  <w:r>
                    <w:br/>
                  </w:r>
                  <w:r>
                    <w:rPr>
                      <w:rFonts w:ascii="仿宋_GB2312" w:hAnsi="仿宋_GB2312" w:cs="仿宋_GB2312" w:eastAsia="仿宋_GB2312"/>
                      <w:sz w:val="21"/>
                      <w:color w:val="000000"/>
                    </w:rPr>
                    <w:t>立交</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陕西会客厅</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省人大综合楼</w:t>
                  </w:r>
                  <w:r>
                    <w:rPr>
                      <w:rFonts w:ascii="仿宋_GB2312" w:hAnsi="仿宋_GB2312" w:cs="仿宋_GB2312" w:eastAsia="仿宋_GB2312"/>
                      <w:sz w:val="21"/>
                      <w:color w:val="000000"/>
                    </w:rPr>
                    <w:t>6楼天台</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伟世佳北侧蓝钻桌球</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伟世佳大厦世家星苑</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6楼平台）</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泛镁大厦（</w:t>
                  </w:r>
                  <w:r>
                    <w:rPr>
                      <w:rFonts w:ascii="仿宋_GB2312" w:hAnsi="仿宋_GB2312" w:cs="仿宋_GB2312" w:eastAsia="仿宋_GB2312"/>
                      <w:sz w:val="21"/>
                      <w:color w:val="000000"/>
                    </w:rPr>
                    <w:t>A座）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华夏银行（楼顶）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富城大厦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中信银行南侧多层</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唐乐宫</w:t>
                  </w:r>
                  <w:r>
                    <w:rPr>
                      <w:rFonts w:ascii="仿宋_GB2312" w:hAnsi="仿宋_GB2312" w:cs="仿宋_GB2312" w:eastAsia="仿宋_GB2312"/>
                      <w:sz w:val="21"/>
                      <w:color w:val="000000"/>
                    </w:rPr>
                    <w:t>1号北楼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唐乐宫</w:t>
                  </w:r>
                  <w:r>
                    <w:rPr>
                      <w:rFonts w:ascii="仿宋_GB2312" w:hAnsi="仿宋_GB2312" w:cs="仿宋_GB2312" w:eastAsia="仿宋_GB2312"/>
                      <w:sz w:val="21"/>
                      <w:color w:val="000000"/>
                    </w:rPr>
                    <w:t>2号南楼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会展国际大厦（楼顶）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开成大厦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陕西省文化和旅游厅（楼顶）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中陕国际大厦（楼顶）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长安壹号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陕西省美术博物馆</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陕西省图书馆</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西部投资</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陕西中工电子市场</w:t>
                  </w:r>
                  <w:r>
                    <w:br/>
                  </w:r>
                  <w:r>
                    <w:rPr>
                      <w:rFonts w:ascii="仿宋_GB2312" w:hAnsi="仿宋_GB2312" w:cs="仿宋_GB2312" w:eastAsia="仿宋_GB2312"/>
                      <w:sz w:val="21"/>
                      <w:color w:val="000000"/>
                    </w:rPr>
                    <w:t>（楼顶）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太平洋大厦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西安宾馆</w:t>
                  </w:r>
                  <w:r>
                    <w:rPr>
                      <w:rFonts w:ascii="仿宋_GB2312" w:hAnsi="仿宋_GB2312" w:cs="仿宋_GB2312" w:eastAsia="仿宋_GB2312"/>
                      <w:sz w:val="21"/>
                      <w:color w:val="000000"/>
                    </w:rPr>
                    <w:t>1号箱（5楼平台）</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西安宾馆</w:t>
                  </w:r>
                  <w:r>
                    <w:rPr>
                      <w:rFonts w:ascii="仿宋_GB2312" w:hAnsi="仿宋_GB2312" w:cs="仿宋_GB2312" w:eastAsia="仿宋_GB2312"/>
                      <w:sz w:val="21"/>
                      <w:color w:val="000000"/>
                    </w:rPr>
                    <w:t>2号箱（4楼平台）</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电子大楼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中国农业银行</w:t>
                  </w:r>
                  <w:r>
                    <w:rPr>
                      <w:rFonts w:ascii="仿宋_GB2312" w:hAnsi="仿宋_GB2312" w:cs="仿宋_GB2312" w:eastAsia="仿宋_GB2312"/>
                      <w:sz w:val="21"/>
                      <w:color w:val="000000"/>
                    </w:rPr>
                    <w:t>4楼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中国农业银行</w:t>
                  </w:r>
                  <w:r>
                    <w:rPr>
                      <w:rFonts w:ascii="仿宋_GB2312" w:hAnsi="仿宋_GB2312" w:cs="仿宋_GB2312" w:eastAsia="仿宋_GB2312"/>
                      <w:sz w:val="21"/>
                      <w:color w:val="000000"/>
                    </w:rPr>
                    <w:t>9楼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中国农业银行</w:t>
                  </w:r>
                  <w:r>
                    <w:rPr>
                      <w:rFonts w:ascii="仿宋_GB2312" w:hAnsi="仿宋_GB2312" w:cs="仿宋_GB2312" w:eastAsia="仿宋_GB2312"/>
                      <w:sz w:val="21"/>
                      <w:color w:val="000000"/>
                    </w:rPr>
                    <w:t>21楼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大景城堡酒店</w:t>
                  </w:r>
                  <w:r>
                    <w:rPr>
                      <w:rFonts w:ascii="仿宋_GB2312" w:hAnsi="仿宋_GB2312" w:cs="仿宋_GB2312" w:eastAsia="仿宋_GB2312"/>
                      <w:sz w:val="21"/>
                      <w:color w:val="000000"/>
                    </w:rPr>
                    <w:t>1号（顶楼）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大景城堡酒店</w:t>
                  </w:r>
                  <w:r>
                    <w:rPr>
                      <w:rFonts w:ascii="仿宋_GB2312" w:hAnsi="仿宋_GB2312" w:cs="仿宋_GB2312" w:eastAsia="仿宋_GB2312"/>
                      <w:sz w:val="21"/>
                      <w:color w:val="000000"/>
                    </w:rPr>
                    <w:t>2号（1楼机房侧）</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长安公馆（美莎酒店）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陕西高速大厦楼顶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陕西高速大厦</w:t>
                  </w:r>
                  <w:r>
                    <w:rPr>
                      <w:rFonts w:ascii="仿宋_GB2312" w:hAnsi="仿宋_GB2312" w:cs="仿宋_GB2312" w:eastAsia="仿宋_GB2312"/>
                      <w:sz w:val="21"/>
                      <w:color w:val="000000"/>
                    </w:rPr>
                    <w:t>2号箱</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建设银行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金华豪生酒店</w:t>
                  </w:r>
                  <w:r>
                    <w:rPr>
                      <w:rFonts w:ascii="仿宋_GB2312" w:hAnsi="仿宋_GB2312" w:cs="仿宋_GB2312" w:eastAsia="仿宋_GB2312"/>
                      <w:sz w:val="21"/>
                      <w:color w:val="000000"/>
                    </w:rPr>
                    <w:t>1（希尔顿南楼）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金华豪生酒店</w:t>
                  </w:r>
                  <w:r>
                    <w:rPr>
                      <w:rFonts w:ascii="仿宋_GB2312" w:hAnsi="仿宋_GB2312" w:cs="仿宋_GB2312" w:eastAsia="仿宋_GB2312"/>
                      <w:sz w:val="21"/>
                      <w:color w:val="000000"/>
                    </w:rPr>
                    <w:t>2（希尔顿北楼）</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惠普电脑中心（大话南门）</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雁开大厦（楼顶）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亚朵酒店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人大综合楼南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地矿大厦（楼顶）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长安大厦（原长安银行）</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珠江时代广场（</w:t>
                  </w:r>
                  <w:r>
                    <w:rPr>
                      <w:rFonts w:ascii="仿宋_GB2312" w:hAnsi="仿宋_GB2312" w:cs="仿宋_GB2312" w:eastAsia="仿宋_GB2312"/>
                      <w:sz w:val="21"/>
                      <w:color w:val="000000"/>
                    </w:rPr>
                    <w:t>6楼平台）</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长鑫国际宜必思酒店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4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1"/>
                      <w:color w:val="000000"/>
                    </w:rPr>
                    <w:t>南二环</w:t>
                  </w:r>
                </w:p>
              </w:tc>
              <w:tc>
                <w:tcPr>
                  <w:tcW w:type="dxa" w:w="4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南二环</w:t>
                  </w:r>
                  <w:r>
                    <w:br/>
                  </w:r>
                  <w:r>
                    <w:rPr>
                      <w:rFonts w:ascii="仿宋_GB2312" w:hAnsi="仿宋_GB2312" w:cs="仿宋_GB2312" w:eastAsia="仿宋_GB2312"/>
                      <w:sz w:val="21"/>
                      <w:color w:val="000000"/>
                    </w:rPr>
                    <w:t>全段</w:t>
                  </w: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曼城国际</w:t>
                  </w:r>
                  <w:r>
                    <w:rPr>
                      <w:rFonts w:ascii="仿宋_GB2312" w:hAnsi="仿宋_GB2312" w:cs="仿宋_GB2312" w:eastAsia="仿宋_GB2312"/>
                      <w:sz w:val="21"/>
                      <w:color w:val="000000"/>
                    </w:rPr>
                    <w:t>1号（楼顶）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曼城国际</w:t>
                  </w:r>
                  <w:r>
                    <w:rPr>
                      <w:rFonts w:ascii="仿宋_GB2312" w:hAnsi="仿宋_GB2312" w:cs="仿宋_GB2312" w:eastAsia="仿宋_GB2312"/>
                      <w:sz w:val="21"/>
                      <w:color w:val="000000"/>
                    </w:rPr>
                    <w:t>2号（楼顶）</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绿地乐和城</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绿地乐和城</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绿地乐和城</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帝源豪庭大厦</w:t>
                  </w:r>
                  <w:r>
                    <w:rPr>
                      <w:rFonts w:ascii="仿宋_GB2312" w:hAnsi="仿宋_GB2312" w:cs="仿宋_GB2312" w:eastAsia="仿宋_GB2312"/>
                      <w:sz w:val="21"/>
                      <w:color w:val="000000"/>
                    </w:rPr>
                    <w:t>AL1</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帝源豪庭大厦</w:t>
                  </w:r>
                  <w:r>
                    <w:rPr>
                      <w:rFonts w:ascii="仿宋_GB2312" w:hAnsi="仿宋_GB2312" w:cs="仿宋_GB2312" w:eastAsia="仿宋_GB2312"/>
                      <w:sz w:val="21"/>
                      <w:color w:val="000000"/>
                    </w:rPr>
                    <w:t>AL2</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云峰大厦</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云峰大厦</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市政祭台新居</w:t>
                  </w:r>
                  <w:r>
                    <w:rPr>
                      <w:rFonts w:ascii="仿宋_GB2312" w:hAnsi="仿宋_GB2312" w:cs="仿宋_GB2312" w:eastAsia="仿宋_GB2312"/>
                      <w:sz w:val="21"/>
                      <w:color w:val="000000"/>
                    </w:rPr>
                    <w:t>1号楼（市政祭台小区）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市政祭台新居</w:t>
                  </w:r>
                  <w:r>
                    <w:rPr>
                      <w:rFonts w:ascii="仿宋_GB2312" w:hAnsi="仿宋_GB2312" w:cs="仿宋_GB2312" w:eastAsia="仿宋_GB2312"/>
                      <w:sz w:val="21"/>
                      <w:color w:val="000000"/>
                    </w:rPr>
                    <w:t>2号楼（市政祭台小区）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市政祭台新居</w:t>
                  </w:r>
                  <w:r>
                    <w:rPr>
                      <w:rFonts w:ascii="仿宋_GB2312" w:hAnsi="仿宋_GB2312" w:cs="仿宋_GB2312" w:eastAsia="仿宋_GB2312"/>
                      <w:sz w:val="21"/>
                      <w:color w:val="000000"/>
                    </w:rPr>
                    <w:t>3号楼（市政祭台小区）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西铁警校家属院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天伦御城龙脉</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天伦御城龙脉</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天伦御城龙脉</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天伦御城龙脉</w:t>
                  </w:r>
                  <w:r>
                    <w:rPr>
                      <w:rFonts w:ascii="仿宋_GB2312" w:hAnsi="仿宋_GB2312" w:cs="仿宋_GB2312" w:eastAsia="仿宋_GB2312"/>
                      <w:sz w:val="21"/>
                      <w:color w:val="000000"/>
                    </w:rPr>
                    <w:t>4号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华龙太乙城</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华龙太乙城</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华龙太乙城</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领地国际</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南沙世纪花园</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交大出版传媒大厦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铁安花园</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煤炭工业西安设计研究院住宅区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影和医学中心</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新亚大厦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影和医学影像中心西侧住宅</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大唐乐和酒店</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大唐乐和酒店</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vMerge/>
                  <w:tcBorders>
                    <w:top w:val="none" w:color="000000" w:sz="4"/>
                    <w:left w:val="single" w:color="000000" w:sz="4"/>
                    <w:bottom w:val="single" w:color="000000" w:sz="4"/>
                    <w:right w:val="single" w:color="000000" w:sz="4"/>
                  </w:tcBorders>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大唐乐和酒店</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陕铁集团（陕铁大厦）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颐高数码</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全家福装饰（全季酒店）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延炼大厦（艺龙酒店）</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体教公寓</w:t>
                  </w:r>
                  <w:r>
                    <w:rPr>
                      <w:rFonts w:ascii="仿宋_GB2312" w:hAnsi="仿宋_GB2312" w:cs="仿宋_GB2312" w:eastAsia="仿宋_GB2312"/>
                      <w:sz w:val="21"/>
                      <w:color w:val="000000"/>
                    </w:rPr>
                    <w:t>(东）</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体教公寓（西）</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西安旅游大厦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国家税务局陕西省税务局</w:t>
                  </w:r>
                  <w:r>
                    <w:rPr>
                      <w:rFonts w:ascii="仿宋_GB2312" w:hAnsi="仿宋_GB2312" w:cs="仿宋_GB2312" w:eastAsia="仿宋_GB2312"/>
                      <w:sz w:val="21"/>
                      <w:color w:val="000000"/>
                    </w:rPr>
                    <w:t>1号西</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国家税务局陕西省税务局</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办公楼</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煜源国际</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煜源国际</w:t>
                  </w:r>
                  <w:r>
                    <w:rPr>
                      <w:rFonts w:ascii="仿宋_GB2312" w:hAnsi="仿宋_GB2312" w:cs="仿宋_GB2312" w:eastAsia="仿宋_GB2312"/>
                      <w:sz w:val="21"/>
                      <w:color w:val="000000"/>
                    </w:rPr>
                    <w:t>2号（创新设计大厦）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广丰国际</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飞天花园</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飞天花园</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盛龙广场</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盛龙广场</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海星未来城</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海星未来城</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海星未来城</w:t>
                  </w:r>
                  <w:r>
                    <w:rPr>
                      <w:rFonts w:ascii="仿宋_GB2312" w:hAnsi="仿宋_GB2312" w:cs="仿宋_GB2312" w:eastAsia="仿宋_GB2312"/>
                      <w:sz w:val="21"/>
                      <w:color w:val="000000"/>
                    </w:rPr>
                    <w:t>3号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海星未来城</w:t>
                  </w:r>
                  <w:r>
                    <w:rPr>
                      <w:rFonts w:ascii="仿宋_GB2312" w:hAnsi="仿宋_GB2312" w:cs="仿宋_GB2312" w:eastAsia="仿宋_GB2312"/>
                      <w:sz w:val="21"/>
                      <w:color w:val="000000"/>
                    </w:rPr>
                    <w:t>4号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大洋时代</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西安瑞鑫摩天城</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壹米滴答开发营业部</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煤炭学院能源家属院</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怡兰星空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西安科技大学</w:t>
                  </w:r>
                  <w:r>
                    <w:rPr>
                      <w:rFonts w:ascii="仿宋_GB2312" w:hAnsi="仿宋_GB2312" w:cs="仿宋_GB2312" w:eastAsia="仿宋_GB2312"/>
                      <w:sz w:val="21"/>
                      <w:color w:val="000000"/>
                    </w:rPr>
                    <w:t>1号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西安科技大学</w:t>
                  </w:r>
                  <w:r>
                    <w:rPr>
                      <w:rFonts w:ascii="仿宋_GB2312" w:hAnsi="仿宋_GB2312" w:cs="仿宋_GB2312" w:eastAsia="仿宋_GB2312"/>
                      <w:sz w:val="21"/>
                      <w:color w:val="000000"/>
                    </w:rPr>
                    <w:t>2号</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晨阳盛世广场</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迈科星苑</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住宅</w:t>
                  </w: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458"/>
                  <w:vMerge/>
                  <w:tcBorders>
                    <w:top w:val="none" w:color="000000" w:sz="4"/>
                    <w:left w:val="single" w:color="000000" w:sz="4"/>
                    <w:bottom w:val="single" w:color="000000" w:sz="4"/>
                    <w:right w:val="single" w:color="000000" w:sz="4"/>
                  </w:tcBorders>
                </w:tcPr>
                <w:p/>
              </w:tc>
              <w:tc>
                <w:tcPr>
                  <w:tcW w:type="dxa" w:w="404"/>
                  <w:vMerge/>
                  <w:tcBorders>
                    <w:top w:val="non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华融国际商务大厦</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商业</w:t>
                  </w: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4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文艺南路</w:t>
                  </w:r>
                  <w:r>
                    <w:br/>
                  </w:r>
                  <w:r>
                    <w:rPr>
                      <w:rFonts w:ascii="仿宋_GB2312" w:hAnsi="仿宋_GB2312" w:cs="仿宋_GB2312" w:eastAsia="仿宋_GB2312"/>
                      <w:sz w:val="21"/>
                      <w:color w:val="000000"/>
                    </w:rPr>
                    <w:t>1栋</w:t>
                  </w: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碑林机房＊</w:t>
                  </w: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4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9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3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r>
          </w:tbl>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2</w:t>
            </w:r>
          </w:p>
          <w:tbl>
            <w:tblPr>
              <w:tblInd w:type="dxa" w:w="135"/>
              <w:tblBorders>
                <w:top w:val="none" w:color="000000" w:sz="4"/>
                <w:left w:val="none" w:color="000000" w:sz="4"/>
                <w:bottom w:val="none" w:color="000000" w:sz="4"/>
                <w:right w:val="none" w:color="000000" w:sz="4"/>
                <w:insideH w:val="none"/>
                <w:insideV w:val="none"/>
              </w:tblBorders>
            </w:tblPr>
            <w:tblGrid>
              <w:gridCol w:w="269"/>
              <w:gridCol w:w="629"/>
              <w:gridCol w:w="1119"/>
              <w:gridCol w:w="606"/>
              <w:gridCol w:w="552"/>
            </w:tblGrid>
            <w:tr>
              <w:tc>
                <w:tcPr>
                  <w:tcW w:type="dxa" w:w="2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6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11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控制柜数量（个）</w:t>
                  </w:r>
                </w:p>
              </w:tc>
              <w:tc>
                <w:tcPr>
                  <w:tcW w:type="dxa" w:w="6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楼宇</w:t>
                  </w:r>
                  <w:r>
                    <w:br/>
                  </w:r>
                  <w:r>
                    <w:rPr>
                      <w:rFonts w:ascii="仿宋_GB2312" w:hAnsi="仿宋_GB2312" w:cs="仿宋_GB2312" w:eastAsia="仿宋_GB2312"/>
                      <w:sz w:val="21"/>
                      <w:color w:val="000000"/>
                    </w:rPr>
                    <w:t>数量（栋）</w:t>
                  </w:r>
                </w:p>
              </w:tc>
              <w:tc>
                <w:tcPr>
                  <w:tcW w:type="dxa" w:w="5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总功率（</w:t>
                  </w:r>
                  <w:r>
                    <w:rPr>
                      <w:rFonts w:ascii="仿宋_GB2312" w:hAnsi="仿宋_GB2312" w:cs="仿宋_GB2312" w:eastAsia="仿宋_GB2312"/>
                      <w:sz w:val="21"/>
                      <w:color w:val="000000"/>
                    </w:rPr>
                    <w:t>KW）</w:t>
                  </w:r>
                </w:p>
              </w:tc>
            </w:tr>
            <w:tr>
              <w:tc>
                <w:tcPr>
                  <w:tcW w:type="dxa" w:w="2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总数量</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6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5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5181.7</w:t>
                  </w:r>
                </w:p>
              </w:tc>
            </w:tr>
            <w:tr>
              <w:tc>
                <w:tcPr>
                  <w:tcW w:type="dxa" w:w="2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设施故障或拆除</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6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5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远控启闭不稳定</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324.5</w:t>
                  </w:r>
                </w:p>
              </w:tc>
            </w:tr>
            <w:tr>
              <w:tc>
                <w:tcPr>
                  <w:tcW w:type="dxa" w:w="2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实际可控制</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6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5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4903.97</w:t>
                  </w:r>
                </w:p>
              </w:tc>
            </w:tr>
            <w:tr>
              <w:tc>
                <w:tcPr>
                  <w:tcW w:type="dxa" w:w="2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市政供电</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6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5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1510.64</w:t>
                  </w:r>
                </w:p>
              </w:tc>
            </w:tr>
            <w:tr>
              <w:tc>
                <w:tcPr>
                  <w:tcW w:type="dxa" w:w="2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物业供电</w:t>
                  </w:r>
                </w:p>
              </w:tc>
              <w:tc>
                <w:tcPr>
                  <w:tcW w:type="dxa" w:w="11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6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5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3393.33</w:t>
                  </w:r>
                </w:p>
              </w:tc>
            </w:tr>
            <w:tr>
              <w:tc>
                <w:tcPr>
                  <w:tcW w:type="dxa" w:w="3175"/>
                  <w:gridSpan w:val="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b/>
                      <w:color w:val="000000"/>
                    </w:rPr>
                    <w:t>汇总说明</w:t>
                  </w:r>
                  <w:r>
                    <w:br/>
                  </w:r>
                  <w:r>
                    <w:rPr>
                      <w:rFonts w:ascii="仿宋_GB2312" w:hAnsi="仿宋_GB2312" w:cs="仿宋_GB2312" w:eastAsia="仿宋_GB2312"/>
                      <w:sz w:val="21"/>
                      <w:color w:val="000000"/>
                    </w:rPr>
                    <w:t>1.共301个控制柜（290栋楼宇）。</w:t>
                  </w:r>
                </w:p>
                <w:p>
                  <w:pPr>
                    <w:pStyle w:val="null3"/>
                    <w:jc w:val="left"/>
                  </w:pPr>
                  <w:r>
                    <w:rPr>
                      <w:rFonts w:ascii="仿宋_GB2312" w:hAnsi="仿宋_GB2312" w:cs="仿宋_GB2312" w:eastAsia="仿宋_GB2312"/>
                      <w:sz w:val="21"/>
                      <w:color w:val="000000"/>
                    </w:rPr>
                    <w:t>2.减掉设备故障或拆除的共计33个控制柜（30栋楼宇），实际可控制268个控制柜（260栋楼宇）。</w:t>
                  </w:r>
                  <w:r>
                    <w:br/>
                  </w:r>
                  <w:r>
                    <w:rPr>
                      <w:rFonts w:ascii="仿宋_GB2312" w:hAnsi="仿宋_GB2312" w:cs="仿宋_GB2312" w:eastAsia="仿宋_GB2312"/>
                      <w:sz w:val="21"/>
                      <w:color w:val="000000"/>
                    </w:rPr>
                    <w:t>3.实际可控制268个控制柜（260栋楼宇）中，市政供电：82个控制柜（78栋楼宇），物业供电：186个控制柜（182栋楼宇）。</w:t>
                  </w:r>
                  <w:r>
                    <w:br/>
                  </w:r>
                  <w:r>
                    <w:rPr>
                      <w:rFonts w:ascii="仿宋_GB2312" w:hAnsi="仿宋_GB2312" w:cs="仿宋_GB2312" w:eastAsia="仿宋_GB2312"/>
                      <w:sz w:val="21"/>
                      <w:color w:val="000000"/>
                    </w:rPr>
                    <w:t>4.市政供电总功率：1510.64KW。</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物业供电总功率：</w:t>
                  </w:r>
                  <w:r>
                    <w:rPr>
                      <w:rFonts w:ascii="仿宋_GB2312" w:hAnsi="仿宋_GB2312" w:cs="仿宋_GB2312" w:eastAsia="仿宋_GB2312"/>
                      <w:sz w:val="21"/>
                      <w:color w:val="000000"/>
                    </w:rPr>
                    <w:t>3393.33KW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除市政供电以外的电费需要由乙方负责缴纳，缴纳电费所需时间为</w:t>
                  </w:r>
                  <w:r>
                    <w:rPr>
                      <w:rFonts w:ascii="仿宋_GB2312" w:hAnsi="仿宋_GB2312" w:cs="仿宋_GB2312" w:eastAsia="仿宋_GB2312"/>
                      <w:sz w:val="21"/>
                      <w:color w:val="000000"/>
                    </w:rPr>
                    <w:t>7个工作日。</w:t>
                  </w: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r>
              <w:tc>
                <w:tcPr>
                  <w:tcW w:type="dxa" w:w="3175"/>
                  <w:gridSpan w:val="5"/>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3</w:t>
            </w:r>
          </w:p>
          <w:tbl>
            <w:tblPr>
              <w:tblBorders>
                <w:top w:val="none" w:color="000000" w:sz="4"/>
                <w:left w:val="none" w:color="000000" w:sz="4"/>
                <w:bottom w:val="none" w:color="000000" w:sz="4"/>
                <w:right w:val="none" w:color="000000" w:sz="4"/>
                <w:insideH w:val="none"/>
                <w:insideV w:val="none"/>
              </w:tblBorders>
            </w:tblPr>
            <w:tblGrid>
              <w:gridCol w:w="334"/>
              <w:gridCol w:w="1630"/>
              <w:gridCol w:w="656"/>
              <w:gridCol w:w="564"/>
            </w:tblGrid>
            <w:tr>
              <w:tc>
                <w:tcPr>
                  <w:tcW w:type="dxa" w:w="318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碑林区照明亮化设施汇总表</w:t>
                  </w:r>
                </w:p>
              </w:tc>
            </w:tr>
            <w:tr>
              <w:tc>
                <w:tcPr>
                  <w:tcW w:type="dxa" w:w="3184"/>
                  <w:gridSpan w:val="4"/>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一、人行天桥</w:t>
                  </w:r>
                  <w:r>
                    <w:rPr>
                      <w:rFonts w:ascii="仿宋_GB2312" w:hAnsi="仿宋_GB2312" w:cs="仿宋_GB2312" w:eastAsia="仿宋_GB2312"/>
                      <w:sz w:val="21"/>
                      <w:b/>
                      <w:color w:val="000000"/>
                    </w:rPr>
                    <w:t>14座</w:t>
                  </w:r>
                </w:p>
              </w:tc>
            </w:tr>
            <w:tr>
              <w:tc>
                <w:tcPr>
                  <w:tcW w:type="dxa" w:w="33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630"/>
                  <w:tcBorders>
                    <w:top w:val="singl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天桥名称</w:t>
                  </w:r>
                </w:p>
              </w:tc>
              <w:tc>
                <w:tcPr>
                  <w:tcW w:type="dxa" w:w="65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5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西安理工大学东门人行天桥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立丰国际人行天桥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新安医院人行天桥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武警医院人行天桥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经九路人行天桥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西安第九医院人行天桥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铁一局医院人行天桥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雁塔路人行天桥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兵工局人行天桥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白沙路北口人行天桥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东窑坊人行天桥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长乐公园人行天桥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西安工程大学人行天桥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6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西安电子科技大学人行天桥</w:t>
                  </w:r>
                </w:p>
              </w:tc>
              <w:tc>
                <w:tcPr>
                  <w:tcW w:type="dxa" w:w="6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附件</w:t>
            </w:r>
            <w:r>
              <w:rPr>
                <w:rFonts w:ascii="仿宋_GB2312" w:hAnsi="仿宋_GB2312" w:cs="仿宋_GB2312" w:eastAsia="仿宋_GB2312"/>
                <w:sz w:val="21"/>
              </w:rPr>
              <w:t>4</w:t>
            </w:r>
          </w:p>
          <w:tbl>
            <w:tblPr>
              <w:tblBorders>
                <w:top w:val="none" w:color="000000" w:sz="4"/>
                <w:left w:val="none" w:color="000000" w:sz="4"/>
                <w:bottom w:val="none" w:color="000000" w:sz="4"/>
                <w:right w:val="none" w:color="000000" w:sz="4"/>
                <w:insideH w:val="none"/>
                <w:insideV w:val="none"/>
              </w:tblBorders>
            </w:tblPr>
            <w:tblGrid>
              <w:gridCol w:w="338"/>
              <w:gridCol w:w="760"/>
              <w:gridCol w:w="2087"/>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具体内容</w:t>
                  </w:r>
                </w:p>
              </w:tc>
            </w:tr>
            <w:tr>
              <w:tc>
                <w:tcPr>
                  <w:tcW w:type="dxa" w:w="3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p>
                  <w:pPr>
                    <w:pStyle w:val="null3"/>
                    <w:jc w:val="center"/>
                  </w:pPr>
                </w:p>
              </w:tc>
              <w:tc>
                <w:tcPr>
                  <w:tcW w:type="dxa" w:w="7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软件维护服务</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对日常应用系统的</w:t>
                  </w:r>
                  <w:r>
                    <w:rPr>
                      <w:rFonts w:ascii="仿宋_GB2312" w:hAnsi="仿宋_GB2312" w:cs="仿宋_GB2312" w:eastAsia="仿宋_GB2312"/>
                      <w:sz w:val="21"/>
                    </w:rPr>
                    <w:t>BUG问题进行修复管理</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对现有应用系统（亮化监控、漏电监测、资产管理等）的数据进行定期备份，确保数据的完整性</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对资产管理系统的增量、存量数据进行流程化管理，确保资产系统的准确性</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对系统的登录日志、操作日志进行实时记录管理，确保人员的登录记录留底可查</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对用户或用户组可访问的平台功能模块、终端设备操作权限进行自定义编辑</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对软件版本的进行日常的更新和功能授权。</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对系统的安全应用方面进行定期的基线普查和漏洞整改。</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对系统的病毒库进行定期更新管理，确保系统的正常运行</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在现有系统的功能基础上进行定制化修改</w:t>
                  </w:r>
                </w:p>
              </w:tc>
            </w:tr>
            <w:tr>
              <w:tc>
                <w:tcPr>
                  <w:tcW w:type="dxa" w:w="3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硬件维护服务</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对监控主机设备进行日常的安全防护管理。</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对机房服务器进行定期的数据备份管理。</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对单位在用网络运行情况维护服务。</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对照明监控大屏的日常维护服务。</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对机房的硬件设备的定期清灰、清尘。</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定期测试机房</w:t>
                  </w:r>
                  <w:r>
                    <w:rPr>
                      <w:rFonts w:ascii="仿宋_GB2312" w:hAnsi="仿宋_GB2312" w:cs="仿宋_GB2312" w:eastAsia="仿宋_GB2312"/>
                      <w:sz w:val="21"/>
                    </w:rPr>
                    <w:t>UPS后备电源运行情况并记录。</w:t>
                  </w:r>
                </w:p>
              </w:tc>
            </w:tr>
            <w:tr>
              <w:tc>
                <w:tcPr>
                  <w:tcW w:type="dxa" w:w="3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驻点值班服务（配维保工程车）</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远程值守及驻点值方式结合，及时发现运行异常情况</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针对出现异常和故障的问题进行分类及时派单</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及时发现系统报警信息，第一时间通知维护班组进行处理</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配合亮化照明管理单位、相关部门进行亮化照明临时开关灯工作，并做好相关记录及反馈开关灯状态</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每天查看系统里是否存在待解决的故障，如果有及时处理并反馈到处相关领导，并做好反馈记录</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对每个月、每季度、每年的所有监控数据、监控记录、维修记录等工作量进行统计，形成档案存档</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每月对通讯网络、通讯设备进行检查</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配合照明管理单位领导交办的事情</w:t>
                  </w:r>
                </w:p>
              </w:tc>
            </w:tr>
            <w:tr>
              <w:tc>
                <w:tcPr>
                  <w:tcW w:type="dxa" w:w="3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通讯费</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270</w:t>
                  </w:r>
                  <w:r>
                    <w:rPr>
                      <w:rFonts w:ascii="仿宋_GB2312" w:hAnsi="仿宋_GB2312" w:cs="仿宋_GB2312" w:eastAsia="仿宋_GB2312"/>
                      <w:sz w:val="21"/>
                    </w:rPr>
                    <w:t>套亮化控制终端的一年通讯费</w:t>
                  </w:r>
                </w:p>
              </w:tc>
            </w:tr>
            <w:tr>
              <w:tc>
                <w:tcPr>
                  <w:tcW w:type="dxa" w:w="338"/>
                  <w:vMerge/>
                  <w:tcBorders>
                    <w:top w:val="none" w:color="000000" w:sz="4"/>
                    <w:left w:val="single" w:color="000000" w:sz="4"/>
                    <w:bottom w:val="single" w:color="000000" w:sz="4"/>
                    <w:right w:val="single" w:color="000000" w:sz="4"/>
                  </w:tcBorders>
                </w:tcPr>
                <w:p/>
              </w:tc>
              <w:tc>
                <w:tcPr>
                  <w:tcW w:type="dxa" w:w="760"/>
                  <w:vMerge/>
                  <w:tcBorders>
                    <w:top w:val="none" w:color="000000" w:sz="4"/>
                    <w:left w:val="none" w:color="000000" w:sz="4"/>
                    <w:bottom w:val="single" w:color="000000" w:sz="4"/>
                    <w:right w:val="single" w:color="000000" w:sz="4"/>
                  </w:tcBorders>
                </w:tc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机房光纤专线</w:t>
                  </w:r>
                  <w:r>
                    <w:rPr>
                      <w:rFonts w:ascii="仿宋_GB2312" w:hAnsi="仿宋_GB2312" w:cs="仿宋_GB2312" w:eastAsia="仿宋_GB2312"/>
                      <w:sz w:val="21"/>
                    </w:rPr>
                    <w:t>100M，一年通讯费</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 采购文件未明确服务执行标准、规范的，则按下列方法进行选择： □ 顺序执行：国家标准→行业标准→地方标准→企业标准（有国家标准按国家标准执行，没有国家标准按行业标准，以此类推）； □ 最高标准执行：国家标准，行业标准，地方标准，企业标准（那个标准高执行那个标准）； ☑ 必须执行：国家、行业强制性标准。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合同签订半年后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服务期满后，乙方的服务内容完全满足甲方要求并通过考核后，支付结算审定价的剩余款。具体支付时间以财政审批手续为准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本项目采购标的对应的中小企业划分标准所属行业：其他未列明行业。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提供注册登记凭证(营业执照 、其他组织经营的合法凭证 ， 自然人的提供身份证明文件)。</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提供缴费所属日期为投标截止时间前连续12 个 月 (缴 费 所 属 日 期 的 起 止 时 间 为 ：2025 年 5 月 至 2026 年 5 月 ) 的 缴 费凭 据 或 税务机关出具的完税证明/在法规范围内不需提供的应出具书面说明和证明文件；或基本资格条件承诺函。</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提供缴费所属 日期为投标截止时间前 连 续 12 个 月 (缴 费 所 属 日 期 的 起 止 时 间 为 ：2025 年 5 月 至 2026 年 5 月 )的 缴 费 凭据或社保机关出具的缴费证明/在法规范围内不需提供的应出具书面说明和证明文件；或基本资格条件承诺函。</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 3 年内在经营活动中没有重大违法记录的承诺函</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签字、盖章齐全。</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市政公用工程施工总承包三级或以上（含三级）资质或具备城市及道路照明工程专业承包三级或以上（含三级）资质，具备有效的安全生产许可证，提供相关证明资料复印件或扫描件加盖公章或电子章。</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供应商拟派项目经理要求</w:t>
            </w:r>
          </w:p>
        </w:tc>
        <w:tc>
          <w:tcPr>
            <w:tcW w:type="dxa" w:w="3322"/>
          </w:tcPr>
          <w:p>
            <w:pPr>
              <w:pStyle w:val="null3"/>
            </w:pPr>
            <w:r>
              <w:rPr>
                <w:rFonts w:ascii="仿宋_GB2312" w:hAnsi="仿宋_GB2312" w:cs="仿宋_GB2312" w:eastAsia="仿宋_GB2312"/>
              </w:rPr>
              <w:t>供应商拟派项目经理须具备（市政公用工程专业或机电工程专业）二级或以上（含二级）注册建造师执业资格，具备有效的安全生产考核合格证书（建安B证），未担任其他在建工程的项目经理且无不良记录（提供承诺书）。 1.证书证明资料：提供相关证明资料复印件或扫描件加盖公章或电子章； 2.无在建证明资料：提供承诺书。</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供应商基本信息及拟派项目经理的基本信息要求</w:t>
            </w:r>
          </w:p>
        </w:tc>
        <w:tc>
          <w:tcPr>
            <w:tcW w:type="dxa" w:w="3322"/>
          </w:tcPr>
          <w:p>
            <w:pPr>
              <w:pStyle w:val="null3"/>
            </w:pPr>
            <w:r>
              <w:rPr>
                <w:rFonts w:ascii="仿宋_GB2312" w:hAnsi="仿宋_GB2312" w:cs="仿宋_GB2312" w:eastAsia="仿宋_GB2312"/>
              </w:rPr>
              <w:t>供应商基本信息及拟派项目经理的基本信息在“陕西省住房和城乡建设厅”网站可查询，提供“陕西省住房和城乡建设厅”相关网页截图并加盖公章或电子章。</w:t>
            </w:r>
          </w:p>
        </w:tc>
        <w:tc>
          <w:tcPr>
            <w:tcW w:type="dxa" w:w="1661"/>
          </w:tcPr>
          <w:p>
            <w:pPr>
              <w:pStyle w:val="null3"/>
            </w:pPr>
            <w:r>
              <w:rPr>
                <w:rFonts w:ascii="仿宋_GB2312" w:hAnsi="仿宋_GB2312" w:cs="仿宋_GB2312" w:eastAsia="仿宋_GB2312"/>
              </w:rPr>
              <w:t>资格部分</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 。 3、投标文件的响应性审查。 （1）投标报价是否超过采购预算或最高限价；（2）投标报价有效期是否符合招标文件的要求； 4、实质性要求</w:t>
            </w:r>
          </w:p>
        </w:tc>
        <w:tc>
          <w:tcPr>
            <w:tcW w:type="dxa" w:w="1661"/>
          </w:tcPr>
          <w:p>
            <w:pPr>
              <w:pStyle w:val="null3"/>
            </w:pPr>
            <w:r>
              <w:rPr>
                <w:rFonts w:ascii="仿宋_GB2312" w:hAnsi="仿宋_GB2312" w:cs="仿宋_GB2312" w:eastAsia="仿宋_GB2312"/>
              </w:rPr>
              <w:t>开标一览表 投标函 中小企业声明函 残疾人福利性单位声明函 资格部分 技术和商务部分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在服务范围内按维保工作内容和要求制定维保服务工作的安排方案，服务方案科学、合理、可行性强。 评审依据： 服务方案全面具体、内容完整、描述详尽，针对性强、可行性强、维护规范合理可行，完全满足项目要求的得12分； 服务方案全面具体、内容基本完整、描述简单，针对性一般、可行性一般、维护规范基本合理可行，基本满足项目要求的得10分； 服务方案粗略、内容不完整、描述简单，针对性较差、可行性较差、维护不够规范合理，不能完全满足项目要求的得6分，未提供得0分。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技术和商务部分</w:t>
            </w:r>
          </w:p>
        </w:tc>
      </w:tr>
      <w:tr>
        <w:tc>
          <w:tcPr>
            <w:tcW w:type="dxa" w:w="831"/>
            <w:vMerge/>
          </w:tcPr>
          <w:p/>
        </w:tc>
        <w:tc>
          <w:tcPr>
            <w:tcW w:type="dxa" w:w="1661"/>
          </w:tcPr>
          <w:p>
            <w:pPr>
              <w:pStyle w:val="null3"/>
            </w:pPr>
            <w:r>
              <w:rPr>
                <w:rFonts w:ascii="仿宋_GB2312" w:hAnsi="仿宋_GB2312" w:cs="仿宋_GB2312" w:eastAsia="仿宋_GB2312"/>
              </w:rPr>
              <w:t>运维保障服务</w:t>
            </w:r>
          </w:p>
        </w:tc>
        <w:tc>
          <w:tcPr>
            <w:tcW w:type="dxa" w:w="2492"/>
          </w:tcPr>
          <w:p>
            <w:pPr>
              <w:pStyle w:val="null3"/>
            </w:pPr>
            <w:r>
              <w:rPr>
                <w:rFonts w:ascii="仿宋_GB2312" w:hAnsi="仿宋_GB2312" w:cs="仿宋_GB2312" w:eastAsia="仿宋_GB2312"/>
              </w:rPr>
              <w:t>建立日常维护制度，按照要求期限排除故障，按要求定期进行巡检，分析系统运行状况，查看系统日志，排查故障和进行性能优化，进行预防性检测，以防患于未然，同时提供书面维护报告等。 评审依据： 服务标准清晰，针对性强，可行性高得12分； 服务标准较为清晰，针对性较好，可行性较好得10分； 服务标准不清晰，针对性差，可行性差得6分，未提供得0分。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技术和商务部分</w:t>
            </w:r>
          </w:p>
        </w:tc>
      </w:tr>
      <w:tr>
        <w:tc>
          <w:tcPr>
            <w:tcW w:type="dxa" w:w="831"/>
            <w:vMerge/>
          </w:tcPr>
          <w:p/>
        </w:tc>
        <w:tc>
          <w:tcPr>
            <w:tcW w:type="dxa" w:w="1661"/>
          </w:tcPr>
          <w:p>
            <w:pPr>
              <w:pStyle w:val="null3"/>
            </w:pPr>
            <w:r>
              <w:rPr>
                <w:rFonts w:ascii="仿宋_GB2312" w:hAnsi="仿宋_GB2312" w:cs="仿宋_GB2312" w:eastAsia="仿宋_GB2312"/>
              </w:rPr>
              <w:t>安全措施及保密措施</w:t>
            </w:r>
          </w:p>
        </w:tc>
        <w:tc>
          <w:tcPr>
            <w:tcW w:type="dxa" w:w="2492"/>
          </w:tcPr>
          <w:p>
            <w:pPr>
              <w:pStyle w:val="null3"/>
            </w:pPr>
            <w:r>
              <w:rPr>
                <w:rFonts w:ascii="仿宋_GB2312" w:hAnsi="仿宋_GB2312" w:cs="仿宋_GB2312" w:eastAsia="仿宋_GB2312"/>
              </w:rPr>
              <w:t>(1)安全措施:投标人的运行维护工作必须遵循并优化现有的安全体系，必须在现有安全体制下提出确保系统安全可靠的安全策略、措施和步骤。（10分） 评审依据： 内容完整，描述详尽，针对性、可行性强，完全满足项目要求的得10分； 内容完整，描述简单，针对性、可行性一般，基本满足项目要求的得8分； 内容粗略，描述简单，无针对性、可行性较差，不能满足项目要求的得5分，未提供得0分。 (2)保密承诺:投标人具有完善的保密工作制度及相关承诺，根据其内容的完整，科学及可行性赋分：内容完整，描述详尽，针对性、可行性强，完全满足项目要求的得:4分； 内容完整，描述简单，针对性、可行性一般，基本满足项目要求的得2分； 内容粗略，描述简单，无针对性、可行性较差，不能满足项目要求的得1分，未提供得0分。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技术和商务部分</w:t>
            </w:r>
          </w:p>
        </w:tc>
      </w:tr>
      <w:tr>
        <w:tc>
          <w:tcPr>
            <w:tcW w:type="dxa" w:w="831"/>
            <w:vMerge/>
          </w:tcPr>
          <w:p/>
        </w:tc>
        <w:tc>
          <w:tcPr>
            <w:tcW w:type="dxa" w:w="1661"/>
          </w:tcPr>
          <w:p>
            <w:pPr>
              <w:pStyle w:val="null3"/>
            </w:pPr>
            <w:r>
              <w:rPr>
                <w:rFonts w:ascii="仿宋_GB2312" w:hAnsi="仿宋_GB2312" w:cs="仿宋_GB2312" w:eastAsia="仿宋_GB2312"/>
              </w:rPr>
              <w:t>针对本项目的人员配备</w:t>
            </w:r>
          </w:p>
        </w:tc>
        <w:tc>
          <w:tcPr>
            <w:tcW w:type="dxa" w:w="2492"/>
          </w:tcPr>
          <w:p>
            <w:pPr>
              <w:pStyle w:val="null3"/>
            </w:pPr>
            <w:r>
              <w:rPr>
                <w:rFonts w:ascii="仿宋_GB2312" w:hAnsi="仿宋_GB2312" w:cs="仿宋_GB2312" w:eastAsia="仿宋_GB2312"/>
              </w:rPr>
              <w:t>具备完善、分工明确的项目管理组织机构。技术队伍配备合理，项目组人员必须包含项目负责人、技术负责人、技术管理人员、安全专职人员(2人及以上)、质检人员、资料员、专业的维修养护等人员，并保证项目组成员具有相应资格或职称证书，持证上岗。工作人员分工合理、明确，人员配备能满足本项目需求。 评审依据： 项目团队综合实力强，服务团队配备合理，人员经验丰富、专业性强，满足本项目需求得12分 项目团队综合实力较好，服务团队配备较为合理，人员经验较为丰富、专业性较好，基本满足本项目需求得10分 项目团队综合实力较差，服务团队配备合理性一般，人员相关经验较浅、专业性一般得5分，未提供得0分。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技术和商务部分</w:t>
            </w:r>
          </w:p>
        </w:tc>
      </w:tr>
      <w:tr>
        <w:tc>
          <w:tcPr>
            <w:tcW w:type="dxa" w:w="831"/>
            <w:vMerge/>
          </w:tcPr>
          <w:p/>
        </w:tc>
        <w:tc>
          <w:tcPr>
            <w:tcW w:type="dxa" w:w="1661"/>
          </w:tcPr>
          <w:p>
            <w:pPr>
              <w:pStyle w:val="null3"/>
            </w:pPr>
            <w:r>
              <w:rPr>
                <w:rFonts w:ascii="仿宋_GB2312" w:hAnsi="仿宋_GB2312" w:cs="仿宋_GB2312" w:eastAsia="仿宋_GB2312"/>
              </w:rPr>
              <w:t>针对本项目的机械设备配备</w:t>
            </w:r>
          </w:p>
        </w:tc>
        <w:tc>
          <w:tcPr>
            <w:tcW w:type="dxa" w:w="2492"/>
          </w:tcPr>
          <w:p>
            <w:pPr>
              <w:pStyle w:val="null3"/>
            </w:pPr>
            <w:r>
              <w:rPr>
                <w:rFonts w:ascii="仿宋_GB2312" w:hAnsi="仿宋_GB2312" w:cs="仿宋_GB2312" w:eastAsia="仿宋_GB2312"/>
              </w:rPr>
              <w:t>机械设备及项目实施所需工具，配备科学、合理、充足，能满足本项目需求。 评审依据： 内容完整，描述详尽，针对性、可行性强，完全满足项目要求的得12分； 内容完整，描述简单，针对性、可行性一般，基本满足项目要求的得10分； 内容粗略，描述简单，无针对性、可行性较差，不能满足项目要求的得6分，未提供得0分。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技术和商务部分</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根据投标人提供的突发应急预案措施的有效性、可行性、针对性进行赋分。 评审依据： 应急预案完备健全，科学性强、合理性强、可操作性强得12分； 应急预案较为完备健全，科学性、合理性及可操作性较好得10分； 应急预案完备程度一般，方案合理性及可操作性较差得6分。未提供得0分。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技术和商务部分</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对备品配件、设备发生故障后的补救措施，维修服务响应时限、设备返修管理等售后服务，有明确的承诺、切实可行。 评审依据： 内容完整，描述详尽，针对性、可行性强，完全满足项目要求的得10分； 内容完整，描述简单，针对性、可行性一般，基本满足项目要求的得8分； 内容粗略，描述简单，无针对性、可行性较差，不能满足项目要求的得5分。未提供得0分。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投标人具有2023年1月1日至今（以合同签订时间为准）类似项目业绩，投标文件中附有业绩证明材料（业绩以合同复印件为依据，），提供一个得2分，满分6分。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经初审合格的响应文件，其投标报价为有效报价。2、满足招标文件实质性要求且报价最低的供应商的价格为评标基准价，其价格分为满分10分。3、投标报价得分=（评标基准价/投标报价）×10。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w:t>
      </w:r>
    </w:p>
    <w:p>
      <w:pPr>
        <w:pStyle w:val="null3"/>
        <w:ind w:firstLine="960"/>
      </w:pPr>
      <w:r>
        <w:rPr>
          <w:rFonts w:ascii="仿宋_GB2312" w:hAnsi="仿宋_GB2312" w:cs="仿宋_GB2312" w:eastAsia="仿宋_GB2312"/>
        </w:rPr>
        <w:t>详见附件：技术和商务部分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