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46BFE">
      <w:pPr>
        <w:pStyle w:val="6"/>
        <w:keepNext w:val="0"/>
        <w:keepLines w:val="0"/>
        <w:pageBreakBefore w:val="0"/>
        <w:widowControl w:val="0"/>
        <w:numPr>
          <w:ilvl w:val="0"/>
          <w:numId w:val="0"/>
        </w:numPr>
        <w:kinsoku/>
        <w:wordWrap/>
        <w:overflowPunct/>
        <w:topLinePunct w:val="0"/>
        <w:autoSpaceDE/>
        <w:autoSpaceDN/>
        <w:bidi w:val="0"/>
        <w:adjustRightInd/>
        <w:snapToGrid/>
        <w:jc w:val="center"/>
        <w:textAlignment w:val="auto"/>
        <w:outlineLvl w:val="0"/>
        <w:rPr>
          <w:rFonts w:hint="eastAsia" w:ascii="仿宋" w:hAnsi="仿宋" w:eastAsia="仿宋" w:cs="仿宋"/>
          <w:b/>
          <w:bCs/>
          <w:color w:val="000000"/>
          <w:sz w:val="28"/>
          <w:szCs w:val="28"/>
          <w:highlight w:val="none"/>
        </w:rPr>
      </w:pPr>
      <w:bookmarkStart w:id="0" w:name="_Toc29968"/>
      <w:r>
        <w:rPr>
          <w:rFonts w:hint="eastAsia" w:ascii="仿宋" w:hAnsi="仿宋" w:eastAsia="仿宋" w:cs="仿宋"/>
          <w:b/>
          <w:bCs/>
          <w:color w:val="000000"/>
          <w:sz w:val="28"/>
          <w:szCs w:val="28"/>
          <w:highlight w:val="none"/>
        </w:rPr>
        <w:t>政府采购合同格式</w:t>
      </w:r>
      <w:bookmarkEnd w:id="0"/>
    </w:p>
    <w:p w14:paraId="7F7FB6F4">
      <w:pPr>
        <w:pStyle w:val="6"/>
        <w:numPr>
          <w:ilvl w:val="0"/>
          <w:numId w:val="0"/>
        </w:numPr>
        <w:jc w:val="both"/>
        <w:outlineLvl w:val="0"/>
        <w:rPr>
          <w:rFonts w:hint="eastAsia" w:ascii="仿宋" w:hAnsi="仿宋" w:eastAsia="仿宋" w:cs="仿宋"/>
          <w:color w:val="000000"/>
          <w:sz w:val="21"/>
          <w:szCs w:val="21"/>
          <w:highlight w:val="none"/>
        </w:rPr>
      </w:pPr>
    </w:p>
    <w:p w14:paraId="211B8252">
      <w:pPr>
        <w:pStyle w:val="6"/>
        <w:numPr>
          <w:ilvl w:val="0"/>
          <w:numId w:val="0"/>
        </w:numPr>
        <w:jc w:val="center"/>
        <w:outlineLvl w:val="0"/>
        <w:rPr>
          <w:rFonts w:hint="eastAsia" w:ascii="仿宋" w:hAnsi="仿宋" w:eastAsia="仿宋" w:cs="仿宋"/>
          <w:b w:val="0"/>
          <w:bCs/>
          <w:color w:val="000000"/>
          <w:sz w:val="21"/>
          <w:szCs w:val="21"/>
          <w:highlight w:val="none"/>
          <w:lang w:eastAsia="zh-CN"/>
        </w:rPr>
      </w:pPr>
      <w:bookmarkStart w:id="1" w:name="_Toc26787"/>
      <w:r>
        <w:rPr>
          <w:rFonts w:hint="eastAsia" w:ascii="仿宋" w:hAnsi="仿宋" w:eastAsia="仿宋" w:cs="仿宋"/>
          <w:b w:val="0"/>
          <w:bCs/>
          <w:color w:val="000000"/>
          <w:sz w:val="21"/>
          <w:szCs w:val="21"/>
          <w:highlight w:val="none"/>
          <w:lang w:eastAsia="zh-CN"/>
        </w:rPr>
        <w:t>（</w:t>
      </w:r>
      <w:r>
        <w:rPr>
          <w:rFonts w:hint="eastAsia" w:ascii="仿宋" w:hAnsi="仿宋" w:eastAsia="仿宋" w:cs="仿宋"/>
          <w:b w:val="0"/>
          <w:bCs/>
          <w:color w:val="000000"/>
          <w:sz w:val="21"/>
          <w:szCs w:val="21"/>
          <w:highlight w:val="none"/>
          <w:lang w:val="en-US" w:eastAsia="zh-CN"/>
        </w:rPr>
        <w:t>最终以甲乙双方实际协商签订的协议为准</w:t>
      </w:r>
      <w:r>
        <w:rPr>
          <w:rFonts w:hint="eastAsia" w:ascii="仿宋" w:hAnsi="仿宋" w:eastAsia="仿宋" w:cs="仿宋"/>
          <w:b w:val="0"/>
          <w:bCs/>
          <w:color w:val="000000"/>
          <w:sz w:val="21"/>
          <w:szCs w:val="21"/>
          <w:highlight w:val="none"/>
          <w:lang w:eastAsia="zh-CN"/>
        </w:rPr>
        <w:t>）</w:t>
      </w:r>
      <w:bookmarkEnd w:id="1"/>
    </w:p>
    <w:p w14:paraId="2047EF2D">
      <w:pPr>
        <w:pStyle w:val="6"/>
        <w:numPr>
          <w:ilvl w:val="0"/>
          <w:numId w:val="0"/>
        </w:numPr>
        <w:jc w:val="center"/>
        <w:outlineLvl w:val="0"/>
        <w:rPr>
          <w:rFonts w:hint="eastAsia" w:ascii="仿宋" w:hAnsi="仿宋" w:eastAsia="仿宋" w:cs="仿宋"/>
          <w:color w:val="000000"/>
          <w:sz w:val="21"/>
          <w:szCs w:val="21"/>
          <w:highlight w:val="none"/>
          <w:lang w:eastAsia="zh-CN"/>
        </w:rPr>
      </w:pPr>
    </w:p>
    <w:p w14:paraId="174B1931">
      <w:pPr>
        <w:pStyle w:val="5"/>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 xml:space="preserve">合同编号： </w:t>
      </w:r>
    </w:p>
    <w:p w14:paraId="30EEB22C">
      <w:pPr>
        <w:pStyle w:val="5"/>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 xml:space="preserve">签订地点： </w:t>
      </w:r>
    </w:p>
    <w:p w14:paraId="4A6549FF">
      <w:pPr>
        <w:pStyle w:val="5"/>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签订时间:</w:t>
      </w:r>
    </w:p>
    <w:p w14:paraId="2D4EBAA6">
      <w:pPr>
        <w:pStyle w:val="5"/>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本合同为中小企业预留份额合同</w:t>
      </w:r>
    </w:p>
    <w:p w14:paraId="4E7A169E">
      <w:pPr>
        <w:pStyle w:val="5"/>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采购人（甲方）：</w:t>
      </w:r>
    </w:p>
    <w:p w14:paraId="5E4F3768">
      <w:pPr>
        <w:pStyle w:val="5"/>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中标人（乙方）：</w:t>
      </w:r>
    </w:p>
    <w:p w14:paraId="353C2A3B">
      <w:pPr>
        <w:pStyle w:val="5"/>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根据《中华人民共和国政府采购法》及实施条例、《中华人民共和国</w:t>
      </w:r>
      <w:r>
        <w:rPr>
          <w:rFonts w:hint="eastAsia" w:ascii="仿宋" w:hAnsi="仿宋" w:eastAsia="仿宋" w:cs="仿宋"/>
          <w:color w:val="000000"/>
          <w:sz w:val="21"/>
          <w:szCs w:val="21"/>
          <w:highlight w:val="none"/>
          <w:lang w:eastAsia="zh-CN"/>
        </w:rPr>
        <w:t>民法典</w:t>
      </w:r>
      <w:r>
        <w:rPr>
          <w:rFonts w:hint="eastAsia" w:ascii="仿宋" w:hAnsi="仿宋" w:eastAsia="仿宋" w:cs="仿宋"/>
          <w:color w:val="000000"/>
          <w:sz w:val="21"/>
          <w:szCs w:val="21"/>
          <w:highlight w:val="none"/>
        </w:rPr>
        <w:t>》和甲方</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rPr>
        <w:t>采购项目（采购项目编号：</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rPr>
        <w:t>）的招标文件、投标文件等有关规定，为确保甲方采购项目的顺利实施，甲、乙双方在平等自愿原则下签订本合同，并共同遵守如下条款：</w:t>
      </w:r>
    </w:p>
    <w:p w14:paraId="57A7AC9E">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lang w:val="en-US" w:eastAsia="zh-CN"/>
        </w:rPr>
        <w:t>合同价款</w:t>
      </w:r>
    </w:p>
    <w:p w14:paraId="47CA654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合同总价款暂为人民币(大写)</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lang w:val="en-US" w:eastAsia="zh-CN"/>
        </w:rPr>
        <w:t xml:space="preserve">(￥: </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lang w:val="en-US" w:eastAsia="zh-CN"/>
        </w:rPr>
        <w:t xml:space="preserve"> )，实际合同总价款以最终结算审定价为准。</w:t>
      </w:r>
    </w:p>
    <w:p w14:paraId="546ABDE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合同价款据实结算。</w:t>
      </w:r>
    </w:p>
    <w:p w14:paraId="087ED710">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 xml:space="preserve">合同期限  </w:t>
      </w:r>
    </w:p>
    <w:p w14:paraId="2229F7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sz w:val="21"/>
          <w:szCs w:val="21"/>
          <w:highlight w:val="none"/>
          <w:lang w:val="en-US" w:eastAsia="zh-CN"/>
        </w:rPr>
      </w:pPr>
      <w:bookmarkStart w:id="2" w:name="_Toc225244852"/>
      <w:bookmarkStart w:id="3" w:name="_Toc239233914"/>
      <w:bookmarkStart w:id="4" w:name="_Toc286993786"/>
      <w:bookmarkStart w:id="5" w:name="_Toc283019214"/>
      <w:bookmarkStart w:id="6" w:name="_Toc211854449"/>
      <w:bookmarkStart w:id="7" w:name="_Toc225670751"/>
      <w:bookmarkStart w:id="8" w:name="_Toc185395249"/>
      <w:bookmarkStart w:id="9" w:name="_Toc211911348"/>
      <w:bookmarkStart w:id="10" w:name="_Toc212019594"/>
      <w:bookmarkStart w:id="11" w:name="_Toc237145406"/>
      <w:bookmarkStart w:id="12" w:name="_Toc232492928"/>
      <w:bookmarkStart w:id="13" w:name="_Toc225654644"/>
      <w:bookmarkStart w:id="14" w:name="_Toc251768862"/>
      <w:bookmarkStart w:id="15" w:name="_Toc247334841"/>
      <w:bookmarkStart w:id="16" w:name="_Toc282696226"/>
      <w:bookmarkStart w:id="17" w:name="_Toc238984975"/>
      <w:bookmarkStart w:id="18" w:name="_Toc239568418"/>
      <w:bookmarkStart w:id="19" w:name="_Toc241833903"/>
      <w:r>
        <w:rPr>
          <w:rFonts w:hint="eastAsia" w:ascii="仿宋" w:hAnsi="仿宋" w:eastAsia="仿宋" w:cs="仿宋"/>
          <w:color w:val="000000"/>
          <w:sz w:val="21"/>
          <w:szCs w:val="21"/>
          <w:highlight w:val="none"/>
          <w:lang w:val="en-US" w:eastAsia="zh-CN"/>
        </w:rPr>
        <w:t>本预算对应的服务期限为一年，自   年  月  日起至   年   月  日止，合同一年一签，服务期满后，甲方可根据乙方服务考核情况决定是否续签。</w:t>
      </w:r>
    </w:p>
    <w:p w14:paraId="2848ABF2">
      <w:pPr>
        <w:keepNext w:val="0"/>
        <w:keepLines w:val="0"/>
        <w:pageBreakBefore w:val="0"/>
        <w:widowControl w:val="0"/>
        <w:kinsoku/>
        <w:wordWrap/>
        <w:overflowPunct/>
        <w:topLinePunct w:val="0"/>
        <w:autoSpaceDE/>
        <w:autoSpaceDN/>
        <w:bidi w:val="0"/>
        <w:adjustRightInd/>
        <w:snapToGrid/>
        <w:spacing w:line="360" w:lineRule="auto"/>
        <w:ind w:left="426"/>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b/>
          <w:color w:val="000000"/>
          <w:sz w:val="21"/>
          <w:szCs w:val="21"/>
          <w:highlight w:val="none"/>
        </w:rPr>
        <w:t xml:space="preserve">第三条  </w:t>
      </w:r>
      <w:r>
        <w:rPr>
          <w:rFonts w:hint="eastAsia" w:ascii="仿宋" w:hAnsi="仿宋" w:eastAsia="仿宋" w:cs="仿宋"/>
          <w:b/>
          <w:color w:val="000000"/>
          <w:sz w:val="21"/>
          <w:szCs w:val="21"/>
          <w:highlight w:val="none"/>
          <w:lang w:eastAsia="zh-CN"/>
        </w:rPr>
        <w:t>服务地点</w:t>
      </w:r>
    </w:p>
    <w:p w14:paraId="335329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采购人指定地点</w:t>
      </w:r>
    </w:p>
    <w:p w14:paraId="3589FB76">
      <w:pPr>
        <w:keepNext w:val="0"/>
        <w:keepLines w:val="0"/>
        <w:pageBreakBefore w:val="0"/>
        <w:widowControl w:val="0"/>
        <w:kinsoku/>
        <w:wordWrap/>
        <w:overflowPunct/>
        <w:topLinePunct w:val="0"/>
        <w:autoSpaceDE/>
        <w:autoSpaceDN/>
        <w:bidi w:val="0"/>
        <w:adjustRightInd/>
        <w:snapToGrid/>
        <w:spacing w:line="360" w:lineRule="auto"/>
        <w:ind w:left="426"/>
        <w:textAlignment w:val="auto"/>
        <w:rPr>
          <w:rFonts w:hint="eastAsia" w:ascii="仿宋" w:hAnsi="仿宋" w:eastAsia="仿宋" w:cs="仿宋"/>
          <w:b/>
          <w:color w:val="000000"/>
          <w:sz w:val="21"/>
          <w:szCs w:val="21"/>
          <w:highlight w:val="none"/>
        </w:rPr>
      </w:pPr>
      <w:bookmarkStart w:id="54" w:name="_GoBack"/>
      <w:r>
        <w:rPr>
          <w:rFonts w:hint="eastAsia" w:ascii="仿宋" w:hAnsi="仿宋" w:eastAsia="仿宋" w:cs="仿宋"/>
          <w:b/>
          <w:color w:val="000000"/>
          <w:sz w:val="21"/>
          <w:szCs w:val="21"/>
          <w:highlight w:val="none"/>
        </w:rPr>
        <w:t>第四条  服务费用及支付方式</w:t>
      </w:r>
    </w:p>
    <w:bookmarkEnd w:id="54"/>
    <w:p w14:paraId="5CCA8C36">
      <w:pPr>
        <w:shd w:val="clear" w:fill="FFFFFF" w:themeFill="background1"/>
        <w:tabs>
          <w:tab w:val="left" w:pos="1440"/>
        </w:tabs>
        <w:spacing w:line="360" w:lineRule="auto"/>
        <w:ind w:firstLine="420" w:firstLineChars="200"/>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（一）付款方式</w:t>
      </w:r>
    </w:p>
    <w:p w14:paraId="6B235EDF">
      <w:pPr>
        <w:shd w:val="clear" w:fill="FFFFFF" w:themeFill="background1"/>
        <w:tabs>
          <w:tab w:val="left" w:pos="1440"/>
        </w:tabs>
        <w:spacing w:line="360" w:lineRule="auto"/>
        <w:ind w:firstLine="420" w:firstLineChars="200"/>
        <w:rPr>
          <w:rFonts w:hint="eastAsia" w:ascii="仿宋" w:hAnsi="仿宋" w:eastAsia="仿宋" w:cs="仿宋"/>
          <w:color w:val="000000"/>
          <w:sz w:val="21"/>
          <w:szCs w:val="21"/>
          <w:highlight w:val="none"/>
          <w:lang w:val="en-US" w:eastAsia="zh-CN"/>
        </w:rPr>
      </w:pPr>
      <w:commentRangeStart w:id="0"/>
      <w:r>
        <w:rPr>
          <w:rFonts w:hint="eastAsia" w:ascii="仿宋" w:hAnsi="仿宋" w:eastAsia="仿宋" w:cs="仿宋"/>
          <w:color w:val="000000"/>
          <w:sz w:val="21"/>
          <w:szCs w:val="21"/>
          <w:highlight w:val="none"/>
          <w:lang w:val="en-US" w:eastAsia="zh-CN"/>
        </w:rPr>
        <w:t>合同签订后支付合同价款的40%，合同签订半年后支付合同价款的30%，服务期满后，乙方的服务内容完全满足甲方要求并通过考核后，支付结算审定价的剩余款。具体支付时间以财政审批手续为准。</w:t>
      </w:r>
      <w:commentRangeEnd w:id="0"/>
      <w:r>
        <w:rPr>
          <w:rFonts w:hint="eastAsia" w:ascii="仿宋" w:hAnsi="仿宋" w:eastAsia="仿宋" w:cs="仿宋"/>
          <w:color w:val="000000"/>
          <w:sz w:val="21"/>
          <w:szCs w:val="21"/>
          <w:highlight w:val="none"/>
        </w:rPr>
        <w:commentReference w:id="0"/>
      </w:r>
    </w:p>
    <w:p w14:paraId="11A046B1">
      <w:pPr>
        <w:shd w:val="clear" w:fill="FFFFFF" w:themeFill="background1"/>
        <w:tabs>
          <w:tab w:val="left" w:pos="1440"/>
        </w:tabs>
        <w:spacing w:line="360" w:lineRule="auto"/>
        <w:ind w:firstLine="420" w:firstLineChars="200"/>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(二)结算方式:银行转账。</w:t>
      </w:r>
    </w:p>
    <w:p w14:paraId="37E7A633">
      <w:pPr>
        <w:shd w:val="clear" w:fill="FFFFFF" w:themeFill="background1"/>
        <w:tabs>
          <w:tab w:val="left" w:pos="1440"/>
        </w:tabs>
        <w:spacing w:line="360" w:lineRule="auto"/>
        <w:ind w:firstLine="420" w:firstLineChars="200"/>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(三)结算单位:由甲方负责结算，每次支付合同价款前，乙方按甲方要求开具等额发票给甲方。</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645F053">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仿宋" w:hAnsi="仿宋" w:eastAsia="仿宋" w:cs="仿宋"/>
          <w:b/>
          <w:color w:val="000000"/>
          <w:sz w:val="21"/>
          <w:szCs w:val="21"/>
          <w:highlight w:val="none"/>
        </w:rPr>
      </w:pPr>
      <w:bookmarkStart w:id="20" w:name="_Toc212019600"/>
      <w:bookmarkStart w:id="21" w:name="_Toc286993793"/>
      <w:bookmarkStart w:id="22" w:name="_Toc247334847"/>
      <w:bookmarkStart w:id="23" w:name="_Toc239568424"/>
      <w:bookmarkStart w:id="24" w:name="_Toc237145412"/>
      <w:bookmarkStart w:id="25" w:name="_Toc225244858"/>
      <w:bookmarkStart w:id="26" w:name="_Toc225654650"/>
      <w:bookmarkStart w:id="27" w:name="_Toc251768868"/>
      <w:bookmarkStart w:id="28" w:name="_Toc241833909"/>
      <w:bookmarkStart w:id="29" w:name="_Toc282696231"/>
      <w:bookmarkStart w:id="30" w:name="_Toc211854455"/>
      <w:bookmarkStart w:id="31" w:name="_Toc232492934"/>
      <w:bookmarkStart w:id="32" w:name="_Toc211911354"/>
      <w:bookmarkStart w:id="33" w:name="_Toc238984981"/>
      <w:bookmarkStart w:id="34" w:name="_Toc283019219"/>
      <w:bookmarkStart w:id="35" w:name="_Toc239233920"/>
      <w:bookmarkStart w:id="36" w:name="_Toc185395255"/>
      <w:bookmarkStart w:id="37" w:name="_Toc225670757"/>
      <w:r>
        <w:rPr>
          <w:rFonts w:hint="eastAsia" w:ascii="仿宋" w:hAnsi="仿宋" w:eastAsia="仿宋" w:cs="仿宋"/>
          <w:b/>
          <w:color w:val="000000"/>
          <w:sz w:val="21"/>
          <w:szCs w:val="21"/>
          <w:highlight w:val="none"/>
        </w:rPr>
        <w:t>第五条   知识产权（若有）</w:t>
      </w:r>
    </w:p>
    <w:p w14:paraId="300B15EE">
      <w:pPr>
        <w:tabs>
          <w:tab w:val="left" w:pos="1440"/>
        </w:tabs>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乙方应保证所提供的服务或其任何一部分均不会侵犯任何第三方的专利权、商标权或著作权。</w:t>
      </w:r>
    </w:p>
    <w:p w14:paraId="403564C1">
      <w:pPr>
        <w:tabs>
          <w:tab w:val="left" w:pos="1440"/>
        </w:tabs>
        <w:spacing w:line="360" w:lineRule="auto"/>
        <w:ind w:firstLine="420" w:firstLineChars="200"/>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乙方在服务期间产生的所有数据（包括不限于故障记录、维护台帐、技术文档、技术成果等），其所有权及知识产权归甲方所有，未经甲方同意，乙方不得向第三方泄露或转让。</w:t>
      </w:r>
    </w:p>
    <w:p w14:paraId="1146F30C">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第六条  无产权瑕疵条款（如有）</w:t>
      </w:r>
    </w:p>
    <w:p w14:paraId="31966321">
      <w:pPr>
        <w:tabs>
          <w:tab w:val="left" w:pos="1440"/>
        </w:tabs>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乙方保证所提供的服务的所有权完全属于乙方且无任何抵押、查封等产权瑕疵。如有产权瑕疵的，视为乙方违约。乙方应负担由此而产生的一切损失。</w:t>
      </w:r>
    </w:p>
    <w:p w14:paraId="4E224D92">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第</w:t>
      </w:r>
      <w:r>
        <w:rPr>
          <w:rFonts w:hint="eastAsia" w:ascii="仿宋" w:hAnsi="仿宋" w:eastAsia="仿宋" w:cs="仿宋"/>
          <w:b/>
          <w:color w:val="000000"/>
          <w:sz w:val="21"/>
          <w:szCs w:val="21"/>
          <w:highlight w:val="none"/>
          <w:lang w:val="en-US" w:eastAsia="zh-CN"/>
        </w:rPr>
        <w:t>七</w:t>
      </w:r>
      <w:r>
        <w:rPr>
          <w:rFonts w:hint="eastAsia" w:ascii="仿宋" w:hAnsi="仿宋" w:eastAsia="仿宋" w:cs="仿宋"/>
          <w:b/>
          <w:color w:val="000000"/>
          <w:sz w:val="21"/>
          <w:szCs w:val="21"/>
          <w:highlight w:val="none"/>
        </w:rPr>
        <w:t>条</w:t>
      </w:r>
      <w:r>
        <w:rPr>
          <w:rFonts w:hint="eastAsia" w:ascii="仿宋" w:hAnsi="仿宋" w:eastAsia="仿宋" w:cs="仿宋"/>
          <w:b/>
          <w:color w:val="000000"/>
          <w:sz w:val="21"/>
          <w:szCs w:val="21"/>
          <w:highlight w:val="none"/>
          <w:lang w:val="en-US" w:eastAsia="zh-CN"/>
        </w:rPr>
        <w:t xml:space="preserve">  </w:t>
      </w:r>
      <w:r>
        <w:rPr>
          <w:rFonts w:hint="eastAsia" w:ascii="仿宋" w:hAnsi="仿宋" w:eastAsia="仿宋" w:cs="仿宋"/>
          <w:b/>
          <w:color w:val="000000"/>
          <w:sz w:val="21"/>
          <w:szCs w:val="21"/>
          <w:highlight w:val="none"/>
        </w:rPr>
        <w:t xml:space="preserve"> 甲方的权利和义务</w:t>
      </w:r>
    </w:p>
    <w:p w14:paraId="24D2D8E6">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(一)甲方的权利</w:t>
      </w:r>
    </w:p>
    <w:p w14:paraId="138055F9">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1.甲方有权向乙方询问工作进展情况及相关的内容</w:t>
      </w:r>
      <w:r>
        <w:rPr>
          <w:rFonts w:hint="eastAsia" w:ascii="仿宋" w:hAnsi="仿宋" w:eastAsia="仿宋" w:cs="仿宋"/>
          <w:bCs/>
          <w:color w:val="000000"/>
          <w:sz w:val="21"/>
          <w:szCs w:val="21"/>
          <w:highlight w:val="none"/>
          <w:lang w:eastAsia="zh-CN"/>
        </w:rPr>
        <w:t>，</w:t>
      </w:r>
      <w:r>
        <w:rPr>
          <w:rFonts w:hint="eastAsia" w:ascii="仿宋" w:hAnsi="仿宋" w:eastAsia="仿宋" w:cs="仿宋"/>
          <w:bCs/>
          <w:color w:val="000000"/>
          <w:sz w:val="21"/>
          <w:szCs w:val="21"/>
          <w:highlight w:val="none"/>
          <w:lang w:val="en-US" w:eastAsia="zh-CN"/>
        </w:rPr>
        <w:t>并有权按照   （每月/季度）对乙方服务进行考核</w:t>
      </w:r>
      <w:r>
        <w:rPr>
          <w:rFonts w:hint="eastAsia" w:ascii="仿宋" w:hAnsi="仿宋" w:eastAsia="仿宋" w:cs="仿宋"/>
          <w:bCs/>
          <w:color w:val="000000"/>
          <w:sz w:val="21"/>
          <w:szCs w:val="21"/>
          <w:highlight w:val="none"/>
        </w:rPr>
        <w:t>。</w:t>
      </w:r>
    </w:p>
    <w:p w14:paraId="4641A8BB">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2.甲方有权阐述对具体问题的意见和建议。</w:t>
      </w:r>
    </w:p>
    <w:p w14:paraId="303BDE11">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3.甲方有权根据项目的具体情况，要求乙方按期到项目现场勘探解决争议。</w:t>
      </w:r>
    </w:p>
    <w:p w14:paraId="59E6FACB">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4.当甲方认定专业技术人员不按合同履行其职责，或与第三人串通给甲方造成经济损失的，甲方有权要求更换技术专业人员，直至终止合同并要求乙方承担相应的赔偿责任。</w:t>
      </w:r>
    </w:p>
    <w:p w14:paraId="5F7AA03B">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(二)甲方的义务</w:t>
      </w:r>
    </w:p>
    <w:p w14:paraId="22E3BFB9">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1.甲方应负责与本项目有关的第三人的协调，为乙方工作提供外部条件。</w:t>
      </w:r>
    </w:p>
    <w:p w14:paraId="437F45C3">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2.甲方应当在约定的时间内，向乙方提供与本项目有关的资料。</w:t>
      </w:r>
    </w:p>
    <w:p w14:paraId="72372A1D">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3.甲方应当按照合同约定支付合同价款。</w:t>
      </w:r>
    </w:p>
    <w:p w14:paraId="358A270B">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4.甲方应当授权胜任本项目的代表，负责与乙方联系。</w:t>
      </w:r>
    </w:p>
    <w:p w14:paraId="242C3B36">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第</w:t>
      </w:r>
      <w:r>
        <w:rPr>
          <w:rFonts w:hint="eastAsia" w:ascii="仿宋" w:hAnsi="仿宋" w:eastAsia="仿宋" w:cs="仿宋"/>
          <w:b/>
          <w:color w:val="000000"/>
          <w:sz w:val="21"/>
          <w:szCs w:val="21"/>
          <w:highlight w:val="none"/>
          <w:lang w:val="en-US" w:eastAsia="zh-CN"/>
        </w:rPr>
        <w:t>八</w:t>
      </w:r>
      <w:r>
        <w:rPr>
          <w:rFonts w:hint="eastAsia" w:ascii="仿宋" w:hAnsi="仿宋" w:eastAsia="仿宋" w:cs="仿宋"/>
          <w:b/>
          <w:color w:val="000000"/>
          <w:sz w:val="21"/>
          <w:szCs w:val="21"/>
          <w:highlight w:val="none"/>
        </w:rPr>
        <w:t xml:space="preserve">条 </w:t>
      </w:r>
      <w:r>
        <w:rPr>
          <w:rFonts w:hint="eastAsia" w:ascii="仿宋" w:hAnsi="仿宋" w:eastAsia="仿宋" w:cs="仿宋"/>
          <w:b/>
          <w:color w:val="000000"/>
          <w:sz w:val="21"/>
          <w:szCs w:val="21"/>
          <w:highlight w:val="none"/>
          <w:lang w:val="en-US" w:eastAsia="zh-CN"/>
        </w:rPr>
        <w:t xml:space="preserve">  </w:t>
      </w:r>
      <w:r>
        <w:rPr>
          <w:rFonts w:hint="eastAsia" w:ascii="仿宋" w:hAnsi="仿宋" w:eastAsia="仿宋" w:cs="仿宋"/>
          <w:b/>
          <w:color w:val="000000"/>
          <w:sz w:val="21"/>
          <w:szCs w:val="21"/>
          <w:highlight w:val="none"/>
        </w:rPr>
        <w:t>乙方的权利和义务</w:t>
      </w:r>
    </w:p>
    <w:p w14:paraId="7B160959">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(一)乙方的权利</w:t>
      </w:r>
    </w:p>
    <w:p w14:paraId="74AEE2A7">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1.乙方在项目实施过程中，发现甲方提供的技术资料、数据或者工作条件等不符合合同的约定或者存在问题的，应及时将情况书面通知甲方。</w:t>
      </w:r>
    </w:p>
    <w:p w14:paraId="1B1836D5">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2.乙方在项目实施过程中，有权对第三人提出与本业务有关的问题进行核对或查问。</w:t>
      </w:r>
    </w:p>
    <w:p w14:paraId="6A3B5CA1">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(二)乙方的义务</w:t>
      </w:r>
    </w:p>
    <w:p w14:paraId="7202ED8A">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1.向甲方提供与本项目有关的资料，包括承担本业务的专业人员名单、工作计划等，并按合同专用条件中约定的范围实施业务</w:t>
      </w:r>
      <w:r>
        <w:rPr>
          <w:rFonts w:hint="eastAsia" w:ascii="仿宋" w:hAnsi="仿宋" w:eastAsia="仿宋" w:cs="仿宋"/>
          <w:bCs/>
          <w:color w:val="000000"/>
          <w:sz w:val="21"/>
          <w:szCs w:val="21"/>
          <w:highlight w:val="none"/>
          <w:lang w:eastAsia="zh-CN"/>
        </w:rPr>
        <w:t>，</w:t>
      </w:r>
      <w:r>
        <w:rPr>
          <w:rFonts w:hint="eastAsia" w:ascii="仿宋" w:hAnsi="仿宋" w:eastAsia="仿宋" w:cs="仿宋"/>
          <w:bCs/>
          <w:color w:val="000000"/>
          <w:sz w:val="21"/>
          <w:szCs w:val="21"/>
          <w:highlight w:val="none"/>
          <w:lang w:val="en-US" w:eastAsia="zh-CN"/>
        </w:rPr>
        <w:t>同时，乙方派驻现场的项目负责人及技术人员必须与投标文件及本合同附件等所列人员一致，如需更换，须提前30日向甲方提出书面申请，并经甲方书面同意，乙方保证更换后的人员资质不得低于原标准，如乙方违反该约定，甲方有权要求乙方进行整改，并要求乙方按照      的标准支付违约金</w:t>
      </w:r>
      <w:r>
        <w:rPr>
          <w:rFonts w:hint="eastAsia" w:ascii="仿宋" w:hAnsi="仿宋" w:eastAsia="仿宋" w:cs="仿宋"/>
          <w:bCs/>
          <w:color w:val="000000"/>
          <w:sz w:val="21"/>
          <w:szCs w:val="21"/>
          <w:highlight w:val="none"/>
        </w:rPr>
        <w:t>。</w:t>
      </w:r>
    </w:p>
    <w:p w14:paraId="1595B0D6">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2.按照合同约定和甲方要求的服务目标提供技术服务，解决技术问题，提供相关成果资料等服务，保证服务质量</w:t>
      </w:r>
      <w:r>
        <w:rPr>
          <w:rFonts w:hint="eastAsia" w:ascii="仿宋" w:hAnsi="仿宋" w:eastAsia="仿宋" w:cs="仿宋"/>
          <w:bCs/>
          <w:color w:val="000000"/>
          <w:sz w:val="21"/>
          <w:szCs w:val="21"/>
          <w:highlight w:val="none"/>
          <w:lang w:eastAsia="zh-CN"/>
        </w:rPr>
        <w:t>，</w:t>
      </w:r>
      <w:r>
        <w:rPr>
          <w:rFonts w:hint="eastAsia" w:ascii="仿宋" w:hAnsi="仿宋" w:eastAsia="仿宋" w:cs="仿宋"/>
          <w:bCs/>
          <w:color w:val="000000"/>
          <w:sz w:val="21"/>
          <w:szCs w:val="21"/>
          <w:highlight w:val="none"/>
          <w:lang w:val="en-US" w:eastAsia="zh-CN"/>
        </w:rPr>
        <w:t>不得以任何方式将该项目转包或者分包</w:t>
      </w:r>
      <w:r>
        <w:rPr>
          <w:rFonts w:hint="eastAsia" w:ascii="仿宋" w:hAnsi="仿宋" w:eastAsia="仿宋" w:cs="仿宋"/>
          <w:bCs/>
          <w:color w:val="000000"/>
          <w:sz w:val="21"/>
          <w:szCs w:val="21"/>
          <w:highlight w:val="none"/>
        </w:rPr>
        <w:t>。</w:t>
      </w:r>
    </w:p>
    <w:p w14:paraId="703A5B76">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3.在履行合同期间或合同规定期限内，不得泄露与本合同规定业务活动有关的保密资料。</w:t>
      </w:r>
    </w:p>
    <w:p w14:paraId="64E12B3C">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4.在项目实施期间，乙方应按照甲方的要求提供培训。同时，针对项目出现较大争议的情况，乙方能有效提出解决争议的方案。</w:t>
      </w:r>
    </w:p>
    <w:p w14:paraId="02547CA7">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5.技术服务存在质量缺陷的，乙方应负责改进和采取补救措施，以保证服务达到约定质量要求;甲方验收不合格的，乙方应进行免费返工，直至通过甲方验收为止，因此造成延误的，由乙方承担违约责任，每逾期一日按</w:t>
      </w:r>
      <w:r>
        <w:rPr>
          <w:rFonts w:hint="eastAsia" w:ascii="仿宋" w:hAnsi="仿宋" w:eastAsia="仿宋" w:cs="仿宋"/>
          <w:bCs/>
          <w:color w:val="000000"/>
          <w:sz w:val="21"/>
          <w:szCs w:val="21"/>
          <w:highlight w:val="none"/>
          <w:lang w:val="en-US" w:eastAsia="zh-CN"/>
        </w:rPr>
        <w:t xml:space="preserve">     </w:t>
      </w:r>
      <w:r>
        <w:rPr>
          <w:rFonts w:hint="eastAsia" w:ascii="仿宋" w:hAnsi="仿宋" w:eastAsia="仿宋" w:cs="仿宋"/>
          <w:bCs/>
          <w:color w:val="000000"/>
          <w:sz w:val="21"/>
          <w:szCs w:val="21"/>
          <w:highlight w:val="none"/>
        </w:rPr>
        <w:t>元向甲方承担违约金，直至通过甲方验收为止。</w:t>
      </w:r>
    </w:p>
    <w:p w14:paraId="45F58009">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default" w:ascii="仿宋" w:hAnsi="仿宋" w:eastAsia="仿宋" w:cs="仿宋"/>
          <w:bCs/>
          <w:color w:val="000000"/>
          <w:sz w:val="21"/>
          <w:szCs w:val="21"/>
          <w:highlight w:val="none"/>
          <w:lang w:val="en-US" w:eastAsia="zh-CN"/>
        </w:rPr>
      </w:pPr>
      <w:r>
        <w:rPr>
          <w:rFonts w:hint="eastAsia" w:ascii="仿宋" w:hAnsi="仿宋" w:eastAsia="仿宋" w:cs="仿宋"/>
          <w:bCs/>
          <w:color w:val="000000"/>
          <w:sz w:val="21"/>
          <w:szCs w:val="21"/>
          <w:highlight w:val="none"/>
          <w:lang w:val="en-US" w:eastAsia="zh-CN"/>
        </w:rPr>
        <w:t>6.乙方在维保期间发生的任何造成乙方人员或第三人人身伤害、安全事故及财产损害等，均由乙方自行承担全部法律责任，与甲方无关。</w:t>
      </w:r>
    </w:p>
    <w:p w14:paraId="4E4F7BAF">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第</w:t>
      </w:r>
      <w:r>
        <w:rPr>
          <w:rFonts w:hint="eastAsia" w:ascii="仿宋" w:hAnsi="仿宋" w:eastAsia="仿宋" w:cs="仿宋"/>
          <w:b/>
          <w:color w:val="000000"/>
          <w:sz w:val="21"/>
          <w:szCs w:val="21"/>
          <w:highlight w:val="none"/>
          <w:lang w:val="en-US" w:eastAsia="zh-CN"/>
        </w:rPr>
        <w:t>九</w:t>
      </w:r>
      <w:r>
        <w:rPr>
          <w:rFonts w:hint="eastAsia" w:ascii="仿宋" w:hAnsi="仿宋" w:eastAsia="仿宋" w:cs="仿宋"/>
          <w:b/>
          <w:color w:val="000000"/>
          <w:sz w:val="21"/>
          <w:szCs w:val="21"/>
          <w:highlight w:val="none"/>
        </w:rPr>
        <w:t>条  违约责任</w:t>
      </w:r>
    </w:p>
    <w:p w14:paraId="195CC4CC">
      <w:pPr>
        <w:adjustRightInd w:val="0"/>
        <w:spacing w:line="360" w:lineRule="auto"/>
        <w:ind w:firstLine="420" w:firstLineChars="200"/>
        <w:jc w:val="left"/>
        <w:textAlignment w:val="baseline"/>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1、甲乙双方必须遵守本合同并执行合同中的各项规定，保证本合同的正常履行。</w:t>
      </w:r>
    </w:p>
    <w:p w14:paraId="68DE1AFF">
      <w:pPr>
        <w:adjustRightInd w:val="0"/>
        <w:spacing w:line="360" w:lineRule="auto"/>
        <w:ind w:firstLine="420" w:firstLineChars="200"/>
        <w:jc w:val="left"/>
        <w:textAlignment w:val="baseline"/>
        <w:rPr>
          <w:rFonts w:hint="eastAsia" w:ascii="仿宋" w:hAnsi="仿宋" w:eastAsia="仿宋" w:cs="仿宋"/>
          <w:bCs/>
          <w:color w:val="000000"/>
          <w:sz w:val="21"/>
          <w:szCs w:val="21"/>
          <w:highlight w:val="none"/>
        </w:rPr>
      </w:pPr>
      <w:r>
        <w:rPr>
          <w:rFonts w:hint="eastAsia" w:ascii="仿宋" w:hAnsi="仿宋" w:eastAsia="仿宋" w:cs="仿宋"/>
          <w:bCs/>
          <w:color w:val="000000"/>
          <w:sz w:val="21"/>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9995841">
      <w:pPr>
        <w:adjustRightInd w:val="0"/>
        <w:spacing w:line="360" w:lineRule="auto"/>
        <w:ind w:firstLine="420" w:firstLineChars="200"/>
        <w:jc w:val="left"/>
        <w:textAlignment w:val="baseline"/>
        <w:rPr>
          <w:rFonts w:hint="default" w:ascii="仿宋" w:hAnsi="仿宋" w:eastAsia="仿宋" w:cs="仿宋"/>
          <w:bCs/>
          <w:color w:val="000000"/>
          <w:sz w:val="21"/>
          <w:szCs w:val="21"/>
          <w:highlight w:val="none"/>
          <w:lang w:val="en-US" w:eastAsia="zh-CN"/>
        </w:rPr>
      </w:pPr>
      <w:r>
        <w:rPr>
          <w:rFonts w:hint="eastAsia" w:ascii="仿宋" w:hAnsi="仿宋" w:eastAsia="仿宋" w:cs="仿宋"/>
          <w:bCs/>
          <w:color w:val="000000"/>
          <w:sz w:val="21"/>
          <w:szCs w:val="21"/>
          <w:highlight w:val="none"/>
          <w:lang w:val="en-US" w:eastAsia="zh-CN"/>
        </w:rPr>
        <w:t>3.如乙方未按照约定频次进行巡查的，甲方有权按照    元/次的标准支付违约金。</w:t>
      </w:r>
    </w:p>
    <w:p w14:paraId="0F4D2721">
      <w:pPr>
        <w:adjustRightInd w:val="0"/>
        <w:spacing w:line="360" w:lineRule="auto"/>
        <w:ind w:firstLine="420" w:firstLineChars="200"/>
        <w:jc w:val="left"/>
        <w:textAlignment w:val="baseline"/>
        <w:rPr>
          <w:rFonts w:hint="default" w:ascii="仿宋" w:hAnsi="仿宋" w:eastAsia="仿宋" w:cs="仿宋"/>
          <w:bCs/>
          <w:color w:val="000000"/>
          <w:sz w:val="21"/>
          <w:szCs w:val="21"/>
          <w:highlight w:val="none"/>
          <w:lang w:val="en-US" w:eastAsia="zh-CN"/>
        </w:rPr>
      </w:pPr>
      <w:r>
        <w:rPr>
          <w:rFonts w:hint="eastAsia" w:ascii="仿宋" w:hAnsi="仿宋" w:eastAsia="仿宋" w:cs="仿宋"/>
          <w:bCs/>
          <w:color w:val="000000"/>
          <w:sz w:val="21"/>
          <w:szCs w:val="21"/>
          <w:highlight w:val="none"/>
          <w:lang w:val="en-US" w:eastAsia="zh-CN"/>
        </w:rPr>
        <w:t xml:space="preserve">4.乙方违反本合同项下其他约定，甲方有权要求乙方接受整改，每延迟一天，甲方有权按照      的标准支付违约金。   </w:t>
      </w:r>
    </w:p>
    <w:p w14:paraId="6CCB3761">
      <w:pPr>
        <w:adjustRightInd w:val="0"/>
        <w:spacing w:line="360" w:lineRule="auto"/>
        <w:ind w:firstLine="420" w:firstLineChars="200"/>
        <w:jc w:val="left"/>
        <w:textAlignment w:val="baseline"/>
        <w:rPr>
          <w:rFonts w:hint="eastAsia" w:ascii="仿宋" w:hAnsi="仿宋" w:eastAsia="仿宋" w:cs="仿宋"/>
          <w:bCs/>
          <w:color w:val="000000"/>
          <w:sz w:val="21"/>
          <w:szCs w:val="21"/>
          <w:highlight w:val="none"/>
          <w:lang w:val="en-US" w:eastAsia="zh-CN"/>
        </w:rPr>
      </w:pPr>
      <w:r>
        <w:rPr>
          <w:rFonts w:hint="eastAsia" w:ascii="仿宋" w:hAnsi="仿宋" w:eastAsia="仿宋" w:cs="仿宋"/>
          <w:bCs/>
          <w:color w:val="000000"/>
          <w:sz w:val="21"/>
          <w:szCs w:val="21"/>
          <w:highlight w:val="none"/>
          <w:lang w:val="en-US" w:eastAsia="zh-CN"/>
        </w:rPr>
        <w:t>5.如乙方在服务期内累计   次考核不合格，或收到甲方整改通知后    次拒绝整改的，甲方有权单方面解除合同，并要求乙方按照     的标准支付违约金。</w:t>
      </w:r>
    </w:p>
    <w:p w14:paraId="5D9EA564">
      <w:pPr>
        <w:adjustRightInd w:val="0"/>
        <w:spacing w:line="360" w:lineRule="auto"/>
        <w:ind w:firstLine="420" w:firstLineChars="200"/>
        <w:jc w:val="left"/>
        <w:textAlignment w:val="baseline"/>
        <w:rPr>
          <w:rFonts w:hint="default" w:ascii="仿宋" w:hAnsi="仿宋" w:eastAsia="仿宋" w:cs="仿宋"/>
          <w:bCs/>
          <w:color w:val="000000"/>
          <w:sz w:val="21"/>
          <w:szCs w:val="21"/>
          <w:highlight w:val="none"/>
          <w:lang w:val="en-US" w:eastAsia="zh-CN"/>
        </w:rPr>
      </w:pPr>
      <w:r>
        <w:rPr>
          <w:rFonts w:hint="eastAsia" w:ascii="仿宋" w:hAnsi="仿宋" w:eastAsia="仿宋" w:cs="仿宋"/>
          <w:bCs/>
          <w:color w:val="000000"/>
          <w:sz w:val="21"/>
          <w:szCs w:val="21"/>
          <w:highlight w:val="none"/>
          <w:lang w:val="en-US" w:eastAsia="zh-CN"/>
        </w:rPr>
        <w:t>6.如甲方迟延付款，乙方同期给付甲方     日的宽限期，宽限期满后，乙方有权要求甲方按照合同订立时全国银行间同业拆借中心公布的一年期贷款市场报价利率支付逾期付款违约金。</w:t>
      </w:r>
    </w:p>
    <w:p w14:paraId="266944A9">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仿宋" w:hAnsi="仿宋" w:eastAsia="仿宋" w:cs="仿宋"/>
          <w:b/>
          <w:color w:val="000000"/>
          <w:sz w:val="21"/>
          <w:szCs w:val="21"/>
          <w:highlight w:val="none"/>
          <w:lang w:val="en-US" w:eastAsia="zh-CN"/>
        </w:rPr>
      </w:pPr>
      <w:r>
        <w:rPr>
          <w:rFonts w:hint="eastAsia" w:ascii="仿宋" w:hAnsi="仿宋" w:eastAsia="仿宋" w:cs="仿宋"/>
          <w:b/>
          <w:color w:val="000000"/>
          <w:sz w:val="21"/>
          <w:szCs w:val="21"/>
          <w:highlight w:val="none"/>
        </w:rPr>
        <w:t xml:space="preserve">第十条  </w:t>
      </w:r>
      <w:r>
        <w:rPr>
          <w:rFonts w:hint="eastAsia" w:ascii="仿宋" w:hAnsi="仿宋" w:eastAsia="仿宋" w:cs="仿宋"/>
          <w:b/>
          <w:color w:val="000000"/>
          <w:sz w:val="21"/>
          <w:szCs w:val="21"/>
          <w:highlight w:val="none"/>
          <w:lang w:val="en-US" w:eastAsia="zh-CN"/>
        </w:rPr>
        <w:t>验收</w:t>
      </w:r>
    </w:p>
    <w:p w14:paraId="216DC79F">
      <w:pPr>
        <w:adjustRightInd w:val="0"/>
        <w:spacing w:line="360" w:lineRule="auto"/>
        <w:ind w:firstLine="420" w:firstLineChars="200"/>
        <w:jc w:val="left"/>
        <w:textAlignment w:val="baseline"/>
        <w:rPr>
          <w:rFonts w:hint="eastAsia" w:ascii="仿宋" w:hAnsi="仿宋" w:eastAsia="仿宋" w:cs="仿宋"/>
          <w:bCs/>
          <w:color w:val="000000"/>
          <w:sz w:val="21"/>
          <w:szCs w:val="21"/>
          <w:highlight w:val="none"/>
          <w:lang w:val="en-US" w:eastAsia="zh-CN"/>
        </w:rPr>
      </w:pPr>
      <w:r>
        <w:rPr>
          <w:rFonts w:hint="eastAsia" w:ascii="仿宋" w:hAnsi="仿宋" w:eastAsia="仿宋" w:cs="仿宋"/>
          <w:bCs/>
          <w:color w:val="000000"/>
          <w:sz w:val="21"/>
          <w:szCs w:val="21"/>
          <w:highlight w:val="none"/>
          <w:lang w:val="en-US" w:eastAsia="zh-CN"/>
        </w:rPr>
        <w:t>1.成交供应商按照项目需求完成维保期内全部运维内容。</w:t>
      </w:r>
    </w:p>
    <w:p w14:paraId="6BADAEBB">
      <w:pPr>
        <w:adjustRightInd w:val="0"/>
        <w:spacing w:line="360" w:lineRule="auto"/>
        <w:ind w:firstLine="420" w:firstLineChars="200"/>
        <w:jc w:val="left"/>
        <w:textAlignment w:val="baseline"/>
        <w:rPr>
          <w:rFonts w:hint="eastAsia" w:ascii="仿宋" w:hAnsi="仿宋" w:eastAsia="仿宋" w:cs="仿宋"/>
          <w:bCs/>
          <w:color w:val="000000"/>
          <w:sz w:val="21"/>
          <w:szCs w:val="21"/>
          <w:highlight w:val="none"/>
          <w:lang w:val="en-US" w:eastAsia="zh-CN"/>
        </w:rPr>
      </w:pPr>
      <w:r>
        <w:rPr>
          <w:rFonts w:hint="eastAsia" w:ascii="仿宋" w:hAnsi="仿宋" w:eastAsia="仿宋" w:cs="仿宋"/>
          <w:bCs/>
          <w:color w:val="000000"/>
          <w:sz w:val="21"/>
          <w:szCs w:val="21"/>
          <w:highlight w:val="none"/>
          <w:lang w:val="en-US" w:eastAsia="zh-CN"/>
        </w:rPr>
        <w:t>2.验收依据:</w:t>
      </w:r>
    </w:p>
    <w:p w14:paraId="746F0CAE">
      <w:pPr>
        <w:adjustRightInd w:val="0"/>
        <w:spacing w:line="360" w:lineRule="auto"/>
        <w:ind w:firstLine="420" w:firstLineChars="200"/>
        <w:jc w:val="left"/>
        <w:textAlignment w:val="baseline"/>
        <w:rPr>
          <w:rFonts w:hint="eastAsia" w:ascii="仿宋" w:hAnsi="仿宋" w:eastAsia="仿宋" w:cs="仿宋"/>
          <w:bCs/>
          <w:color w:val="000000"/>
          <w:sz w:val="21"/>
          <w:szCs w:val="21"/>
          <w:highlight w:val="none"/>
          <w:lang w:val="en-US" w:eastAsia="zh-CN"/>
        </w:rPr>
      </w:pPr>
      <w:r>
        <w:rPr>
          <w:rFonts w:hint="eastAsia" w:ascii="仿宋" w:hAnsi="仿宋" w:eastAsia="仿宋" w:cs="仿宋"/>
          <w:bCs/>
          <w:color w:val="000000"/>
          <w:sz w:val="21"/>
          <w:szCs w:val="21"/>
          <w:highlight w:val="none"/>
          <w:lang w:val="en-US" w:eastAsia="zh-CN"/>
        </w:rPr>
        <w:t>(1)合同文本;</w:t>
      </w:r>
    </w:p>
    <w:p w14:paraId="5A1FC486">
      <w:pPr>
        <w:adjustRightInd w:val="0"/>
        <w:spacing w:line="360" w:lineRule="auto"/>
        <w:ind w:firstLine="420" w:firstLineChars="200"/>
        <w:jc w:val="left"/>
        <w:textAlignment w:val="baseline"/>
        <w:rPr>
          <w:rFonts w:hint="eastAsia" w:ascii="仿宋" w:hAnsi="仿宋" w:eastAsia="仿宋" w:cs="仿宋"/>
          <w:bCs/>
          <w:color w:val="000000"/>
          <w:sz w:val="21"/>
          <w:szCs w:val="21"/>
          <w:highlight w:val="none"/>
          <w:lang w:val="en-US" w:eastAsia="zh-CN"/>
        </w:rPr>
      </w:pPr>
      <w:r>
        <w:rPr>
          <w:rFonts w:hint="eastAsia" w:ascii="仿宋" w:hAnsi="仿宋" w:eastAsia="仿宋" w:cs="仿宋"/>
          <w:bCs/>
          <w:color w:val="000000"/>
          <w:sz w:val="21"/>
          <w:szCs w:val="21"/>
          <w:highlight w:val="none"/>
          <w:lang w:val="en-US" w:eastAsia="zh-CN"/>
        </w:rPr>
        <w:t>(2) 国家有关的验收标准及规范;</w:t>
      </w:r>
    </w:p>
    <w:p w14:paraId="698B4FB1">
      <w:pPr>
        <w:adjustRightInd w:val="0"/>
        <w:spacing w:line="360" w:lineRule="auto"/>
        <w:ind w:firstLine="420" w:firstLineChars="200"/>
        <w:jc w:val="left"/>
        <w:textAlignment w:val="baseline"/>
        <w:rPr>
          <w:rFonts w:hint="eastAsia" w:ascii="仿宋" w:hAnsi="仿宋" w:eastAsia="仿宋" w:cs="仿宋"/>
          <w:bCs/>
          <w:color w:val="000000"/>
          <w:sz w:val="21"/>
          <w:szCs w:val="21"/>
          <w:highlight w:val="none"/>
          <w:lang w:val="en-US" w:eastAsia="zh-CN"/>
        </w:rPr>
      </w:pPr>
      <w:r>
        <w:rPr>
          <w:rFonts w:hint="eastAsia" w:ascii="仿宋" w:hAnsi="仿宋" w:eastAsia="仿宋" w:cs="仿宋"/>
          <w:bCs/>
          <w:color w:val="000000"/>
          <w:sz w:val="21"/>
          <w:szCs w:val="21"/>
          <w:highlight w:val="none"/>
          <w:lang w:val="en-US" w:eastAsia="zh-CN"/>
        </w:rPr>
        <w:t>(3)招标文件;</w:t>
      </w:r>
    </w:p>
    <w:p w14:paraId="344E95F9">
      <w:pPr>
        <w:adjustRightInd w:val="0"/>
        <w:spacing w:line="360" w:lineRule="auto"/>
        <w:ind w:firstLine="420" w:firstLineChars="200"/>
        <w:jc w:val="left"/>
        <w:textAlignment w:val="baseline"/>
        <w:rPr>
          <w:rFonts w:hint="eastAsia" w:ascii="仿宋" w:hAnsi="仿宋" w:eastAsia="仿宋" w:cs="仿宋"/>
          <w:bCs/>
          <w:color w:val="000000"/>
          <w:sz w:val="21"/>
          <w:szCs w:val="21"/>
          <w:highlight w:val="none"/>
          <w:lang w:val="en-US" w:eastAsia="zh-CN"/>
        </w:rPr>
      </w:pPr>
      <w:r>
        <w:rPr>
          <w:rFonts w:hint="eastAsia" w:ascii="仿宋" w:hAnsi="仿宋" w:eastAsia="仿宋" w:cs="仿宋"/>
          <w:bCs/>
          <w:color w:val="000000"/>
          <w:sz w:val="21"/>
          <w:szCs w:val="21"/>
          <w:highlight w:val="none"/>
          <w:lang w:val="en-US" w:eastAsia="zh-CN"/>
        </w:rPr>
        <w:t>(4)投标文件。</w:t>
      </w:r>
    </w:p>
    <w:p w14:paraId="038B3461">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仿宋" w:hAnsi="仿宋" w:eastAsia="仿宋" w:cs="仿宋"/>
          <w:b/>
          <w:color w:val="000000"/>
          <w:sz w:val="21"/>
          <w:szCs w:val="21"/>
          <w:highlight w:val="none"/>
          <w:lang w:val="en-US" w:eastAsia="zh-CN"/>
        </w:rPr>
      </w:pPr>
      <w:r>
        <w:rPr>
          <w:rFonts w:hint="eastAsia" w:ascii="仿宋" w:hAnsi="仿宋" w:eastAsia="仿宋" w:cs="仿宋"/>
          <w:b/>
          <w:color w:val="000000"/>
          <w:sz w:val="21"/>
          <w:szCs w:val="21"/>
          <w:highlight w:val="none"/>
          <w:lang w:val="en-US" w:eastAsia="zh-CN"/>
        </w:rPr>
        <w:t>第十一条 技术服务要求</w:t>
      </w:r>
    </w:p>
    <w:p w14:paraId="69FD69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000000"/>
          <w:sz w:val="21"/>
          <w:szCs w:val="21"/>
          <w:highlight w:val="none"/>
          <w:lang w:val="en-US" w:eastAsia="zh-CN"/>
        </w:rPr>
      </w:pPr>
      <w:r>
        <w:rPr>
          <w:rFonts w:hint="eastAsia" w:ascii="仿宋" w:hAnsi="仿宋" w:eastAsia="仿宋" w:cs="仿宋"/>
          <w:bCs/>
          <w:color w:val="000000"/>
          <w:sz w:val="21"/>
          <w:szCs w:val="21"/>
          <w:highlight w:val="none"/>
          <w:lang w:val="en-US" w:eastAsia="zh-CN"/>
        </w:rPr>
        <w:t>服务期内提供项目维保。服务期内乙方须提供全天7*24小时电话咨询服务及远程技术诊断、支持，并绝对有义务保证相关电话的通信通畅，所有技术问题将在2个小时之内进行技术响应。</w:t>
      </w:r>
    </w:p>
    <w:p w14:paraId="56A1147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Cs/>
          <w:color w:val="000000"/>
          <w:sz w:val="21"/>
          <w:szCs w:val="21"/>
          <w:highlight w:val="none"/>
          <w:lang w:val="en-US" w:eastAsia="zh-CN"/>
        </w:rPr>
      </w:pPr>
      <w:r>
        <w:rPr>
          <w:rFonts w:hint="eastAsia" w:ascii="仿宋" w:hAnsi="仿宋" w:eastAsia="仿宋" w:cs="仿宋"/>
          <w:bCs/>
          <w:color w:val="000000"/>
          <w:sz w:val="21"/>
          <w:szCs w:val="21"/>
          <w:highlight w:val="none"/>
          <w:lang w:val="en-US" w:eastAsia="zh-CN"/>
        </w:rPr>
        <w:t>如乙方未按要求履行本合同约定的责任和义务，甲方有权暂停支付乙方的合同款项，由乙方承担违约责任，并赔偿甲方的经济损失。同时，甲方有权另行委托其他单位解决处理，由此产生的费用由乙方承担。</w:t>
      </w:r>
    </w:p>
    <w:p w14:paraId="5BD1935F">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第十</w:t>
      </w:r>
      <w:r>
        <w:rPr>
          <w:rFonts w:hint="eastAsia" w:ascii="仿宋" w:hAnsi="仿宋" w:eastAsia="仿宋" w:cs="仿宋"/>
          <w:b/>
          <w:color w:val="000000"/>
          <w:sz w:val="21"/>
          <w:szCs w:val="21"/>
          <w:highlight w:val="none"/>
          <w:lang w:val="en-US" w:eastAsia="zh-CN"/>
        </w:rPr>
        <w:t>二</w:t>
      </w:r>
      <w:r>
        <w:rPr>
          <w:rFonts w:hint="eastAsia" w:ascii="仿宋" w:hAnsi="仿宋" w:eastAsia="仿宋" w:cs="仿宋"/>
          <w:b/>
          <w:color w:val="000000"/>
          <w:sz w:val="21"/>
          <w:szCs w:val="21"/>
          <w:highlight w:val="none"/>
        </w:rPr>
        <w:t>条 不可抗力事件处理</w:t>
      </w:r>
    </w:p>
    <w:p w14:paraId="0CD32BBC">
      <w:pPr>
        <w:tabs>
          <w:tab w:val="left" w:pos="0"/>
        </w:tabs>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1、在合同有效期内，任何一方因不可抗力事件导致不能履行合同，则合同履行期可延长，其延长期与不可抗力影响期相同。</w:t>
      </w:r>
    </w:p>
    <w:p w14:paraId="68DA49CE">
      <w:pPr>
        <w:tabs>
          <w:tab w:val="left" w:pos="0"/>
        </w:tabs>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2、不可抗力事件发生后，应立即通知对方，并寄送有关权威机构出具的证明。</w:t>
      </w:r>
    </w:p>
    <w:p w14:paraId="53D033D6">
      <w:pPr>
        <w:spacing w:line="360" w:lineRule="auto"/>
        <w:ind w:left="426"/>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3、不可抗力事件延续XX天以上，双方应通过友好协商，确定是否继续履行合同。</w:t>
      </w:r>
    </w:p>
    <w:p w14:paraId="74536CDC">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仿宋" w:hAnsi="仿宋" w:eastAsia="仿宋" w:cs="仿宋"/>
          <w:b/>
          <w:color w:val="000000"/>
          <w:sz w:val="21"/>
          <w:szCs w:val="21"/>
          <w:highlight w:val="none"/>
        </w:rPr>
      </w:pPr>
      <w:bookmarkStart w:id="38" w:name="_Toc241833908"/>
      <w:bookmarkStart w:id="39" w:name="_Toc212019599"/>
      <w:bookmarkStart w:id="40" w:name="_Toc239233919"/>
      <w:bookmarkStart w:id="41" w:name="_Toc239568423"/>
      <w:bookmarkStart w:id="42" w:name="_Toc211854454"/>
      <w:bookmarkStart w:id="43" w:name="_Toc251768867"/>
      <w:bookmarkStart w:id="44" w:name="_Toc286993792"/>
      <w:bookmarkStart w:id="45" w:name="_Toc247334846"/>
      <w:bookmarkStart w:id="46" w:name="_Toc211911353"/>
      <w:bookmarkStart w:id="47" w:name="_Toc225670756"/>
      <w:bookmarkStart w:id="48" w:name="_Toc225654649"/>
      <w:bookmarkStart w:id="49" w:name="_Toc238984980"/>
      <w:bookmarkStart w:id="50" w:name="_Toc232492933"/>
      <w:bookmarkStart w:id="51" w:name="_Toc237145411"/>
      <w:bookmarkStart w:id="52" w:name="_Toc225244857"/>
      <w:bookmarkStart w:id="53" w:name="_Toc185395254"/>
      <w:r>
        <w:rPr>
          <w:rFonts w:hint="eastAsia" w:ascii="仿宋" w:hAnsi="仿宋" w:eastAsia="仿宋" w:cs="仿宋"/>
          <w:b/>
          <w:color w:val="000000"/>
          <w:sz w:val="21"/>
          <w:szCs w:val="21"/>
          <w:highlight w:val="none"/>
        </w:rPr>
        <w:t>第十</w:t>
      </w:r>
      <w:r>
        <w:rPr>
          <w:rFonts w:hint="eastAsia" w:ascii="仿宋" w:hAnsi="仿宋" w:eastAsia="仿宋" w:cs="仿宋"/>
          <w:b/>
          <w:color w:val="000000"/>
          <w:sz w:val="21"/>
          <w:szCs w:val="21"/>
          <w:highlight w:val="none"/>
          <w:lang w:val="en-US" w:eastAsia="zh-CN"/>
        </w:rPr>
        <w:t>三</w:t>
      </w:r>
      <w:r>
        <w:rPr>
          <w:rFonts w:hint="eastAsia" w:ascii="仿宋" w:hAnsi="仿宋" w:eastAsia="仿宋" w:cs="仿宋"/>
          <w:b/>
          <w:color w:val="000000"/>
          <w:sz w:val="21"/>
          <w:szCs w:val="21"/>
          <w:highlight w:val="none"/>
        </w:rPr>
        <w:t>条  合同的变更和终止</w:t>
      </w:r>
    </w:p>
    <w:p w14:paraId="11406D28">
      <w:pPr>
        <w:widowControl/>
        <w:spacing w:line="360" w:lineRule="auto"/>
        <w:ind w:firstLine="420" w:firstLineChars="200"/>
        <w:jc w:val="left"/>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rPr>
        <w:t>除《中华人民共和国政府采购法》第49条、第50条第二款规定的情形外，本合同一经签订，甲乙双方不得擅自变更、中止或终止合同。</w:t>
      </w:r>
    </w:p>
    <w:p w14:paraId="3B292281">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第十</w:t>
      </w:r>
      <w:r>
        <w:rPr>
          <w:rFonts w:hint="eastAsia" w:ascii="仿宋" w:hAnsi="仿宋" w:eastAsia="仿宋" w:cs="仿宋"/>
          <w:b/>
          <w:color w:val="000000"/>
          <w:sz w:val="21"/>
          <w:szCs w:val="21"/>
          <w:highlight w:val="none"/>
          <w:lang w:val="en-US" w:eastAsia="zh-CN"/>
        </w:rPr>
        <w:t>四</w:t>
      </w:r>
      <w:r>
        <w:rPr>
          <w:rFonts w:hint="eastAsia" w:ascii="仿宋" w:hAnsi="仿宋" w:eastAsia="仿宋" w:cs="仿宋"/>
          <w:b/>
          <w:color w:val="000000"/>
          <w:sz w:val="21"/>
          <w:szCs w:val="21"/>
          <w:highlight w:val="none"/>
        </w:rPr>
        <w:t>条  解决合同纠纷的方式</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3B0E283">
      <w:pPr>
        <w:pStyle w:val="9"/>
        <w:spacing w:line="360" w:lineRule="auto"/>
        <w:ind w:firstLine="480"/>
        <w:rPr>
          <w:rFonts w:hint="eastAsia" w:ascii="仿宋" w:hAnsi="仿宋" w:eastAsia="仿宋" w:cs="仿宋"/>
          <w:color w:val="000000"/>
          <w:kern w:val="0"/>
          <w:sz w:val="21"/>
          <w:szCs w:val="21"/>
          <w:highlight w:val="none"/>
        </w:rPr>
      </w:pPr>
      <w:r>
        <w:rPr>
          <w:rFonts w:hint="eastAsia" w:ascii="仿宋" w:hAnsi="仿宋" w:eastAsia="仿宋" w:cs="仿宋"/>
          <w:color w:val="000000"/>
          <w:sz w:val="21"/>
          <w:szCs w:val="21"/>
          <w:highlight w:val="none"/>
        </w:rPr>
        <w:t>1、在执行本合同中发生的或与本合同有关的争端，双方应通过友好协商解决，经协商在XX天内不能达成协议时，</w:t>
      </w:r>
      <w:r>
        <w:rPr>
          <w:rFonts w:hint="eastAsia" w:ascii="仿宋" w:hAnsi="仿宋" w:eastAsia="仿宋" w:cs="仿宋"/>
          <w:color w:val="000000"/>
          <w:kern w:val="0"/>
          <w:sz w:val="21"/>
          <w:szCs w:val="21"/>
          <w:highlight w:val="none"/>
        </w:rPr>
        <w:t>则采取以下第</w:t>
      </w:r>
      <w:r>
        <w:rPr>
          <w:rFonts w:hint="eastAsia" w:ascii="仿宋" w:hAnsi="仿宋" w:eastAsia="仿宋" w:cs="仿宋"/>
          <w:color w:val="000000"/>
          <w:kern w:val="0"/>
          <w:sz w:val="21"/>
          <w:szCs w:val="21"/>
          <w:highlight w:val="none"/>
          <w:u w:val="single"/>
          <w:lang w:val="en-US" w:eastAsia="zh-CN"/>
        </w:rPr>
        <w:t xml:space="preserve">  1  </w:t>
      </w:r>
      <w:r>
        <w:rPr>
          <w:rFonts w:hint="eastAsia" w:ascii="仿宋" w:hAnsi="仿宋" w:eastAsia="仿宋" w:cs="仿宋"/>
          <w:color w:val="000000"/>
          <w:kern w:val="0"/>
          <w:sz w:val="21"/>
          <w:szCs w:val="21"/>
          <w:highlight w:val="none"/>
        </w:rPr>
        <w:t>种方式解决争议：</w:t>
      </w:r>
    </w:p>
    <w:p w14:paraId="71FA6D89">
      <w:pPr>
        <w:pStyle w:val="9"/>
        <w:spacing w:line="360" w:lineRule="auto"/>
        <w:ind w:firstLine="480"/>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rPr>
        <w:t>（1）向甲方所在地有管辖权的人民法院提起诉讼；</w:t>
      </w:r>
    </w:p>
    <w:p w14:paraId="43DE4A38">
      <w:pPr>
        <w:pStyle w:val="9"/>
        <w:spacing w:line="360" w:lineRule="auto"/>
        <w:ind w:firstLine="480"/>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rPr>
        <w:t>（2）向</w:t>
      </w:r>
      <w:r>
        <w:rPr>
          <w:rFonts w:hint="eastAsia" w:ascii="仿宋" w:hAnsi="仿宋" w:eastAsia="仿宋" w:cs="仿宋"/>
          <w:color w:val="000000"/>
          <w:kern w:val="0"/>
          <w:sz w:val="21"/>
          <w:szCs w:val="21"/>
          <w:highlight w:val="none"/>
          <w:u w:val="single"/>
          <w:lang w:val="en-US" w:eastAsia="zh-CN"/>
        </w:rPr>
        <w:t xml:space="preserve">     </w:t>
      </w:r>
      <w:r>
        <w:rPr>
          <w:rFonts w:hint="eastAsia" w:ascii="仿宋" w:hAnsi="仿宋" w:eastAsia="仿宋" w:cs="仿宋"/>
          <w:color w:val="000000"/>
          <w:kern w:val="0"/>
          <w:sz w:val="21"/>
          <w:szCs w:val="21"/>
          <w:highlight w:val="none"/>
        </w:rPr>
        <w:t>仲裁委员会按其仲裁规则申请仲裁。</w:t>
      </w:r>
    </w:p>
    <w:p w14:paraId="2F31A2CF">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第十</w:t>
      </w:r>
      <w:r>
        <w:rPr>
          <w:rFonts w:hint="eastAsia" w:ascii="仿宋" w:hAnsi="仿宋" w:eastAsia="仿宋" w:cs="仿宋"/>
          <w:b/>
          <w:color w:val="000000"/>
          <w:sz w:val="21"/>
          <w:szCs w:val="21"/>
          <w:highlight w:val="none"/>
          <w:lang w:val="en-US" w:eastAsia="zh-CN"/>
        </w:rPr>
        <w:t>五</w:t>
      </w:r>
      <w:r>
        <w:rPr>
          <w:rFonts w:hint="eastAsia" w:ascii="仿宋" w:hAnsi="仿宋" w:eastAsia="仿宋" w:cs="仿宋"/>
          <w:b/>
          <w:color w:val="000000"/>
          <w:sz w:val="21"/>
          <w:szCs w:val="21"/>
          <w:highlight w:val="none"/>
        </w:rPr>
        <w:t>条  合同</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hint="eastAsia" w:ascii="仿宋" w:hAnsi="仿宋" w:eastAsia="仿宋" w:cs="仿宋"/>
          <w:b/>
          <w:color w:val="000000"/>
          <w:sz w:val="21"/>
          <w:szCs w:val="21"/>
          <w:highlight w:val="none"/>
        </w:rPr>
        <w:t>生效及其他</w:t>
      </w:r>
    </w:p>
    <w:p w14:paraId="416389CD">
      <w:pPr>
        <w:pStyle w:val="10"/>
        <w:spacing w:line="360" w:lineRule="auto"/>
        <w:ind w:firstLine="48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1、合同经双方法定代表人（单位负责人）或授权委托代理人签字并加盖单位公章并由采购代理机构盖章后生效。</w:t>
      </w:r>
    </w:p>
    <w:p w14:paraId="45067E3E">
      <w:pPr>
        <w:pStyle w:val="10"/>
        <w:spacing w:line="360" w:lineRule="auto"/>
        <w:ind w:firstLine="48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29ACB6F5">
      <w:pPr>
        <w:pStyle w:val="10"/>
        <w:spacing w:line="360" w:lineRule="auto"/>
        <w:ind w:firstLine="48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3、本合同一式陆份，自双方签章之日起起效。甲方贰份，乙方贰份，政府采购代理机构壹份，同级财政部门备案壹份，具有同等法律效力。</w:t>
      </w:r>
    </w:p>
    <w:p w14:paraId="5D013349">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第十</w:t>
      </w:r>
      <w:r>
        <w:rPr>
          <w:rFonts w:hint="eastAsia" w:ascii="仿宋" w:hAnsi="仿宋" w:eastAsia="仿宋" w:cs="仿宋"/>
          <w:b/>
          <w:color w:val="000000"/>
          <w:sz w:val="21"/>
          <w:szCs w:val="21"/>
          <w:highlight w:val="none"/>
          <w:lang w:val="en-US" w:eastAsia="zh-CN"/>
        </w:rPr>
        <w:t>六</w:t>
      </w:r>
      <w:r>
        <w:rPr>
          <w:rFonts w:hint="eastAsia" w:ascii="仿宋" w:hAnsi="仿宋" w:eastAsia="仿宋" w:cs="仿宋"/>
          <w:b/>
          <w:color w:val="000000"/>
          <w:sz w:val="21"/>
          <w:szCs w:val="21"/>
          <w:highlight w:val="none"/>
        </w:rPr>
        <w:t>条  附件</w:t>
      </w:r>
    </w:p>
    <w:p w14:paraId="0FCC8816">
      <w:pPr>
        <w:snapToGrid w:val="0"/>
        <w:spacing w:line="360" w:lineRule="auto"/>
        <w:ind w:firstLine="420" w:firstLineChars="20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1、项目</w:t>
      </w:r>
      <w:r>
        <w:rPr>
          <w:rFonts w:hint="eastAsia" w:ascii="仿宋" w:hAnsi="仿宋" w:eastAsia="仿宋" w:cs="仿宋"/>
          <w:color w:val="000000"/>
          <w:sz w:val="21"/>
          <w:szCs w:val="21"/>
          <w:highlight w:val="none"/>
          <w:lang w:eastAsia="zh-CN"/>
        </w:rPr>
        <w:t>招标</w:t>
      </w:r>
      <w:r>
        <w:rPr>
          <w:rFonts w:hint="eastAsia" w:ascii="仿宋" w:hAnsi="仿宋" w:eastAsia="仿宋" w:cs="仿宋"/>
          <w:color w:val="000000"/>
          <w:sz w:val="21"/>
          <w:szCs w:val="21"/>
          <w:highlight w:val="none"/>
        </w:rPr>
        <w:t>文件</w:t>
      </w:r>
    </w:p>
    <w:p w14:paraId="5CD5E0FA">
      <w:pPr>
        <w:snapToGrid w:val="0"/>
        <w:spacing w:line="360" w:lineRule="auto"/>
        <w:ind w:firstLine="420" w:firstLineChars="20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2、项目修改澄清文件</w:t>
      </w:r>
    </w:p>
    <w:p w14:paraId="23853A57">
      <w:pPr>
        <w:snapToGrid w:val="0"/>
        <w:spacing w:line="360" w:lineRule="auto"/>
        <w:ind w:firstLine="420" w:firstLineChars="20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3、项目</w:t>
      </w:r>
      <w:r>
        <w:rPr>
          <w:rFonts w:hint="eastAsia" w:ascii="仿宋" w:hAnsi="仿宋" w:eastAsia="仿宋" w:cs="仿宋"/>
          <w:color w:val="000000"/>
          <w:sz w:val="21"/>
          <w:szCs w:val="21"/>
          <w:highlight w:val="none"/>
          <w:lang w:eastAsia="zh-CN"/>
        </w:rPr>
        <w:t>投标</w:t>
      </w:r>
      <w:r>
        <w:rPr>
          <w:rFonts w:hint="eastAsia" w:ascii="仿宋" w:hAnsi="仿宋" w:eastAsia="仿宋" w:cs="仿宋"/>
          <w:color w:val="000000"/>
          <w:sz w:val="21"/>
          <w:szCs w:val="21"/>
          <w:highlight w:val="none"/>
        </w:rPr>
        <w:t>文件</w:t>
      </w:r>
    </w:p>
    <w:p w14:paraId="280EA35D">
      <w:pPr>
        <w:snapToGrid w:val="0"/>
        <w:spacing w:line="360" w:lineRule="auto"/>
        <w:ind w:firstLine="420" w:firstLineChars="20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4、</w:t>
      </w:r>
      <w:r>
        <w:rPr>
          <w:rFonts w:hint="eastAsia" w:ascii="仿宋" w:hAnsi="仿宋" w:eastAsia="仿宋" w:cs="仿宋"/>
          <w:color w:val="000000"/>
          <w:sz w:val="21"/>
          <w:szCs w:val="21"/>
          <w:highlight w:val="none"/>
          <w:lang w:eastAsia="zh-CN"/>
        </w:rPr>
        <w:t>中标</w:t>
      </w:r>
      <w:r>
        <w:rPr>
          <w:rFonts w:hint="eastAsia" w:ascii="仿宋" w:hAnsi="仿宋" w:eastAsia="仿宋" w:cs="仿宋"/>
          <w:color w:val="000000"/>
          <w:sz w:val="21"/>
          <w:szCs w:val="21"/>
          <w:highlight w:val="none"/>
        </w:rPr>
        <w:t>通知书</w:t>
      </w:r>
    </w:p>
    <w:p w14:paraId="780D06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5、其他</w:t>
      </w:r>
    </w:p>
    <w:p w14:paraId="2521494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 xml:space="preserve">甲方：   （盖章）   </w:t>
      </w:r>
      <w:r>
        <w:rPr>
          <w:rFonts w:hint="eastAsia" w:ascii="仿宋" w:hAnsi="仿宋" w:eastAsia="仿宋" w:cs="仿宋"/>
          <w:color w:val="000000"/>
          <w:sz w:val="21"/>
          <w:szCs w:val="21"/>
          <w:highlight w:val="none"/>
        </w:rPr>
        <w:tab/>
      </w:r>
      <w:r>
        <w:rPr>
          <w:rFonts w:hint="eastAsia" w:ascii="仿宋" w:hAnsi="仿宋" w:eastAsia="仿宋" w:cs="仿宋"/>
          <w:color w:val="000000"/>
          <w:sz w:val="21"/>
          <w:szCs w:val="21"/>
          <w:highlight w:val="none"/>
        </w:rPr>
        <w:tab/>
      </w:r>
      <w:r>
        <w:rPr>
          <w:rFonts w:hint="eastAsia" w:ascii="仿宋" w:hAnsi="仿宋" w:eastAsia="仿宋" w:cs="仿宋"/>
          <w:color w:val="000000"/>
          <w:sz w:val="21"/>
          <w:szCs w:val="21"/>
          <w:highlight w:val="none"/>
        </w:rPr>
        <w:tab/>
      </w:r>
      <w:r>
        <w:rPr>
          <w:rFonts w:hint="eastAsia" w:ascii="仿宋" w:hAnsi="仿宋" w:eastAsia="仿宋" w:cs="仿宋"/>
          <w:color w:val="000000"/>
          <w:sz w:val="21"/>
          <w:szCs w:val="21"/>
          <w:highlight w:val="none"/>
        </w:rPr>
        <w:t xml:space="preserve">   乙方：   （盖章）</w:t>
      </w:r>
    </w:p>
    <w:p w14:paraId="039151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法定代表人（授权代表）：           法定代表人（授权代表）：</w:t>
      </w:r>
    </w:p>
    <w:p w14:paraId="5D6871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地    址：                         地    址：</w:t>
      </w:r>
    </w:p>
    <w:p w14:paraId="2E9DE3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开户银行：                         开户银行：</w:t>
      </w:r>
    </w:p>
    <w:p w14:paraId="656D07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账号：                             账号：</w:t>
      </w:r>
    </w:p>
    <w:p w14:paraId="77F5A1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电    话：                         电    话：</w:t>
      </w:r>
    </w:p>
    <w:p w14:paraId="0815B5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传    真：                         传    真：</w:t>
      </w:r>
    </w:p>
    <w:p w14:paraId="570C82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 xml:space="preserve">签约日期：   年   月   日 </w:t>
      </w:r>
      <w:r>
        <w:rPr>
          <w:rFonts w:hint="eastAsia" w:ascii="仿宋" w:hAnsi="仿宋" w:eastAsia="仿宋" w:cs="仿宋"/>
          <w:color w:val="000000"/>
          <w:sz w:val="21"/>
          <w:szCs w:val="21"/>
          <w:highlight w:val="none"/>
        </w:rPr>
        <w:tab/>
      </w:r>
      <w:r>
        <w:rPr>
          <w:rFonts w:hint="eastAsia" w:ascii="仿宋" w:hAnsi="仿宋" w:eastAsia="仿宋" w:cs="仿宋"/>
          <w:color w:val="000000"/>
          <w:sz w:val="21"/>
          <w:szCs w:val="21"/>
          <w:highlight w:val="none"/>
        </w:rPr>
        <w:tab/>
      </w:r>
      <w:r>
        <w:rPr>
          <w:rFonts w:hint="eastAsia" w:ascii="仿宋" w:hAnsi="仿宋" w:eastAsia="仿宋" w:cs="仿宋"/>
          <w:color w:val="000000"/>
          <w:sz w:val="21"/>
          <w:szCs w:val="21"/>
          <w:highlight w:val="none"/>
        </w:rPr>
        <w:tab/>
      </w:r>
      <w:r>
        <w:rPr>
          <w:rFonts w:hint="eastAsia" w:ascii="仿宋" w:hAnsi="仿宋" w:eastAsia="仿宋" w:cs="仿宋"/>
          <w:color w:val="000000"/>
          <w:sz w:val="21"/>
          <w:szCs w:val="21"/>
          <w:highlight w:val="none"/>
        </w:rPr>
        <w:t>签约日期：   年   月   日</w:t>
      </w:r>
    </w:p>
    <w:p w14:paraId="300F2E7E">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color w:val="000000"/>
          <w:sz w:val="21"/>
          <w:szCs w:val="21"/>
          <w:highlight w:val="none"/>
        </w:rPr>
      </w:pPr>
      <w:r>
        <w:rPr>
          <w:rFonts w:hint="eastAsia" w:ascii="仿宋" w:hAnsi="仿宋" w:eastAsia="仿宋" w:cs="仿宋"/>
          <w:b w:val="0"/>
          <w:color w:val="000000"/>
          <w:sz w:val="21"/>
          <w:szCs w:val="21"/>
          <w:highlight w:val="none"/>
        </w:rPr>
        <w:t xml:space="preserve">     </w:t>
      </w:r>
    </w:p>
    <w:p w14:paraId="71AA1E71">
      <w:pPr>
        <w:keepNext w:val="0"/>
        <w:keepLines w:val="0"/>
        <w:pageBreakBefore w:val="0"/>
        <w:widowControl w:val="0"/>
        <w:kinsoku/>
        <w:wordWrap/>
        <w:overflowPunct/>
        <w:topLinePunct w:val="0"/>
        <w:autoSpaceDE/>
        <w:autoSpaceDN/>
        <w:bidi w:val="0"/>
        <w:adjustRightInd/>
        <w:snapToGrid/>
        <w:spacing w:line="360" w:lineRule="auto"/>
        <w:ind w:firstLine="367" w:firstLineChars="175"/>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见证方：</w:t>
      </w:r>
      <w:r>
        <w:rPr>
          <w:rFonts w:hint="eastAsia" w:ascii="仿宋" w:hAnsi="仿宋" w:eastAsia="仿宋" w:cs="仿宋"/>
          <w:color w:val="000000"/>
          <w:sz w:val="21"/>
          <w:szCs w:val="21"/>
          <w:highlight w:val="none"/>
          <w:lang w:val="en-US" w:eastAsia="zh-CN"/>
        </w:rPr>
        <w:t>华睿诚项目管理有限公司</w:t>
      </w:r>
      <w:r>
        <w:rPr>
          <w:rFonts w:hint="eastAsia" w:ascii="仿宋" w:hAnsi="仿宋" w:eastAsia="仿宋" w:cs="仿宋"/>
          <w:color w:val="000000"/>
          <w:sz w:val="21"/>
          <w:szCs w:val="21"/>
          <w:highlight w:val="none"/>
        </w:rPr>
        <w:t xml:space="preserve">  （盖章）</w:t>
      </w:r>
    </w:p>
    <w:p w14:paraId="61BCBB3B">
      <w:pPr>
        <w:keepNext w:val="0"/>
        <w:keepLines w:val="0"/>
        <w:pageBreakBefore w:val="0"/>
        <w:widowControl w:val="0"/>
        <w:kinsoku/>
        <w:wordWrap/>
        <w:overflowPunct/>
        <w:topLinePunct w:val="0"/>
        <w:autoSpaceDE/>
        <w:autoSpaceDN/>
        <w:bidi w:val="0"/>
        <w:adjustRightInd/>
        <w:snapToGrid/>
        <w:spacing w:line="360" w:lineRule="auto"/>
        <w:ind w:firstLine="367" w:firstLineChars="175"/>
        <w:textAlignment w:val="auto"/>
        <w:rPr>
          <w:rFonts w:hint="eastAsia" w:ascii="仿宋" w:hAnsi="仿宋" w:eastAsia="仿宋" w:cs="仿宋"/>
          <w:color w:val="000000"/>
          <w:sz w:val="21"/>
          <w:szCs w:val="21"/>
          <w:highlight w:val="none"/>
          <w:lang w:val="en-US" w:eastAsia="zh-Hans"/>
        </w:rPr>
      </w:pPr>
      <w:r>
        <w:rPr>
          <w:rFonts w:hint="eastAsia" w:ascii="仿宋" w:hAnsi="仿宋" w:eastAsia="仿宋" w:cs="仿宋"/>
          <w:color w:val="000000"/>
          <w:sz w:val="21"/>
          <w:szCs w:val="21"/>
          <w:highlight w:val="none"/>
        </w:rPr>
        <w:t>地址：</w:t>
      </w:r>
      <w:r>
        <w:rPr>
          <w:rFonts w:hint="eastAsia" w:ascii="仿宋" w:hAnsi="仿宋" w:eastAsia="仿宋" w:cs="仿宋"/>
          <w:i w:val="0"/>
          <w:iCs w:val="0"/>
          <w:caps w:val="0"/>
          <w:color w:val="auto"/>
          <w:spacing w:val="0"/>
          <w:kern w:val="0"/>
          <w:sz w:val="21"/>
          <w:szCs w:val="21"/>
          <w:shd w:val="clear" w:color="auto" w:fill="FFFFFF"/>
          <w:vertAlign w:val="baseline"/>
          <w:lang w:val="en-US" w:eastAsia="zh-CN" w:bidi="ar-SA"/>
        </w:rPr>
        <w:t>西安市曲江新区雁翔路3269号旺座曲江E座29层</w:t>
      </w:r>
    </w:p>
    <w:p w14:paraId="2EB03F79"/>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玥" w:date="2026-04-13T19:50:48Z" w:initials="">
    <w:p w14:paraId="6AC04C88">
      <w:pPr>
        <w:pStyle w:val="2"/>
        <w:rPr>
          <w:rFonts w:hint="default" w:eastAsia="宋体"/>
          <w:lang w:val="en-US" w:eastAsia="zh-CN"/>
        </w:rPr>
      </w:pPr>
      <w:r>
        <w:rPr>
          <w:rFonts w:hint="eastAsia"/>
          <w:lang w:val="en-US" w:eastAsia="zh-CN"/>
        </w:rPr>
        <w:t>该合同为维保类服务合同，根据该条约定，服务未完成，服务尚未验收，贵局已支付合同款项的70%，后期管理相对被动，建议按照考核进度进行付款，该条约定贵局可根据项目实际情况进行考量。</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AC04C88" w15:done="1"/>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AC47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E9D390">
                          <w:pPr>
                            <w:pStyle w:val="4"/>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6E9D390">
                    <w:pPr>
                      <w:pStyle w:val="4"/>
                    </w:pPr>
                    <w:r>
                      <w:fldChar w:fldCharType="begin"/>
                    </w:r>
                    <w:r>
                      <w:instrText xml:space="preserve"> PAGE  \* MERGEFORMAT </w:instrText>
                    </w:r>
                    <w:r>
                      <w:fldChar w:fldCharType="separate"/>
                    </w:r>
                    <w:r>
                      <w:t>71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5C42DA"/>
    <w:multiLevelType w:val="singleLevel"/>
    <w:tmpl w:val="175C42DA"/>
    <w:lvl w:ilvl="0" w:tentative="0">
      <w:start w:val="1"/>
      <w:numFmt w:val="chineseCounting"/>
      <w:lvlText w:val="(%1)"/>
      <w:lvlJc w:val="left"/>
      <w:pPr>
        <w:tabs>
          <w:tab w:val="left" w:pos="312"/>
        </w:tabs>
      </w:pPr>
      <w:rPr>
        <w:rFonts w:hint="eastAsia"/>
      </w:rPr>
    </w:lvl>
  </w:abstractNum>
  <w:abstractNum w:abstractNumId="1">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玥">
    <w15:presenceInfo w15:providerId="WPS Office" w15:userId="4116843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2F4D26"/>
    <w:rsid w:val="4487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jc w:val="left"/>
    </w:pPr>
    <w:rPr>
      <w:rFonts w:cs="Times New Roman"/>
      <w:kern w:val="0"/>
      <w:sz w:val="24"/>
    </w:rPr>
  </w:style>
  <w:style w:type="paragraph" w:styleId="6">
    <w:name w:val="Body Text First Indent"/>
    <w:basedOn w:val="3"/>
    <w:qFormat/>
    <w:uiPriority w:val="0"/>
    <w:rPr>
      <w:rFonts w:hAnsi="宋体"/>
      <w:sz w:val="18"/>
      <w:szCs w:val="18"/>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customStyle="1" w:styleId="10">
    <w:name w:val="List Paragraph"/>
    <w:basedOn w:val="1"/>
    <w:qFormat/>
    <w:uiPriority w:val="34"/>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2954</Words>
  <Characters>3000</Characters>
  <Lines>0</Lines>
  <Paragraphs>0</Paragraphs>
  <TotalTime>0</TotalTime>
  <ScaleCrop>false</ScaleCrop>
  <LinksUpToDate>false</LinksUpToDate>
  <CharactersWithSpaces>3357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2026-04-20T11:01:00Z</dcterms:created>
  <dc:creator>hua'wei</dc:creator>
  <cp:lastModifiedBy>yes张</cp:lastModifiedBy>
  <dcterms:modified xsi:type="dcterms:W3CDTF">2026-04-20T11:03:13Z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eyJoZGlkIjoiMTQyYmQ1OTY4YTVhZjYzYWY3YmZlZDBmNzdlZjQ4YzUiLCJ1c2VySWQiOiI0NTUxNjI0NzkifQ==</vt:lpwstr>
  </property>
  <property fmtid="{D5CDD505-2E9C-101B-9397-08002B2CF9AE}" pid="4" name="ICV">
    <vt:lpwstr>9C973C5C73464FA38473746D07C34CF9_12</vt:lpwstr>
  </property>
</Properties>
</file>