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673AD8">
      <w:pPr>
        <w:pStyle w:val="4"/>
      </w:pPr>
      <w:r>
        <w:rPr>
          <w:rFonts w:ascii="仿宋_GB2312" w:hAnsi="仿宋_GB2312" w:eastAsia="仿宋_GB2312" w:cs="仿宋_GB2312"/>
        </w:rPr>
        <w:t>采购包1：</w:t>
      </w:r>
    </w:p>
    <w:p w14:paraId="1029ECF2">
      <w:pPr>
        <w:pStyle w:val="4"/>
        <w:rPr>
          <w:rFonts w:hint="eastAsia" w:eastAsia="仿宋_GB2312"/>
          <w:lang w:eastAsia="zh-CN"/>
        </w:rPr>
      </w:pPr>
      <w:r>
        <w:rPr>
          <w:rFonts w:ascii="仿宋_GB2312" w:hAnsi="仿宋_GB2312" w:eastAsia="仿宋_GB2312" w:cs="仿宋_GB2312"/>
        </w:rPr>
        <w:t>标的名称：</w:t>
      </w:r>
      <w:r>
        <w:rPr>
          <w:rFonts w:hint="eastAsia" w:ascii="仿宋_GB2312" w:hAnsi="仿宋_GB2312" w:eastAsia="仿宋_GB2312" w:cs="仿宋_GB2312"/>
          <w:lang w:eastAsia="zh-CN"/>
        </w:rPr>
        <w:t>高速公路联网收费系统业务支撑平台运维</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61"/>
        <w:gridCol w:w="1275"/>
        <w:gridCol w:w="5971"/>
      </w:tblGrid>
      <w:tr w14:paraId="02AD56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1" w:type="dxa"/>
          </w:tcPr>
          <w:p w14:paraId="1AAB9B49">
            <w:pPr>
              <w:pStyle w:val="4"/>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sz w:val="20"/>
                <w:szCs w:val="20"/>
              </w:rPr>
            </w:pPr>
            <w:r>
              <w:rPr>
                <w:rFonts w:hint="eastAsia" w:ascii="宋体" w:hAnsi="宋体" w:eastAsia="宋体" w:cs="宋体"/>
                <w:sz w:val="20"/>
                <w:szCs w:val="20"/>
              </w:rPr>
              <w:t xml:space="preserve"> 序号</w:t>
            </w:r>
          </w:p>
        </w:tc>
        <w:tc>
          <w:tcPr>
            <w:tcW w:w="1275" w:type="dxa"/>
          </w:tcPr>
          <w:p w14:paraId="4479FE40">
            <w:pPr>
              <w:pStyle w:val="4"/>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sz w:val="20"/>
                <w:szCs w:val="20"/>
              </w:rPr>
            </w:pPr>
            <w:r>
              <w:rPr>
                <w:rFonts w:hint="eastAsia" w:ascii="宋体" w:hAnsi="宋体" w:eastAsia="宋体" w:cs="宋体"/>
                <w:sz w:val="20"/>
                <w:szCs w:val="20"/>
              </w:rPr>
              <w:t xml:space="preserve"> 参数性质</w:t>
            </w:r>
          </w:p>
        </w:tc>
        <w:tc>
          <w:tcPr>
            <w:tcW w:w="5971" w:type="dxa"/>
          </w:tcPr>
          <w:p w14:paraId="5CD5A696">
            <w:pPr>
              <w:pStyle w:val="4"/>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sz w:val="20"/>
                <w:szCs w:val="20"/>
              </w:rPr>
            </w:pPr>
            <w:r>
              <w:rPr>
                <w:rFonts w:hint="eastAsia" w:ascii="宋体" w:hAnsi="宋体" w:eastAsia="宋体" w:cs="宋体"/>
                <w:sz w:val="20"/>
                <w:szCs w:val="20"/>
              </w:rPr>
              <w:t xml:space="preserve"> 技术参数与性能指标</w:t>
            </w:r>
          </w:p>
        </w:tc>
      </w:tr>
      <w:tr w14:paraId="0DCB3F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1" w:type="dxa"/>
          </w:tcPr>
          <w:p w14:paraId="5EEBF847">
            <w:pPr>
              <w:pStyle w:val="4"/>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w:t>
            </w:r>
          </w:p>
        </w:tc>
        <w:tc>
          <w:tcPr>
            <w:tcW w:w="1275" w:type="dxa"/>
          </w:tcPr>
          <w:p w14:paraId="471AD1BA">
            <w:pPr>
              <w:pStyle w:val="4"/>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sz w:val="20"/>
                <w:szCs w:val="20"/>
              </w:rPr>
            </w:pPr>
          </w:p>
        </w:tc>
        <w:tc>
          <w:tcPr>
            <w:tcW w:w="5971" w:type="dxa"/>
          </w:tcPr>
          <w:p w14:paraId="6FC8307E">
            <w:pPr>
              <w:pStyle w:val="4"/>
              <w:keepNext w:val="0"/>
              <w:keepLines w:val="0"/>
              <w:pageBreakBefore w:val="0"/>
              <w:numPr>
                <w:ilvl w:val="0"/>
                <w:numId w:val="1"/>
              </w:numPr>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项目概况</w:t>
            </w:r>
          </w:p>
          <w:p w14:paraId="477FF55B">
            <w:pPr>
              <w:pStyle w:val="4"/>
              <w:keepNext w:val="0"/>
              <w:keepLines w:val="0"/>
              <w:pageBreakBefore w:val="0"/>
              <w:numPr>
                <w:ilvl w:val="0"/>
                <w:numId w:val="0"/>
              </w:numPr>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（一）项目背景</w:t>
            </w:r>
          </w:p>
          <w:p w14:paraId="6EE6BA08">
            <w:pPr>
              <w:pStyle w:val="4"/>
              <w:keepNext w:val="0"/>
              <w:keepLines w:val="0"/>
              <w:pageBreakBefore w:val="0"/>
              <w:numPr>
                <w:ilvl w:val="0"/>
                <w:numId w:val="0"/>
              </w:numPr>
              <w:kinsoku/>
              <w:wordWrap/>
              <w:overflowPunct/>
              <w:topLinePunct w:val="0"/>
              <w:autoSpaceDE/>
              <w:autoSpaceDN/>
              <w:bidi w:val="0"/>
              <w:adjustRightInd/>
              <w:snapToGrid/>
              <w:spacing w:line="460" w:lineRule="exact"/>
              <w:jc w:val="both"/>
              <w:textAlignment w:val="auto"/>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高速公路联网收费系统业务支撑平台是支撑我省高速公路收费业务管理、数据校核及拆分管理、资金上解及划拨管理、结算业务的生产系统，业务支撑平台重要程度高，要求7*24小时不间断运行。为保障业务支撑平台的稳定、安全、高效运行，现委托专业运维供应商进行运维服务保障工作。</w:t>
            </w:r>
          </w:p>
          <w:p w14:paraId="7CE904BA">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二</w:t>
            </w:r>
            <w:r>
              <w:rPr>
                <w:rFonts w:hint="eastAsia" w:ascii="宋体" w:hAnsi="宋体" w:eastAsia="宋体" w:cs="宋体"/>
                <w:sz w:val="20"/>
                <w:szCs w:val="20"/>
                <w:lang w:eastAsia="zh-CN"/>
              </w:rPr>
              <w:t>）服务范围</w:t>
            </w:r>
          </w:p>
          <w:p w14:paraId="7347F456">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lang w:eastAsia="zh-CN"/>
              </w:rPr>
            </w:pPr>
            <w:r>
              <w:rPr>
                <w:rFonts w:hint="eastAsia" w:ascii="宋体" w:hAnsi="宋体" w:eastAsia="宋体" w:cs="宋体"/>
                <w:sz w:val="20"/>
                <w:szCs w:val="20"/>
                <w:lang w:eastAsia="zh-CN"/>
              </w:rPr>
              <w:t>本次运维服务范围包括省中心联网收费业务支撑平台各个子系统，包括机房相关基础环境、网络设施、计算资源及存储资源和配套基础软件等，</w:t>
            </w:r>
            <w:r>
              <w:rPr>
                <w:rFonts w:hint="eastAsia" w:ascii="宋体" w:hAnsi="宋体" w:eastAsia="宋体" w:cs="宋体"/>
                <w:sz w:val="20"/>
                <w:szCs w:val="20"/>
                <w:lang w:val="en-US" w:eastAsia="zh-CN"/>
              </w:rPr>
              <w:t>具体详见下列设备清单</w:t>
            </w:r>
            <w:r>
              <w:rPr>
                <w:rFonts w:hint="eastAsia" w:ascii="宋体" w:hAnsi="宋体" w:eastAsia="宋体" w:cs="宋体"/>
                <w:sz w:val="20"/>
                <w:szCs w:val="20"/>
                <w:lang w:eastAsia="zh-CN"/>
              </w:rPr>
              <w:t>。</w:t>
            </w:r>
          </w:p>
          <w:p w14:paraId="6E739B1D">
            <w:pPr>
              <w:pStyle w:val="4"/>
              <w:keepNext w:val="0"/>
              <w:keepLines w:val="0"/>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bCs/>
                <w:sz w:val="20"/>
                <w:szCs w:val="20"/>
                <w:lang w:eastAsia="zh-CN"/>
              </w:rPr>
            </w:pPr>
            <w:r>
              <w:rPr>
                <w:rFonts w:hint="eastAsia" w:ascii="宋体" w:hAnsi="宋体" w:eastAsia="宋体" w:cs="宋体"/>
                <w:b/>
                <w:bCs/>
                <w:sz w:val="20"/>
                <w:szCs w:val="20"/>
                <w:lang w:eastAsia="zh-CN"/>
              </w:rPr>
              <w:t>陕西省高速公路联网收费业务支撑平台</w:t>
            </w:r>
          </w:p>
          <w:p w14:paraId="17742236">
            <w:pPr>
              <w:pStyle w:val="4"/>
              <w:keepNext w:val="0"/>
              <w:keepLines w:val="0"/>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bCs/>
                <w:sz w:val="20"/>
                <w:szCs w:val="20"/>
                <w:lang w:eastAsia="zh-CN"/>
              </w:rPr>
            </w:pPr>
            <w:r>
              <w:rPr>
                <w:rFonts w:hint="eastAsia" w:ascii="宋体" w:hAnsi="宋体" w:eastAsia="宋体" w:cs="宋体"/>
                <w:b/>
                <w:bCs/>
                <w:sz w:val="20"/>
                <w:szCs w:val="20"/>
                <w:lang w:eastAsia="zh-CN"/>
              </w:rPr>
              <w:t>运维服务设备清单：</w:t>
            </w:r>
          </w:p>
          <w:p w14:paraId="3C289384">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lang w:eastAsia="zh-CN"/>
              </w:rPr>
            </w:pPr>
            <w:r>
              <w:rPr>
                <w:rFonts w:hint="eastAsia" w:ascii="宋体" w:hAnsi="宋体" w:eastAsia="宋体" w:cs="宋体"/>
                <w:sz w:val="20"/>
                <w:szCs w:val="20"/>
                <w:lang w:val="en-US" w:eastAsia="zh-CN"/>
              </w:rPr>
              <w:t>1</w:t>
            </w:r>
            <w:r>
              <w:rPr>
                <w:rFonts w:hint="eastAsia" w:ascii="宋体" w:hAnsi="宋体" w:eastAsia="宋体" w:cs="宋体"/>
                <w:sz w:val="20"/>
                <w:szCs w:val="20"/>
                <w:lang w:eastAsia="zh-CN"/>
              </w:rPr>
              <w:t>、机房环境</w:t>
            </w:r>
          </w:p>
          <w:p w14:paraId="25C803FC">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lang w:eastAsia="zh-CN"/>
              </w:rPr>
            </w:pPr>
            <w:r>
              <w:rPr>
                <w:rFonts w:hint="eastAsia" w:ascii="宋体" w:hAnsi="宋体" w:eastAsia="宋体" w:cs="宋体"/>
                <w:sz w:val="20"/>
                <w:szCs w:val="20"/>
                <w:lang w:val="en-US" w:eastAsia="zh-CN"/>
              </w:rPr>
              <w:t>（1）</w:t>
            </w:r>
            <w:r>
              <w:rPr>
                <w:rFonts w:hint="eastAsia" w:ascii="宋体" w:hAnsi="宋体" w:eastAsia="宋体" w:cs="宋体"/>
                <w:sz w:val="20"/>
                <w:szCs w:val="20"/>
                <w:lang w:eastAsia="zh-CN"/>
              </w:rPr>
              <w:t>供配电系统  英戚腾RM200 25KVA*7（2台，在保）</w:t>
            </w:r>
          </w:p>
          <w:p w14:paraId="77683627">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2</w:t>
            </w:r>
            <w:r>
              <w:rPr>
                <w:rFonts w:hint="eastAsia" w:ascii="宋体" w:hAnsi="宋体" w:eastAsia="宋体" w:cs="宋体"/>
                <w:sz w:val="20"/>
                <w:szCs w:val="20"/>
                <w:lang w:eastAsia="zh-CN"/>
              </w:rPr>
              <w:t>）智能列头柜  华晟智能HS2000（4台，脱保）</w:t>
            </w:r>
          </w:p>
          <w:p w14:paraId="64C3D2F7">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3</w:t>
            </w:r>
            <w:r>
              <w:rPr>
                <w:rFonts w:hint="eastAsia" w:ascii="宋体" w:hAnsi="宋体" w:eastAsia="宋体" w:cs="宋体"/>
                <w:sz w:val="20"/>
                <w:szCs w:val="20"/>
                <w:lang w:eastAsia="zh-CN"/>
              </w:rPr>
              <w:t>）精密空调    Envi cool空调（5台，脱保）、iTeaQ 空</w:t>
            </w:r>
          </w:p>
          <w:p w14:paraId="672752FC">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lang w:eastAsia="zh-CN"/>
              </w:rPr>
            </w:pPr>
            <w:r>
              <w:rPr>
                <w:rFonts w:hint="eastAsia" w:ascii="宋体" w:hAnsi="宋体" w:eastAsia="宋体" w:cs="宋体"/>
                <w:sz w:val="20"/>
                <w:szCs w:val="20"/>
                <w:lang w:eastAsia="zh-CN"/>
              </w:rPr>
              <w:t xml:space="preserve">调（3台，脱保）、黎耀/leayo空调（3台，脱保） </w:t>
            </w:r>
          </w:p>
          <w:p w14:paraId="6B41A6E7">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lang w:eastAsia="zh-CN"/>
              </w:rPr>
            </w:pPr>
            <w:r>
              <w:rPr>
                <w:rFonts w:hint="eastAsia" w:ascii="宋体" w:hAnsi="宋体" w:eastAsia="宋体" w:cs="宋体"/>
                <w:sz w:val="20"/>
                <w:szCs w:val="20"/>
                <w:lang w:val="en-US" w:eastAsia="zh-CN"/>
              </w:rPr>
              <w:t>2</w:t>
            </w:r>
            <w:r>
              <w:rPr>
                <w:rFonts w:hint="eastAsia" w:ascii="宋体" w:hAnsi="宋体" w:eastAsia="宋体" w:cs="宋体"/>
                <w:sz w:val="20"/>
                <w:szCs w:val="20"/>
                <w:lang w:eastAsia="zh-CN"/>
              </w:rPr>
              <w:t xml:space="preserve">、网络设施    </w:t>
            </w:r>
          </w:p>
          <w:p w14:paraId="5A80145F">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lang w:eastAsia="zh-CN"/>
              </w:rPr>
            </w:pPr>
            <w:r>
              <w:rPr>
                <w:rFonts w:hint="eastAsia" w:ascii="宋体" w:hAnsi="宋体" w:eastAsia="宋体" w:cs="宋体"/>
                <w:sz w:val="20"/>
                <w:szCs w:val="20"/>
                <w:lang w:eastAsia="zh-CN"/>
              </w:rPr>
              <w:t>H3C S6805-56HT-G（2台，在保）、锐捷交换机 RG-S5760C- 48GT4XS-X（10台，在保）、锐捷交换机 RG-S6150（4台、在保）、迈普S8900E-06 （2台，脱保）、迈普S12800（2台，脱保）、迈普S5820-54XQFP（12台，脱保）、迈普S5820-30XQFP（2台，脱保）、迈普S3320-56TC-AC（3台，脱保）、迈普S3330-54TXF-AC（1台，脱保）、博科BR6510（2台，脱保）、华为S7706（2台，脱保）、普天 CP ADC 3030S（4台，脱保）、锐捷交换机（2台，脱保）、华为交换机（1台，脱保）、华为S5700-52P-LI-AC（1台，脱保）、华为CE5855-48T4S2Q-E1（2台，脱保）、思科 Catalyst2950（3台，脱保）、MP7300X（1台，脱保）。</w:t>
            </w:r>
          </w:p>
          <w:p w14:paraId="29F685B4">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lang w:eastAsia="zh-CN"/>
              </w:rPr>
            </w:pPr>
            <w:r>
              <w:rPr>
                <w:rFonts w:hint="eastAsia" w:ascii="宋体" w:hAnsi="宋体" w:eastAsia="宋体" w:cs="宋体"/>
                <w:sz w:val="20"/>
                <w:szCs w:val="20"/>
                <w:lang w:val="en-US" w:eastAsia="zh-CN"/>
              </w:rPr>
              <w:t>3</w:t>
            </w:r>
            <w:r>
              <w:rPr>
                <w:rFonts w:hint="eastAsia" w:ascii="宋体" w:hAnsi="宋体" w:eastAsia="宋体" w:cs="宋体"/>
                <w:sz w:val="20"/>
                <w:szCs w:val="20"/>
                <w:lang w:eastAsia="zh-CN"/>
              </w:rPr>
              <w:t>、计算资源</w:t>
            </w:r>
          </w:p>
          <w:p w14:paraId="225E7F49">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lang w:eastAsia="zh-CN"/>
              </w:rPr>
            </w:pPr>
            <w:r>
              <w:rPr>
                <w:rFonts w:hint="eastAsia" w:ascii="宋体" w:hAnsi="宋体" w:eastAsia="宋体" w:cs="宋体"/>
                <w:sz w:val="20"/>
                <w:szCs w:val="20"/>
                <w:lang w:eastAsia="zh-CN"/>
              </w:rPr>
              <w:t>长城超云GW R5210 G11（10台，脱保）、宁畅R620 G30（12台，脱保）、长城超云GW R7410（10台，脱保）、浪潮 NF5280M5（7台，脱保）、中兴ZXCLOUD R5300 G4（3台，脱保）、长城超云GW R7410（4台，脱保）、长城超云GW R5210 G11（4台，脱保）、宁畅R620 G30（5台，脱保）、宁畅R840 G30（2台，脱保）、迪思杰R7410（2台，脱保）、易捷行云-云主机（420台，脱保）、</w:t>
            </w:r>
          </w:p>
          <w:p w14:paraId="1CA56C20">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lang w:eastAsia="zh-CN"/>
              </w:rPr>
            </w:pPr>
            <w:r>
              <w:rPr>
                <w:rFonts w:hint="eastAsia" w:ascii="宋体" w:hAnsi="宋体" w:eastAsia="宋体" w:cs="宋体"/>
                <w:sz w:val="20"/>
                <w:szCs w:val="20"/>
                <w:lang w:eastAsia="zh-CN"/>
              </w:rPr>
              <w:t>SYN2151（2台，脱保）、IBM X3650M4（1台，脱保）、联想3650M5（1台，脱保）、戴尔R230（3台，脱保）IBM X3650 M3（1台，脱保）、华为RH2288v3（2台，脱保）、HUAWEI-2288HV5（5台，脱保）、联想SR590（2台，脱保）、超聚变2288H V5（2台，脱保）、H3C UniServer R4930 G7（5台，在保）、华为TaiShan 200 (Model 2280) (VE)（3台，在保）、绿盟 科技UTS-TFANX3-HHB（1台，在保）。</w:t>
            </w:r>
          </w:p>
          <w:p w14:paraId="42FC44D3">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lang w:eastAsia="zh-CN"/>
              </w:rPr>
            </w:pPr>
            <w:r>
              <w:rPr>
                <w:rFonts w:hint="eastAsia" w:ascii="宋体" w:hAnsi="宋体" w:eastAsia="宋体" w:cs="宋体"/>
                <w:sz w:val="20"/>
                <w:szCs w:val="20"/>
                <w:lang w:val="en-US" w:eastAsia="zh-CN"/>
              </w:rPr>
              <w:t>4</w:t>
            </w:r>
            <w:r>
              <w:rPr>
                <w:rFonts w:hint="eastAsia" w:ascii="宋体" w:hAnsi="宋体" w:eastAsia="宋体" w:cs="宋体"/>
                <w:sz w:val="20"/>
                <w:szCs w:val="20"/>
                <w:lang w:eastAsia="zh-CN"/>
              </w:rPr>
              <w:t>、存储资源</w:t>
            </w:r>
          </w:p>
          <w:p w14:paraId="7922930E">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lang w:eastAsia="zh-CN"/>
              </w:rPr>
            </w:pPr>
            <w:r>
              <w:rPr>
                <w:rFonts w:hint="eastAsia" w:ascii="宋体" w:hAnsi="宋体" w:eastAsia="宋体" w:cs="宋体"/>
                <w:sz w:val="20"/>
                <w:szCs w:val="20"/>
                <w:lang w:eastAsia="zh-CN"/>
              </w:rPr>
              <w:t>长城超云GW R5210 G11（19台，脱保）、宁畅R620 G40 （5台，脱保）、长城超云GW R5410（6台，脱保）、宏杉MS7370G2-mach（1台，脱保）、华为18500 V3（1台，脱保）、H3C UniStorCF22872H（1台，在保）。</w:t>
            </w:r>
          </w:p>
          <w:p w14:paraId="04502BE1">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lang w:eastAsia="zh-CN"/>
              </w:rPr>
            </w:pPr>
            <w:r>
              <w:rPr>
                <w:rFonts w:hint="eastAsia" w:ascii="宋体" w:hAnsi="宋体" w:eastAsia="宋体" w:cs="宋体"/>
                <w:sz w:val="20"/>
                <w:szCs w:val="20"/>
                <w:lang w:val="en-US" w:eastAsia="zh-CN"/>
              </w:rPr>
              <w:t>5</w:t>
            </w:r>
            <w:r>
              <w:rPr>
                <w:rFonts w:hint="eastAsia" w:ascii="宋体" w:hAnsi="宋体" w:eastAsia="宋体" w:cs="宋体"/>
                <w:sz w:val="20"/>
                <w:szCs w:val="20"/>
                <w:lang w:eastAsia="zh-CN"/>
              </w:rPr>
              <w:t>、基础软件</w:t>
            </w:r>
          </w:p>
          <w:p w14:paraId="1D8717DB">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lang w:eastAsia="zh-CN"/>
              </w:rPr>
            </w:pPr>
            <w:r>
              <w:rPr>
                <w:rFonts w:hint="eastAsia" w:ascii="宋体" w:hAnsi="宋体" w:eastAsia="宋体" w:cs="宋体"/>
                <w:sz w:val="20"/>
                <w:szCs w:val="20"/>
                <w:lang w:eastAsia="zh-CN"/>
              </w:rPr>
              <w:t>ECS云计算系统V5（1套，脱保）、XEDPV4（4套，脱保）、迪思杰DataXoneV3.1（1套，脱保）、迪思杰SuperSync数据库复制软件（5套，脱保）、云湾图片转码压缩平台 V1.0（1套，在保）。</w:t>
            </w:r>
          </w:p>
        </w:tc>
      </w:tr>
      <w:tr w14:paraId="2EED5A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22" w:hRule="atLeast"/>
        </w:trPr>
        <w:tc>
          <w:tcPr>
            <w:tcW w:w="1061" w:type="dxa"/>
          </w:tcPr>
          <w:p w14:paraId="0C0B011E">
            <w:pPr>
              <w:pStyle w:val="4"/>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w:t>
            </w:r>
          </w:p>
        </w:tc>
        <w:tc>
          <w:tcPr>
            <w:tcW w:w="1275" w:type="dxa"/>
          </w:tcPr>
          <w:p w14:paraId="58AC99CA">
            <w:pPr>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sz w:val="20"/>
                <w:szCs w:val="20"/>
              </w:rPr>
            </w:pPr>
          </w:p>
        </w:tc>
        <w:tc>
          <w:tcPr>
            <w:tcW w:w="5971" w:type="dxa"/>
          </w:tcPr>
          <w:p w14:paraId="284EAE19">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 xml:space="preserve"> </w:t>
            </w:r>
            <w:r>
              <w:rPr>
                <w:rFonts w:hint="eastAsia" w:ascii="宋体" w:hAnsi="宋体" w:eastAsia="宋体" w:cs="宋体"/>
                <w:sz w:val="20"/>
                <w:szCs w:val="20"/>
                <w:lang w:eastAsia="zh-CN"/>
              </w:rPr>
              <w:t>二、服务需求</w:t>
            </w:r>
          </w:p>
          <w:p w14:paraId="7BE74C4F">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eastAsia="zh-CN"/>
              </w:rPr>
            </w:pPr>
            <w:r>
              <w:rPr>
                <w:rFonts w:hint="eastAsia" w:ascii="宋体" w:hAnsi="宋体" w:eastAsia="宋体" w:cs="宋体"/>
                <w:sz w:val="20"/>
                <w:szCs w:val="20"/>
                <w:lang w:eastAsia="zh-CN"/>
              </w:rPr>
              <w:t>（一）机房环境运维服务</w:t>
            </w:r>
          </w:p>
          <w:p w14:paraId="25650725">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供应商派驻场运维工程师提供7天*24小时机房环境运行情况现场巡检和实时监控服务，通过驻场运维工程师现场巡检和系统实时监控、预警的方式，对UPS、列头柜、STS等机房供配电系统和精密空调、模块化一体机房内的行间空调以及机房内的温湿度等运行情况进行现场巡检、实时监测和预警。常规时期现场巡检每天不少于2次；特殊时期，如电力故障或重保时期，现场巡检每天不少于4次，并做好每日巡检记录。如脱保精密空调出现故障，需及时派工程师处理，确保机房环境运行稳定。采购人只承担精密空调设备（压缩机、风机、电机、干燥器、控制面板、蒸发器）的维修和更换费用，其余维护范围内的配件和材料费用由供应商承担。如出现其他故障应及时协助省中心协调相关厂商进行维修，并做好事件记录和故障报告。</w:t>
            </w:r>
          </w:p>
          <w:p w14:paraId="163BE288">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（二）网络设施运维需求</w:t>
            </w:r>
          </w:p>
          <w:p w14:paraId="34DC8F3D">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供应商从平台网络的运行监控、故障响应、定期巡检、配置和资源管理和接入支持几个方面实现对网络系统的运维管理：每日不少于4次（节假日及特殊时期不少于6次）通过现场巡查的方式对机房网络硬件设备的物理运行状态进行巡检；7*24小时实时通过网管平台对网络节点设备硬件资源进行实时状态监控，包括CPU/内存利用率、端口状态、接口带宽使用情况和设备网络连接状态等；每日不少于2次（节假日及特殊时期不少于3次），对关键网络设备节点配置信息进行配置状态检查，包括主备状态、关键静态路由指向等；每季度采集网络设备信息，对网络的运行和维护现状进行检查和分析，包括网络性能、设备日志、设备配置信息等，梳理网络隐患，提供整改建议，提交《网络设备季度巡检报告》；按需完成网络接入支持。当网络发生故障时协助中心快速分析、诊断、解决故障，跟踪问题的处理进展，将事件类型、过程、解决方案等记录在《故障报告》中并提交省中心。每半年根据网络资产清单和现网实际情况，建立《网络配置信息库》；每月对网络配置文件进行备份及存档。每年进行一次网络评估优化，对联网收费支撑平台现有网络的基础架构、技术架构、业务流量承载、基础服务能力等各方面进行综合评估分析。</w:t>
            </w:r>
          </w:p>
          <w:p w14:paraId="2E90D778">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（三）计算资源运维服务</w:t>
            </w:r>
          </w:p>
          <w:p w14:paraId="49B643B8">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本次运维服务的计算资源包括物理主机与虚拟主机的运维。供应商每日不少于4次（节假日及特殊时期不少于6次）通过现场巡查的方式对机房硬件设备的物理运行状态进行巡检，每日不少于4次（节假日及特殊时期不少于6次），进行主机资源运行监控，巡检物理主机、虚拟主机运行状态，实时监控计算资源池资源分配及使用情况；按要求进行虚拟机日常管理、快照及备份管理、网络资源管理、计算资源管理以及镜像管理。每半年对计算资源主机设备进行资产管理，清点主机设备资产，建立并维护资产清单。</w:t>
            </w:r>
          </w:p>
          <w:p w14:paraId="1501E43F">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（四）存储运维服务</w:t>
            </w:r>
          </w:p>
          <w:p w14:paraId="1B5C306A">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供应商通过对联网收费业务支撑平台的全闪存储资源池、混合存储资源池、非结构化存储资源池和备份存储资源池的存储设备采取硬件巡查方式，每日不少于4次（节假日及特殊时期不少于6次）进行现场巡查，对机房存储硬件设备的物理运行状态进行巡检；每日不少于4次（节假日及特殊时期不少于6次）进行存储运行监控，对存储资源池运行状态进行检查和监控，同时实时监控虚拟存储资源池IOPS性能、带宽、延迟、数据状态、健康状态、告警情况等；每日不少于1次统计全闪存储、混合存储、非结构化存储、备份存储等资源池空间使用情况；每半年进行存储主机设备资产管理、主机设备资产清点，建立并维护资产清单。</w:t>
            </w:r>
          </w:p>
          <w:p w14:paraId="684FC8F1">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（五）基础软件运维服务</w:t>
            </w:r>
          </w:p>
          <w:p w14:paraId="05E8D001">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供应商每半年进行软件资产梳理，将基础软件资产记录在资产清单中；每日不少于1次进行本地数据备份执行情况监控，按需制定和改进本地数据备份策略和方案；每季度进行虚拟化系统、分布式存储系统、备份系统的预防性维护和定期巡检服务。</w:t>
            </w:r>
          </w:p>
          <w:p w14:paraId="4975CDEC">
            <w:pPr>
              <w:pStyle w:val="4"/>
              <w:keepNext w:val="0"/>
              <w:keepLines w:val="0"/>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s="宋体"/>
                <w:sz w:val="20"/>
                <w:szCs w:val="20"/>
                <w:lang w:val="en-US" w:eastAsia="zh-CN"/>
              </w:rPr>
            </w:pPr>
            <w:r>
              <w:rPr>
                <w:rFonts w:hint="eastAsia" w:ascii="宋体" w:hAnsi="宋体" w:eastAsia="宋体" w:cs="宋体"/>
                <w:b/>
                <w:bCs/>
                <w:sz w:val="20"/>
                <w:szCs w:val="20"/>
                <w:lang w:val="en-US" w:eastAsia="zh-CN"/>
              </w:rPr>
              <w:t>陕西省高速公路联网收费业务支撑平台运维服务内容</w:t>
            </w:r>
          </w:p>
          <w:p w14:paraId="3E35B421">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1、机房环境运维服务</w:t>
            </w:r>
          </w:p>
          <w:p w14:paraId="59269854">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机房温湿度监控：通过动环系统对机房温度和湿度进行巡检、记录；异常情况，应第一时间报告采购人，并按实际情况进行处理。确有需要的，协调厂商进行故障排查和维修。提交《巡检报告》、《服务事件记录》、《故障报告》。</w:t>
            </w:r>
          </w:p>
          <w:p w14:paraId="54D75CDA">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机房供配电运行监控：通过现场巡检和动环系统监控的方式对机房供配电系统运行情况进行巡检、监控；异常情况，应第一时间报告采购人，并按实际情况进行处理。确有需要的，协调厂商进行故障排查和维修。提交《巡检报告》、《服务事件记录》、《故障报告》。</w:t>
            </w:r>
          </w:p>
          <w:p w14:paraId="535E6241">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机房空调运行监控：采用现场巡检和动环系统监控的方式对机房空调系统的运行情况巡检、监控；异常情况，应第一时间报告采购人，并按实际情况进行处理。确有需要的，协调厂商进行故障排查和维修。提交《巡检报告》《服务事件记录》《故障报告》。</w:t>
            </w:r>
          </w:p>
          <w:p w14:paraId="6B712CAF">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（4）机房出入管理：管理和记录人员进出机房情况。提交《机房出入记录》。</w:t>
            </w:r>
          </w:p>
          <w:p w14:paraId="7DE1A2B5">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机房资产管理：每半年对机房硬件资产进行盘点、标识，建立并维护资产清单，包含资产标识、设备板位图、设备互联详细端口信息、IP&amp;VLAN信息接口链路对应关系、物理连接拓扑图等。机房资产有变动时，应及时对资产清单进行动态更新。提交《资产清单》。</w:t>
            </w:r>
          </w:p>
          <w:p w14:paraId="59F28BD5">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6）机房空调维保：每月至少一次对精密空调进行状态检查排查故障并记录，每季度至少一次更换和清洗空调滤网，每两月至少一次清洗室外机。异常情况，应第一时间报告采购人，并按实际情况进行处理。确有需要的，协调厂商进行故障排查和维修。提交《巡检报告》《服务事件记录》《故障报告》。</w:t>
            </w:r>
          </w:p>
          <w:p w14:paraId="11015224">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2、网络设施运维服务</w:t>
            </w:r>
          </w:p>
          <w:p w14:paraId="607B0643">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网络设备硬件巡检：通过现场巡查的方式对机房网络硬件设备的物理运行状态进行巡检、记录。异常情况，应第一时间报告采购人，并按实际情况进行处理。确有需要的，协调厂商进行故障排查和维修。提交《巡检报告》《服务事件记录》《故障报告》。</w:t>
            </w:r>
          </w:p>
          <w:p w14:paraId="091FF705">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网络运行监控：通过相关工具对网络节点设备硬件资源提供实时状态监控，包括CPU/内存利用率、端口状态、接口带宽使用情况和设备网络连接状态等，及时掌握设备硬件资源使用情况和网络的连通性。对关键网络设备节点配置信息进行每天至少2次配置状态检查，包括主备状态、关键静态路由指向等，及时掌握关键配置信息应用情况，以满足设备稳定运行的需求。提交《日常运行监控报告》。</w:t>
            </w:r>
          </w:p>
          <w:p w14:paraId="705B676B">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网络定期巡检：采用相关工具采集网络设备信息，每季度至少1次对网络的运行和维护现状进行检查和分析包括网络性能、设备日志、设备配置信息等，梳理网络隐患，提供整改建议，提交《定期巡检报告》。</w:t>
            </w:r>
          </w:p>
          <w:p w14:paraId="7486F83E">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网络接入支持：在相关网络有变更需求，协助采购人制定详细的网络变更方案，从业务和管理运维角度进行风险分析，确认变更风险点、影响范围，并针对风险制定有效防范措施；审核变更实施操作的准确性、验证测试方案的完整性和应急回退预案的有效性；网络接入的实施、配置，完整记录每一步操作，并完成接入后的测试工作；变更过程中如遇疑难问题须得到二线技术专家团队的技术支持。提交《网络接入/变更方案》《网络接入/变更记录》。</w:t>
            </w:r>
          </w:p>
          <w:p w14:paraId="2D084C8C">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（5）网络故障响应：网络故障时应协助采购人快速分析、诊断、解决故障，跟踪问题的处理进展并定期回顾；将故障处理的事件类型、过程、解决方案等进行记录并提交《服务事件记录》《故障报告》。</w:t>
            </w:r>
          </w:p>
          <w:p w14:paraId="62C36F25">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6）网络配置和资源管理：根据网络资产清单和现网实际情况，建立《网络配置信息库》，内容包括资产名称、IP地址、Vlan、路由信息、端口信息、账户信息等配置信息管理，在网络设备配置信息发生变更后及时更新网络配置信息库，确保配置库的准确性、一致性。提交《网络配置信息库》。</w:t>
            </w:r>
          </w:p>
          <w:p w14:paraId="0D500B08">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（7）网络配置文件备份及存档：对关键网络设备配置信息每月至少1次进行备份，并将备份文件按照规范的命名存档至备份目录。提交《网络配置文件记录》。</w:t>
            </w:r>
          </w:p>
          <w:p w14:paraId="2B094C6C">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8）网络评估优化：实地对维护平台现有网络基础架构、技术架构、业务流量承载、基础服务能力等各方面进行综合评估分析，结合联网收费的业务部署及发展需求，分析网络的运营及支撑能力能否达到发展要求。同时依据现网状况和业务需求的分析结果，对架构规划、协议规划、配置参数等内容提出《网络优化建议方案》。</w:t>
            </w:r>
          </w:p>
          <w:p w14:paraId="7C594AA0">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3、计算资源运维服务</w:t>
            </w:r>
          </w:p>
          <w:p w14:paraId="3D65213A">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主机设备硬件巡检：现场巡查的方式对机房主机硬件设备的物理运行状态进行巡检、记录。异常情况，应第一时间报告采购人，并按实际情况进行处理。确有需要的，协调厂商进行故障排查和维修。提交《巡检报告》《服务事件记录》《故障报告》。</w:t>
            </w:r>
          </w:p>
          <w:p w14:paraId="2FFE8283">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主机资源运行监控：物理主机、虚拟主机运行状态检查、监控及预警。包括但不限于：物理主机CPU、内存、磁盘、网络的实时监控；虚拟机CPU、内存、磁盘IO、网络IO的实时监控；虚拟化管理机CPU、内存、磁盘IO负荷、网络IO负荷、网络链路状态的实时监控；计算资源池资源分配及使用情况实时监控。提交《巡检报告》。</w:t>
            </w:r>
          </w:p>
          <w:p w14:paraId="2BE22548">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虚机日常管理：虚拟机申请，根据申请要求的规格以及相关安全制度和要求，制作并开通符合申请需要的虚拟机。虚拟机变更，包括虚拟机的迁移、虚拟机规格升高/降低。虚拟机销毁/回收，对虚拟机进行回收，将到期或用户确认不再使用的虚拟机进行销毁，并将相关资源回收到资源池中。虚拟机维护，对用户正在使用的虚拟机的运行过程进行维护，包括故障恢复、性能调优等。提交《计算资源操作记录》。</w:t>
            </w:r>
          </w:p>
          <w:p w14:paraId="1FC59878">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（4）主机故障响应：第一时间处理做好主机故障响应、排查、诊断和处理工作。提交《服务事件记录》《故障报告》。</w:t>
            </w:r>
          </w:p>
          <w:p w14:paraId="240D6C03">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（5）虚机镜像管理：根据需求制作虚机镜像模板及对镜像的维护管理，包括镜像升级、补丁修复、配置更改等。提交《计算资源操作记录》。</w:t>
            </w:r>
          </w:p>
          <w:p w14:paraId="23DA42C0">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（6）虚拟网络配置管理：根据业务需求对虚拟网络资源的网络配置信息进行变更、维护管理。提交《计算资源操作记录》。</w:t>
            </w:r>
          </w:p>
          <w:p w14:paraId="5688771A">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7）虚机快照/备份管理：根据业务要求对指定虚拟机进行快照操作；对重要业务虚拟机进行定期备份，备份方式为全量+增量，每月至少1次全量，每天至少1次增量，每季度至少1次恢复验证测试。提交《计算资源操作记录》。</w:t>
            </w:r>
          </w:p>
          <w:p w14:paraId="4C04F4F3">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（8）主机设备维修管理：根据需要对发生故障的硬件设备协助采购人协调相关厂商进行维修或更换。提交《故障报告》《设备维修更换记录》。</w:t>
            </w:r>
          </w:p>
          <w:p w14:paraId="47F75C63">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（9）主机设备资产管理：每年至少两次对主机设备资产清点、标识，建立并维护资产清单。提交《资产清单》。</w:t>
            </w:r>
          </w:p>
          <w:p w14:paraId="06D89DD5">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（10）计算资源使用管理：对计算资源硬件配置和虚拟配置资源使用情况进行管理并记录，提交《计算资源使用记录》。</w:t>
            </w:r>
          </w:p>
          <w:p w14:paraId="69AE9647">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4、存储运维服务</w:t>
            </w:r>
          </w:p>
          <w:p w14:paraId="15165A2D">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存储设备硬件巡检：每天不少于4次对机房存储硬件设备物理运行状态进行现场巡检并记录。异常情况，应第一时间报告采购人，并按实际情况进行处理。确有需要的，协调厂商进行故障排查和维修。提交《巡检报告》、《服务事件记录》、《故障报告》。</w:t>
            </w:r>
          </w:p>
          <w:p w14:paraId="15E5EFB8">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存储运行监控：对存储资源池运行状态进行检查、监控，对异常情况能及时发现并告警。包括但不限于：存储资源物理设备CPU、内存、磁盘等实时监控；虚拟存储资源池IOPS性能、带宽、延迟、数据状态、健康状态、告警等实时监控；存储资源池容量分配与空间使用情况的实时监控。提交《巡检报告》。</w:t>
            </w:r>
          </w:p>
          <w:p w14:paraId="0011208E">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存储资源管理：根据业务要求对存储资源按需进行分配；每天统计全闪存储、混合存储、非结构化存储、备份存储等资源池空间使用情况；每周不少于一次对非结构化数据资源池进行历史数据删除，释放存储空间。《提交存储资源使用、操作记录》。</w:t>
            </w:r>
          </w:p>
          <w:p w14:paraId="5FAA1C4F">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（4）存储故障响应：第一时间对存储故障进行响应、排查、诊断和处理。提交《服务事件记录》《故障报告》。</w:t>
            </w:r>
          </w:p>
          <w:p w14:paraId="04D9D0CB">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（5）存储设备维修管理：根据需要对发生故障的硬件设备协助采购人协调相关厂商进行维修或更换。提交《故障报告》《设备维修更换记录》。</w:t>
            </w:r>
          </w:p>
          <w:p w14:paraId="04FC908E">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（6）存储设备资产管理：每年至少两次对存储设备资产清点、标识，建立并维护资产清单。提交《资产清单》。</w:t>
            </w:r>
          </w:p>
          <w:p w14:paraId="05639500">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5、基础软件运维服务</w:t>
            </w:r>
          </w:p>
          <w:p w14:paraId="191F8148">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（1）软件资产管理：每年不少于两次对基础软件资产清点、标识，建立并维护资产清单。提交《资产清单》。</w:t>
            </w:r>
          </w:p>
          <w:p w14:paraId="4BB04F2B">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（2）数据备份管理：制定和改进本地数据备份策略和方案，监控检查本地数据备份的执行情况。提交《数据备份计划》《巡检报告》。</w:t>
            </w:r>
          </w:p>
          <w:p w14:paraId="13EF3D06">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预防性维护服务：对虚拟化系统、分布式存储系统、备份系统开展每季度不少于1次的预防性巡检服务，服务内容主要包括软件状态检查、系统日志分析、系统诊断、系统运行情况、性能分析等，梳理运行隐患，提交《定期巡检报告》。</w:t>
            </w:r>
          </w:p>
          <w:p w14:paraId="3D58DAF4">
            <w:pPr>
              <w:pStyle w:val="4"/>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0"/>
                <w:szCs w:val="20"/>
                <w:lang w:eastAsia="zh-CN"/>
              </w:rPr>
            </w:pPr>
            <w:r>
              <w:rPr>
                <w:rFonts w:hint="eastAsia" w:ascii="宋体" w:hAnsi="宋体" w:eastAsia="宋体" w:cs="宋体"/>
                <w:sz w:val="20"/>
                <w:szCs w:val="20"/>
                <w:lang w:val="en-US" w:eastAsia="zh-CN"/>
              </w:rPr>
              <w:t>（4）技术支持服务：提供虚拟化系统、分布式存储系统、备份系统的二线技术支持响应服务，包括系统错误信息分析及故障诊断以及必要的现场技术支持服务。提交《服务事件记录》《故障报告》。</w:t>
            </w:r>
          </w:p>
        </w:tc>
      </w:tr>
      <w:tr w14:paraId="4F333D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1" w:type="dxa"/>
          </w:tcPr>
          <w:p w14:paraId="2A85BF9F">
            <w:pPr>
              <w:pStyle w:val="4"/>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w:t>
            </w:r>
          </w:p>
        </w:tc>
        <w:tc>
          <w:tcPr>
            <w:tcW w:w="1275" w:type="dxa"/>
          </w:tcPr>
          <w:p w14:paraId="4A996952">
            <w:pPr>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sz w:val="20"/>
                <w:szCs w:val="20"/>
              </w:rPr>
            </w:pPr>
          </w:p>
        </w:tc>
        <w:tc>
          <w:tcPr>
            <w:tcW w:w="5971" w:type="dxa"/>
          </w:tcPr>
          <w:p w14:paraId="56B4E3B1">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三、服务要求</w:t>
            </w:r>
          </w:p>
          <w:p w14:paraId="6DD94A06">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color w:val="auto"/>
                <w:sz w:val="20"/>
                <w:szCs w:val="20"/>
              </w:rPr>
            </w:pPr>
            <w:r>
              <w:rPr>
                <w:rFonts w:hint="eastAsia" w:ascii="宋体" w:hAnsi="宋体" w:eastAsia="宋体" w:cs="宋体"/>
                <w:color w:val="auto"/>
                <w:sz w:val="20"/>
                <w:szCs w:val="20"/>
              </w:rPr>
              <w:t>（</w:t>
            </w:r>
            <w:r>
              <w:rPr>
                <w:rFonts w:hint="eastAsia" w:ascii="宋体" w:hAnsi="宋体" w:eastAsia="宋体" w:cs="宋体"/>
                <w:color w:val="auto"/>
                <w:sz w:val="20"/>
                <w:szCs w:val="20"/>
                <w:lang w:val="en-US" w:eastAsia="zh-CN"/>
              </w:rPr>
              <w:t>一</w:t>
            </w:r>
            <w:r>
              <w:rPr>
                <w:rFonts w:hint="eastAsia" w:ascii="宋体" w:hAnsi="宋体" w:eastAsia="宋体" w:cs="宋体"/>
                <w:color w:val="auto"/>
                <w:sz w:val="20"/>
                <w:szCs w:val="20"/>
              </w:rPr>
              <w:t>）</w:t>
            </w:r>
            <w:r>
              <w:rPr>
                <w:rFonts w:hint="eastAsia" w:ascii="宋体" w:hAnsi="宋体" w:eastAsia="宋体" w:cs="宋体"/>
                <w:color w:val="auto"/>
                <w:sz w:val="20"/>
                <w:szCs w:val="20"/>
                <w:lang w:val="en-US" w:eastAsia="zh-CN"/>
              </w:rPr>
              <w:t>服务</w:t>
            </w:r>
            <w:r>
              <w:rPr>
                <w:rFonts w:hint="eastAsia" w:ascii="宋体" w:hAnsi="宋体" w:eastAsia="宋体" w:cs="宋体"/>
                <w:color w:val="auto"/>
                <w:sz w:val="20"/>
                <w:szCs w:val="20"/>
              </w:rPr>
              <w:t>人员要求</w:t>
            </w:r>
          </w:p>
          <w:p w14:paraId="5AA14224">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color w:val="auto"/>
                <w:sz w:val="20"/>
                <w:szCs w:val="20"/>
              </w:rPr>
            </w:pPr>
            <w:r>
              <w:rPr>
                <w:rFonts w:hint="eastAsia" w:ascii="宋体" w:hAnsi="宋体" w:eastAsia="宋体" w:cs="宋体"/>
                <w:color w:val="auto"/>
                <w:sz w:val="20"/>
                <w:szCs w:val="20"/>
              </w:rPr>
              <w:t>服务供应商应针对本项目成立专门的运维团队，明确运维团队的组织、人员、岗位职责、工作流程等，并派驻专业的运维人员在中心驻场服务，提供7×24小时值守、日常运维操作、故障响应处理、运行状况分析、应急保障等运维服务。</w:t>
            </w:r>
          </w:p>
          <w:p w14:paraId="214ED3D3">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（二）服务时间要求</w:t>
            </w:r>
          </w:p>
          <w:p w14:paraId="494F7C8C">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本项目运维服务时间要求为2026年7月1日至2027年6月30日，服务期内7*24小时服务。</w:t>
            </w:r>
          </w:p>
          <w:p w14:paraId="27E23410">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（三）服务方式要求</w:t>
            </w:r>
          </w:p>
          <w:p w14:paraId="1B679068">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本项目运维服务方式要求采用7*24小时驻场服务和5*8小时现场技术支持相结合的方式。针对不同专业和服务内容采用灵活的服务方式。</w:t>
            </w:r>
          </w:p>
          <w:p w14:paraId="2511EE18">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1.驻场服务</w:t>
            </w:r>
          </w:p>
          <w:p w14:paraId="15A4DB0B">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须在采购人现场安排值班工程师进行7*24小时驻场服务，执行日常运维服务工作，以确保随时能够处理紧急事件。周一至周五（法定正常工作日）除安排7*24小时值班工程师外，还需安排技术工程师进行5*8小时驻场服务，执行运维分析、处置、优化等服务工作。</w:t>
            </w:r>
          </w:p>
          <w:p w14:paraId="1579B974">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2.现场技术支持</w:t>
            </w:r>
          </w:p>
          <w:p w14:paraId="2E82B498">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根据联网收费支撑平台维护的专业性和实际维护需求，当发生紧急事件或驻场工程师无法解决的问题，二线技术专家通过远程或到达现场的方式提供技术支持服务。</w:t>
            </w:r>
          </w:p>
          <w:p w14:paraId="6003A86D">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（四）服务响应要求</w:t>
            </w:r>
          </w:p>
          <w:p w14:paraId="56C7D5D2">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在服务期内，供应商须提供7*24小时驻场服务，工作日5*8小时内应在10分钟内响应故障，2小时内提出故障解决方案；其他时间应在30分钟内响应故障，4小时内提出故障解决方案。</w:t>
            </w:r>
          </w:p>
          <w:p w14:paraId="2ECE09E2">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（五）监控与巡检管理要求</w:t>
            </w:r>
          </w:p>
          <w:p w14:paraId="15B6A776">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为达到高速公路联网收费业务支撑平台运维管理的可用性目标，对平台进行统一监控、定期巡检及时发现问题，确保平台7*24小时稳定可靠运行。监控与巡检管理总体要求如下：</w:t>
            </w:r>
          </w:p>
          <w:p w14:paraId="050DCA52">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1.针对机房环境、网络、计算、存储和虚拟层等各系统的不同特点，制定详细完整的常规巡检制度及检查/监控规程，确保平台的高效可用性。</w:t>
            </w:r>
          </w:p>
          <w:p w14:paraId="67814AE6">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2.每天由值班工作人员进行检查。机房环境常规时期每天现场巡检不少于2次，特殊时期每天现场巡检不少于4次；平台软硬件运行情况常规时期每天现场巡检不少于4次，特殊时期每天现场巡检不少于6次，做好每日巡检记录，确保平台的正常运行。</w:t>
            </w:r>
          </w:p>
          <w:p w14:paraId="2CAD26FE">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3.出现告警时，应由值班人员负责判断故障是否升级以及进行故障排除。对于</w:t>
            </w:r>
            <w:r>
              <w:rPr>
                <w:rFonts w:hint="eastAsia" w:ascii="宋体" w:hAnsi="宋体" w:eastAsia="宋体" w:cs="宋体"/>
                <w:sz w:val="20"/>
                <w:szCs w:val="20"/>
                <w:lang w:eastAsia="zh-CN"/>
              </w:rPr>
              <w:t>路网运行监测系统</w:t>
            </w:r>
            <w:bookmarkStart w:id="0" w:name="_GoBack"/>
            <w:bookmarkEnd w:id="0"/>
            <w:r>
              <w:rPr>
                <w:rFonts w:hint="eastAsia" w:ascii="宋体" w:hAnsi="宋体" w:eastAsia="宋体" w:cs="宋体"/>
                <w:sz w:val="20"/>
                <w:szCs w:val="20"/>
              </w:rPr>
              <w:t>所产生的告警，值班工作人员应按照事件处理流程，做统一记录、进行故障上报和处理。</w:t>
            </w:r>
          </w:p>
          <w:p w14:paraId="652545AD">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4.对维护范围内的网络设施、计算、存储和备份资源提供至少每季度一次的系统性巡检，提交巡检报告。通过系统健康检查对系统运行的潜在问题进行深入检查，排查隐患、分析系统性能，并提出解决建议。</w:t>
            </w:r>
          </w:p>
          <w:p w14:paraId="3D77E67C">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5.针对各种维护操作制定相应的岗位职责及管理制度，并通过事后的监督审核确保各项操作得到可靠地执行。</w:t>
            </w:r>
          </w:p>
          <w:p w14:paraId="7FA6C370">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（六）关键时刻保障服务</w:t>
            </w:r>
          </w:p>
          <w:p w14:paraId="577AE6A1">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针对关键时刻，如重大节假日、重要活动等，驻场工程师将与省中心沟通，制定关键时刻保障计划，加大日巡检次数和重保前平台健康检查和隐患排查，有效应对关键时期的各种突发事件。</w:t>
            </w:r>
          </w:p>
          <w:p w14:paraId="42EA9F34">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（七）培训要求</w:t>
            </w:r>
          </w:p>
          <w:p w14:paraId="77CBD75E">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在服务期内，针对运维岗位人员要求，对运维服务人员组织定期培训，提供系统性的原理和技术性能、操作维护方法、安装调测、排除故障等各个方面的培训，以确保运维服务人员具备相应的服务能力，能够持续满足运维服务要求。为确保培训过程最终能够满足以上要求，需通过考试来验证和保证培训效果。</w:t>
            </w:r>
          </w:p>
          <w:p w14:paraId="4ABAF6B5">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（八）网络安全要求</w:t>
            </w:r>
          </w:p>
          <w:p w14:paraId="011D5223">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供应商具备健全的网络安全服务体系，具有网络安全隐患排查、完善加固、预警监测、应对攻击等服务能力，配备具有相关技术能力的网络安全专项人员，为本项目提供漏洞检测、策略配置、加固整改、安全监测、应急处置等保障措施，确保系统安全稳定运行，按照要求签署网络安全责任协议。</w:t>
            </w:r>
          </w:p>
          <w:p w14:paraId="7B8C41CA">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（九）保密要求</w:t>
            </w:r>
          </w:p>
          <w:p w14:paraId="501B6320">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供应商应承担保密义务，不得以任何形式向第三方提供或泄露中心的工作机密， 包括采购人的日常运作、工作情况、网络结构、系统软件及采购人所提供的所有相关资料、数据等。保密期限不受合同有效期的限制，在合同有效期结束后，供应商仍应承担保密义务。</w:t>
            </w:r>
          </w:p>
          <w:p w14:paraId="6C4D96D1">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（十）其他要求</w:t>
            </w:r>
          </w:p>
          <w:p w14:paraId="41AD91BD">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1.如果在维护期内联网收费业务支撑平台新增硬件设备，供应商应提供对新增硬件设备状态的日常巡检服务。</w:t>
            </w:r>
          </w:p>
          <w:p w14:paraId="1FFBF88B">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2.供应商应保障支撑平台运行的连续性，制订详细、可行的连续性应急预案，维护期内如发生硬件故障，供应商应及时定位故障，并采取应急措施确保支撑平台运行的连续性。如需维修或更换硬件，供应商应提出配件规格型号，由采购人自行采购或委托供应商代购。其中本项目实施过程中所需的辅料辅材及价值低于3000元的低值易耗品由供应商负责维修及更换工作，采购人不再另行支付。</w:t>
            </w:r>
          </w:p>
          <w:p w14:paraId="3BD53D62">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rPr>
            </w:pPr>
            <w:r>
              <w:rPr>
                <w:rFonts w:hint="eastAsia" w:ascii="宋体" w:hAnsi="宋体" w:eastAsia="宋体" w:cs="宋体"/>
                <w:sz w:val="20"/>
                <w:szCs w:val="20"/>
              </w:rPr>
              <w:t>3.供应商应配合采购方在法定时间内完成合同的签订工作，签订地点由采购方指定。</w:t>
            </w:r>
          </w:p>
          <w:p w14:paraId="47C82B52">
            <w:pPr>
              <w:pStyle w:val="4"/>
              <w:keepNext w:val="0"/>
              <w:keepLines w:val="0"/>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s="宋体"/>
                <w:sz w:val="20"/>
                <w:szCs w:val="20"/>
                <w:lang w:eastAsia="zh-CN"/>
              </w:rPr>
            </w:pPr>
            <w:r>
              <w:rPr>
                <w:rFonts w:hint="eastAsia" w:ascii="宋体" w:hAnsi="宋体" w:eastAsia="宋体" w:cs="宋体"/>
                <w:sz w:val="20"/>
                <w:szCs w:val="20"/>
              </w:rPr>
              <w:t>（十一）供应链管理要求。供应商应严格落实网络安全和保密及人员管理要求，承担相应人员的网络安全和保密及人员管理责任，按要求签订协议和承诺书。供应商应强化配备人员管理，项目团队成员一经确认，原则上不得更换。如因特殊情况确需调整，须提前15个日历天向采购人提交书面申请，经采购人审核同意后方可更换，且替换人员的职称、专业背景、从业年限及项目经验不得低于原定人员标准，确保项目服务质量不受影响。</w:t>
            </w:r>
          </w:p>
        </w:tc>
      </w:tr>
    </w:tbl>
    <w:p w14:paraId="6AFDB3B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E4BDC3"/>
    <w:multiLevelType w:val="singleLevel"/>
    <w:tmpl w:val="56E4BDC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E502C1"/>
    <w:rsid w:val="0EE502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2026-05-21T06:41:00Z</dcterms:created>
  <dc:creator>833</dc:creator>
  <cp:lastModifiedBy>833</cp:lastModifiedBy>
  <dcterms:modified xsi:type="dcterms:W3CDTF">2026-05-21T06:43:01Z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1623E8053C0F4402BDB367C1503DCD67_11</vt:lpwstr>
  </property>
  <property fmtid="{D5CDD505-2E9C-101B-9397-08002B2CF9AE}" pid="4" name="KSOTemplateDocerSaveRecord">
    <vt:lpwstr>eyJoZGlkIjoiNTI1OGU5NzEwNjlmOTA0NzYwMTIyZGJlNThjMzMxOGYiLCJ1c2VySWQiOiIzMTI3MDEwNzEifQ==</vt:lpwstr>
  </property>
</Properties>
</file>