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版本号：CYDX2026-0730Z20260731001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2026年口袋公园及城市更新项目规划方案及施工图设计服务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CYDX2026-0730Z</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陕西朝阳德信工程造价咨询有限责任公司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陕西朝阳德信工程造价咨询有限责任公司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2026年口袋公园及城市更新项目规划方案及施工图设计服务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CYDX2026-0730Z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2026年口袋公园及城市更新项目规划方案及施工图设计服务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2026年口袋公园及城市更新项目规划方案及施工图设计服务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采购包1（2026年口袋公园及城市更新项目规划方案及施工图设计服务）：属于专门面向中小企业采购。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3、企业资质：供应商需具备工程设计综合资质甲级或建筑行业工程设计乙级及以上资质或建筑行业（建筑工程）专业设计乙级及以上资质；</w:t>
      </w:r>
    </w:p>
    <w:p>
      <w:pPr>
        <w:pStyle w:val="null3"/>
      </w:pPr>
      <w:r>
        <w:rPr>
          <w:rFonts w:ascii="仿宋_GB2312" w:hAnsi="仿宋_GB2312" w:cs="仿宋_GB2312" w:eastAsia="仿宋_GB2312"/>
        </w:rPr>
        <w:t>4、项目负责人：拟派项目负责人须具备二级注册建筑师及以上执业资格(在本单位注册，提供开标前3个月的社保缴纳证明)；</w:t>
      </w:r>
    </w:p>
    <w:p>
      <w:pPr>
        <w:pStyle w:val="null3"/>
      </w:pPr>
      <w:r>
        <w:rPr>
          <w:rFonts w:ascii="仿宋_GB2312" w:hAnsi="仿宋_GB2312" w:cs="仿宋_GB2312" w:eastAsia="仿宋_GB2312"/>
        </w:rPr>
        <w:t>5、承诺函：具有良好的商业信誉和健全的财务会计制度,具有履行合同所必需的设备和专业技术能力，具有依法缴纳税收和社会保障金的良好记录，参加本项目采购活动前三年内无重大违法活动记录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陕西朝阳德信工程造价咨询有限责任公司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西安市未央区太华北路华远锦悦中心15楼1509室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029-81610177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》（发改价格[2011]534号）文件的规定，名称：陕西朝阳德信工程造价咨询有限责任公司，开户行：中国工商银行股份有限公司西安未央支行，账号：3700034009100022944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陕西朝阳德信工程造价咨询有限责任公司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陕西朝阳德信工程造价咨询有限责任公司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陕西朝阳德信工程造价咨询有限责任公司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采购人在中华人民共和国境内使用投标人提供的货物及服务时免受第三方提出的侵犯其专利权或其它知识产权的起诉。如果第三方提出侵权指控，中标人应承担由此而引起的一切法律责任和费用。 最终成果的版权归采购人和成交人双方共有，中标人不得私自使用。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联系电话：029-81610177</w:t>
      </w:r>
    </w:p>
    <w:p>
      <w:pPr>
        <w:pStyle w:val="null3"/>
      </w:pPr>
      <w:r>
        <w:rPr>
          <w:rFonts w:ascii="仿宋_GB2312" w:hAnsi="仿宋_GB2312" w:cs="仿宋_GB2312" w:eastAsia="仿宋_GB2312"/>
        </w:rPr>
        <w:t>地址：西安市未央区太华北路华远锦悦中心15楼1509室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2026年口袋公园及城市更新项目规划方案及施工图设计服务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pPr>
            <w:r>
              <w:rPr>
                <w:rFonts w:ascii="仿宋_GB2312" w:hAnsi="仿宋_GB2312" w:cs="仿宋_GB2312" w:eastAsia="仿宋_GB2312"/>
                <w:sz w:val="28"/>
                <w:b/>
              </w:rPr>
              <w:t>一、项目概况</w:t>
            </w:r>
          </w:p>
          <w:p>
            <w:pPr>
              <w:pStyle w:val="null3"/>
              <w:spacing w:before="120" w:after="120"/>
              <w:ind w:firstLine="420"/>
            </w:pPr>
            <w:r>
              <w:rPr>
                <w:rFonts w:ascii="仿宋_GB2312" w:hAnsi="仿宋_GB2312" w:cs="仿宋_GB2312" w:eastAsia="仿宋_GB2312"/>
                <w:sz w:val="28"/>
              </w:rPr>
              <w:t>项目名称：</w:t>
            </w:r>
            <w:r>
              <w:rPr>
                <w:rFonts w:ascii="仿宋_GB2312" w:hAnsi="仿宋_GB2312" w:cs="仿宋_GB2312" w:eastAsia="仿宋_GB2312"/>
                <w:sz w:val="28"/>
              </w:rPr>
              <w:t>2026年口袋公园及城市更新项目规划方案及施工图设计</w:t>
            </w:r>
            <w:r>
              <w:rPr>
                <w:rFonts w:ascii="仿宋_GB2312" w:hAnsi="仿宋_GB2312" w:cs="仿宋_GB2312" w:eastAsia="仿宋_GB2312"/>
                <w:sz w:val="28"/>
              </w:rPr>
              <w:t>服务</w:t>
            </w:r>
          </w:p>
          <w:p>
            <w:pPr>
              <w:pStyle w:val="null3"/>
              <w:spacing w:before="120" w:after="120"/>
              <w:ind w:firstLine="420"/>
            </w:pPr>
            <w:r>
              <w:rPr>
                <w:rFonts w:ascii="仿宋_GB2312" w:hAnsi="仿宋_GB2312" w:cs="仿宋_GB2312" w:eastAsia="仿宋_GB2312"/>
                <w:sz w:val="28"/>
              </w:rPr>
              <w:t>项目地点：陕西省汉中市城固县</w:t>
            </w:r>
          </w:p>
          <w:p>
            <w:pPr>
              <w:pStyle w:val="null3"/>
              <w:spacing w:before="120" w:after="120"/>
              <w:ind w:firstLine="420"/>
            </w:pPr>
            <w:r>
              <w:rPr>
                <w:rFonts w:ascii="仿宋_GB2312" w:hAnsi="仿宋_GB2312" w:cs="仿宋_GB2312" w:eastAsia="仿宋_GB2312"/>
                <w:sz w:val="28"/>
              </w:rPr>
              <w:t>规划范围：本项目涉及城固县城区及柳林镇范围内多处口袋公园建设点位，涵盖街角绿地、社区周边闲置地、道路绿化带等多种类型用地。</w:t>
            </w:r>
          </w:p>
          <w:p>
            <w:pPr>
              <w:pStyle w:val="null3"/>
              <w:spacing w:before="120" w:after="120"/>
              <w:ind w:firstLine="420"/>
            </w:pPr>
            <w:r>
              <w:rPr>
                <w:rFonts w:ascii="仿宋_GB2312" w:hAnsi="仿宋_GB2312" w:cs="仿宋_GB2312" w:eastAsia="仿宋_GB2312"/>
                <w:sz w:val="28"/>
              </w:rPr>
              <w:t>项目规模：本项目共包含</w:t>
            </w:r>
            <w:r>
              <w:rPr>
                <w:rFonts w:ascii="仿宋_GB2312" w:hAnsi="仿宋_GB2312" w:cs="仿宋_GB2312" w:eastAsia="仿宋_GB2312"/>
                <w:sz w:val="28"/>
              </w:rPr>
              <w:t>6个口袋公园建设点位，总占地面积约14472平方米，具体点位如下表所示：</w:t>
            </w:r>
          </w:p>
          <w:tbl>
            <w:tblPr>
              <w:tblBorders>
                <w:top w:val="none" w:color="000000" w:sz="4"/>
                <w:left w:val="none" w:color="000000" w:sz="4"/>
                <w:bottom w:val="none" w:color="000000" w:sz="4"/>
                <w:right w:val="none" w:color="000000" w:sz="4"/>
                <w:insideH w:val="none"/>
                <w:insideV w:val="none"/>
              </w:tblBorders>
            </w:tblPr>
            <w:tblGrid>
              <w:gridCol w:w="251"/>
              <w:gridCol w:w="483"/>
              <w:gridCol w:w="348"/>
              <w:gridCol w:w="427"/>
              <w:gridCol w:w="734"/>
              <w:gridCol w:w="292"/>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b/>
                    </w:rPr>
                    <w:t>序号</w:t>
                  </w:r>
                </w:p>
              </w:tc>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b/>
                    </w:rPr>
                    <w:t>项目名称</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b/>
                    </w:rPr>
                    <w:t>规模（</w:t>
                  </w:r>
                  <w:r>
                    <w:rPr>
                      <w:rFonts w:ascii="仿宋_GB2312" w:hAnsi="仿宋_GB2312" w:cs="仿宋_GB2312" w:eastAsia="仿宋_GB2312"/>
                      <w:sz w:val="28"/>
                      <w:b/>
                    </w:rPr>
                    <w:t>m</w:t>
                  </w:r>
                  <w:r>
                    <w:rPr>
                      <w:rFonts w:ascii="仿宋_GB2312" w:hAnsi="仿宋_GB2312" w:cs="仿宋_GB2312" w:eastAsia="仿宋_GB2312"/>
                      <w:sz w:val="28"/>
                      <w:b/>
                    </w:rPr>
                    <w:t>²</w:t>
                  </w:r>
                  <w:r>
                    <w:rPr>
                      <w:rFonts w:ascii="仿宋_GB2312" w:hAnsi="仿宋_GB2312" w:cs="仿宋_GB2312" w:eastAsia="仿宋_GB2312"/>
                      <w:sz w:val="28"/>
                      <w:b/>
                    </w:rPr>
                    <w:t>）</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b/>
                    </w:rPr>
                    <w:t>设计内容</w:t>
                  </w:r>
                </w:p>
              </w:tc>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b/>
                    </w:rPr>
                    <w:t>建设地点</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b/>
                    </w:rPr>
                    <w:t>备注</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1</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柳林法治公园</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1950</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方案设计及施工图设计</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城固县柳林镇五渠寺村崔家山时代大道与吴家营交叉口南侧</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柳林航空梦想水景公园</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1167</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方案设计及施工图设计</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城固县柳林镇时代大道延伸段与纵四路交叉处</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含水景</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3</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柳林休闲口袋公园</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2188</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方案设计</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城固县柳林镇崔家山文柳路时代大道路口</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北一路口袋公园</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3577</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方案设计及施工图设计</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城固县博望街道北一路与城熊路交叉口</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老年大学口袋公园</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1698</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方案设计及施工图设计</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城固县西二路城固县老年大学</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适老化重点</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6</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修正药业前绿化带</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3892</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方案设计</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城固县三合镇</w:t>
                  </w:r>
                  <w:r>
                    <w:rPr>
                      <w:rFonts w:ascii="仿宋_GB2312" w:hAnsi="仿宋_GB2312" w:cs="仿宋_GB2312" w:eastAsia="仿宋_GB2312"/>
                      <w:sz w:val="28"/>
                    </w:rPr>
                    <w:t>G316北侧修正药业集团前区</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rFonts w:ascii="仿宋_GB2312" w:hAnsi="仿宋_GB2312" w:cs="仿宋_GB2312" w:eastAsia="仿宋_GB2312"/>
                      <w:sz w:val="28"/>
                    </w:rPr>
                    <w:t>道路绿化带提升</w:t>
                  </w:r>
                </w:p>
              </w:tc>
            </w:tr>
          </w:tbl>
          <w:p>
            <w:pPr>
              <w:pStyle w:val="null3"/>
              <w:spacing w:before="315"/>
              <w:jc w:val="both"/>
              <w:outlineLvl w:val="0"/>
            </w:pPr>
            <w:r>
              <w:rPr>
                <w:rFonts w:ascii="仿宋_GB2312" w:hAnsi="仿宋_GB2312" w:cs="仿宋_GB2312" w:eastAsia="仿宋_GB2312"/>
                <w:sz w:val="28"/>
                <w:b/>
                <w:color w:val="000000"/>
              </w:rPr>
              <w:t>二、项目背景与总体定位</w:t>
            </w:r>
          </w:p>
          <w:p>
            <w:pPr>
              <w:pStyle w:val="null3"/>
              <w:spacing w:before="105" w:after="105"/>
              <w:ind w:left="480" w:firstLine="715"/>
              <w:jc w:val="both"/>
            </w:pPr>
            <w:r>
              <w:rPr>
                <w:rFonts w:ascii="仿宋_GB2312" w:hAnsi="仿宋_GB2312" w:cs="仿宋_GB2312" w:eastAsia="仿宋_GB2312"/>
                <w:sz w:val="28"/>
              </w:rPr>
              <w:t>为贯彻城固县城市品质提升与</w:t>
            </w:r>
            <w:r>
              <w:rPr>
                <w:rFonts w:ascii="仿宋_GB2312" w:hAnsi="仿宋_GB2312" w:cs="仿宋_GB2312" w:eastAsia="仿宋_GB2312"/>
                <w:sz w:val="28"/>
              </w:rPr>
              <w:t>“口袋公园”建设总体部署，补齐老城区及人口密集区小型公共绿地短板，本次设计拟以微型绿地景观方案设计方式，在城区边角地、闲置地及老旧社区周边，系统设置贴近居民、功能完善的小型口袋公园，形成宜游、宜憩、宜赏的家门口绿色空间，为居民共享提供直接可用的设计成果。</w:t>
            </w:r>
          </w:p>
          <w:p>
            <w:pPr>
              <w:pStyle w:val="null3"/>
              <w:spacing w:before="315"/>
              <w:jc w:val="both"/>
              <w:outlineLvl w:val="0"/>
            </w:pPr>
            <w:r>
              <w:rPr>
                <w:rFonts w:ascii="仿宋_GB2312" w:hAnsi="仿宋_GB2312" w:cs="仿宋_GB2312" w:eastAsia="仿宋_GB2312"/>
                <w:sz w:val="28"/>
                <w:b/>
                <w:color w:val="000000"/>
              </w:rPr>
              <w:t>三、规划目标</w:t>
            </w:r>
          </w:p>
          <w:p>
            <w:pPr>
              <w:pStyle w:val="null3"/>
              <w:ind w:firstLine="720"/>
            </w:pPr>
            <w:r>
              <w:rPr>
                <w:rFonts w:ascii="仿宋_GB2312" w:hAnsi="仿宋_GB2312" w:cs="仿宋_GB2312" w:eastAsia="仿宋_GB2312"/>
                <w:sz w:val="28"/>
              </w:rPr>
              <w:t>1、织补绿地网络，实现见缝插绿：结合城固县绿地系统布局，将街头零散空间转化为社区级绿色节点，构建步行可达、布局均衡的口袋公园体系。</w:t>
            </w:r>
          </w:p>
          <w:p>
            <w:pPr>
              <w:pStyle w:val="null3"/>
              <w:ind w:firstLine="720"/>
            </w:pPr>
            <w:r>
              <w:rPr>
                <w:rFonts w:ascii="仿宋_GB2312" w:hAnsi="仿宋_GB2312" w:cs="仿宋_GB2312" w:eastAsia="仿宋_GB2312"/>
                <w:sz w:val="28"/>
              </w:rPr>
              <w:t>2、</w:t>
            </w:r>
            <w:r>
              <w:rPr>
                <w:rFonts w:ascii="仿宋_GB2312" w:hAnsi="仿宋_GB2312" w:cs="仿宋_GB2312" w:eastAsia="仿宋_GB2312"/>
                <w:sz w:val="28"/>
              </w:rPr>
              <w:t>营造全龄友好的日常活动空间：针对老人、儿童、上班族等不同群体，合理配置休憩、健身、亲子、交流等微空间，有效提升居民生活质量。</w:t>
            </w:r>
          </w:p>
          <w:p>
            <w:pPr>
              <w:pStyle w:val="null3"/>
              <w:ind w:firstLine="720"/>
            </w:pPr>
            <w:r>
              <w:rPr>
                <w:rFonts w:ascii="仿宋_GB2312" w:hAnsi="仿宋_GB2312" w:cs="仿宋_GB2312" w:eastAsia="仿宋_GB2312"/>
                <w:sz w:val="28"/>
              </w:rPr>
              <w:t>3、</w:t>
            </w:r>
            <w:r>
              <w:rPr>
                <w:rFonts w:ascii="仿宋_GB2312" w:hAnsi="仿宋_GB2312" w:cs="仿宋_GB2312" w:eastAsia="仿宋_GB2312"/>
                <w:sz w:val="28"/>
              </w:rPr>
              <w:t>彰显城固地方特色与生态智慧：融入本地文化符号、乡土植物与海绵城市理念，形成兼具城固人文气息和生态功能的小微景观地标。</w:t>
            </w:r>
          </w:p>
          <w:p>
            <w:pPr>
              <w:pStyle w:val="null3"/>
              <w:spacing w:before="315"/>
              <w:jc w:val="both"/>
              <w:outlineLvl w:val="0"/>
            </w:pPr>
            <w:r>
              <w:rPr>
                <w:rFonts w:ascii="仿宋_GB2312" w:hAnsi="仿宋_GB2312" w:cs="仿宋_GB2312" w:eastAsia="仿宋_GB2312"/>
                <w:sz w:val="28"/>
                <w:b/>
                <w:color w:val="000000"/>
              </w:rPr>
              <w:t>四、服务内容</w:t>
            </w:r>
          </w:p>
          <w:p>
            <w:pPr>
              <w:pStyle w:val="null3"/>
              <w:ind w:firstLine="720"/>
            </w:pPr>
            <w:r>
              <w:rPr>
                <w:rFonts w:ascii="仿宋_GB2312" w:hAnsi="仿宋_GB2312" w:cs="仿宋_GB2312" w:eastAsia="仿宋_GB2312"/>
                <w:sz w:val="28"/>
              </w:rPr>
              <w:t>（一）口袋公园总体布局与选址分析</w:t>
            </w:r>
          </w:p>
          <w:p>
            <w:pPr>
              <w:pStyle w:val="null3"/>
              <w:ind w:firstLine="720"/>
            </w:pPr>
            <w:r>
              <w:rPr>
                <w:rFonts w:ascii="仿宋_GB2312" w:hAnsi="仿宋_GB2312" w:cs="仿宋_GB2312" w:eastAsia="仿宋_GB2312"/>
                <w:sz w:val="28"/>
              </w:rPr>
              <w:t>功能定位：根据用地条件将口袋公园划分为街角游园、社区客厅、林荫驿站、全龄活动点等类型，明确各点位核心服务人群和主题定位。</w:t>
            </w:r>
          </w:p>
          <w:p>
            <w:pPr>
              <w:pStyle w:val="null3"/>
              <w:ind w:firstLine="720"/>
            </w:pPr>
            <w:r>
              <w:rPr>
                <w:rFonts w:ascii="仿宋_GB2312" w:hAnsi="仿宋_GB2312" w:cs="仿宋_GB2312" w:eastAsia="仿宋_GB2312"/>
                <w:sz w:val="28"/>
              </w:rPr>
              <w:t>（二）各口袋公园景观方案设计</w:t>
            </w:r>
          </w:p>
          <w:p>
            <w:pPr>
              <w:pStyle w:val="null3"/>
              <w:ind w:firstLine="720"/>
            </w:pPr>
            <w:r>
              <w:rPr>
                <w:rFonts w:ascii="仿宋_GB2312" w:hAnsi="仿宋_GB2312" w:cs="仿宋_GB2312" w:eastAsia="仿宋_GB2312"/>
                <w:sz w:val="28"/>
              </w:rPr>
              <w:t>总图与空间布局：每个点位独立完成总平面图设计，合理划分绿化区、铺装区、休息区、活动设施区等，保证视线通透、流线便捷、动静分区。</w:t>
            </w:r>
          </w:p>
          <w:p>
            <w:pPr>
              <w:pStyle w:val="null3"/>
              <w:ind w:firstLine="720"/>
            </w:pPr>
            <w:r>
              <w:rPr>
                <w:rFonts w:ascii="仿宋_GB2312" w:hAnsi="仿宋_GB2312" w:cs="仿宋_GB2312" w:eastAsia="仿宋_GB2312"/>
                <w:sz w:val="28"/>
              </w:rPr>
              <w:t>绿化与生态设计：以乡土树种为主，营造乔灌草复层绿化，结合雨水花园、下凹绿地、透水铺装等海绵手段，形成节水耐久的绿色微空间。</w:t>
            </w:r>
          </w:p>
          <w:p>
            <w:pPr>
              <w:pStyle w:val="null3"/>
              <w:ind w:firstLine="720"/>
            </w:pPr>
            <w:r>
              <w:rPr>
                <w:rFonts w:ascii="仿宋_GB2312" w:hAnsi="仿宋_GB2312" w:cs="仿宋_GB2312" w:eastAsia="仿宋_GB2312"/>
                <w:sz w:val="28"/>
              </w:rPr>
              <w:t>景观设施与城市家具：统筹坐凳、廊架、花池、照明灯具、分类垃圾桶、标识牌等</w:t>
            </w:r>
            <w:r>
              <w:rPr>
                <w:rFonts w:ascii="仿宋_GB2312" w:hAnsi="仿宋_GB2312" w:cs="仿宋_GB2312" w:eastAsia="仿宋_GB2312"/>
                <w:sz w:val="28"/>
              </w:rPr>
              <w:t>“城市家具”的选型与布点，强调实用、美观、易维护。</w:t>
            </w:r>
          </w:p>
          <w:p>
            <w:pPr>
              <w:pStyle w:val="null3"/>
              <w:ind w:firstLine="720"/>
            </w:pPr>
            <w:r>
              <w:rPr>
                <w:rFonts w:ascii="仿宋_GB2312" w:hAnsi="仿宋_GB2312" w:cs="仿宋_GB2312" w:eastAsia="仿宋_GB2312"/>
                <w:sz w:val="28"/>
              </w:rPr>
              <w:t>适老适幼与无障碍设计：保证主要活动区域实现无障碍通行，设置适老化扶手、靠背座椅，配置安全的儿童游乐微设施，提高各类人群使用舒适度。</w:t>
            </w:r>
          </w:p>
          <w:p>
            <w:pPr>
              <w:pStyle w:val="null3"/>
              <w:ind w:firstLine="720"/>
            </w:pPr>
            <w:r>
              <w:rPr>
                <w:rFonts w:ascii="仿宋_GB2312" w:hAnsi="仿宋_GB2312" w:cs="仿宋_GB2312" w:eastAsia="仿宋_GB2312"/>
                <w:sz w:val="28"/>
              </w:rPr>
              <w:t>（三）专项支撑设计</w:t>
            </w:r>
          </w:p>
          <w:p>
            <w:pPr>
              <w:pStyle w:val="null3"/>
              <w:ind w:firstLine="720"/>
            </w:pPr>
            <w:r>
              <w:rPr>
                <w:rFonts w:ascii="仿宋_GB2312" w:hAnsi="仿宋_GB2312" w:cs="仿宋_GB2312" w:eastAsia="仿宋_GB2312"/>
                <w:sz w:val="28"/>
              </w:rPr>
              <w:t>照明与夜环境设计：结合安全需求与氛围营造，设计庭院灯、草坪灯、照树灯等，形成温馨宜人且不影响周边居住的夜间环境。</w:t>
            </w:r>
          </w:p>
          <w:p>
            <w:pPr>
              <w:pStyle w:val="null3"/>
              <w:ind w:firstLine="720"/>
            </w:pPr>
            <w:r>
              <w:rPr>
                <w:rFonts w:ascii="仿宋_GB2312" w:hAnsi="仿宋_GB2312" w:cs="仿宋_GB2312" w:eastAsia="仿宋_GB2312"/>
                <w:sz w:val="28"/>
              </w:rPr>
              <w:t>竖向与排水设计：结合原地形优化微地形，明确场地竖向组织与地表径流引导方式，确保雨后不积水，兼顾景观与排水功能。</w:t>
            </w:r>
          </w:p>
          <w:p>
            <w:pPr>
              <w:pStyle w:val="null3"/>
              <w:ind w:firstLine="720"/>
            </w:pPr>
            <w:r>
              <w:rPr>
                <w:rFonts w:ascii="仿宋_GB2312" w:hAnsi="仿宋_GB2312" w:cs="仿宋_GB2312" w:eastAsia="仿宋_GB2312"/>
                <w:sz w:val="28"/>
              </w:rPr>
              <w:t>种植与养护策略：编制植物种植设计图与苗木表，提出低维护、可持续的养护建议，供管理部门长期管养参考。</w:t>
            </w:r>
          </w:p>
          <w:p>
            <w:pPr>
              <w:pStyle w:val="null3"/>
              <w:spacing w:before="315"/>
              <w:jc w:val="both"/>
              <w:outlineLvl w:val="0"/>
            </w:pPr>
            <w:r>
              <w:rPr>
                <w:rFonts w:ascii="仿宋_GB2312" w:hAnsi="仿宋_GB2312" w:cs="仿宋_GB2312" w:eastAsia="仿宋_GB2312"/>
                <w:sz w:val="28"/>
                <w:b/>
                <w:color w:val="000000"/>
              </w:rPr>
              <w:t>五、成果要求</w:t>
            </w:r>
          </w:p>
          <w:p>
            <w:pPr>
              <w:pStyle w:val="null3"/>
              <w:spacing w:after="165"/>
              <w:ind w:left="840"/>
            </w:pPr>
            <w:r>
              <w:rPr>
                <w:rFonts w:ascii="仿宋_GB2312" w:hAnsi="仿宋_GB2312" w:cs="仿宋_GB2312" w:eastAsia="仿宋_GB2312"/>
                <w:sz w:val="28"/>
              </w:rPr>
              <w:t>成果包括文本类、图纸类和专题研究类内容：</w:t>
            </w:r>
          </w:p>
          <w:p>
            <w:pPr>
              <w:pStyle w:val="null3"/>
              <w:spacing w:after="165"/>
              <w:ind w:left="840"/>
            </w:pPr>
            <w:r>
              <w:rPr>
                <w:rFonts w:ascii="仿宋_GB2312" w:hAnsi="仿宋_GB2312" w:cs="仿宋_GB2312" w:eastAsia="仿宋_GB2312"/>
                <w:sz w:val="28"/>
              </w:rPr>
              <w:t>文本类：各点位景观设计方案；</w:t>
            </w:r>
          </w:p>
          <w:p>
            <w:pPr>
              <w:pStyle w:val="null3"/>
              <w:spacing w:after="165"/>
              <w:ind w:firstLine="495"/>
            </w:pPr>
            <w:r>
              <w:rPr>
                <w:rFonts w:ascii="仿宋_GB2312" w:hAnsi="仿宋_GB2312" w:cs="仿宋_GB2312" w:eastAsia="仿宋_GB2312"/>
                <w:sz w:val="28"/>
              </w:rPr>
              <w:t>图纸类：各点位景观设计总平面图（</w:t>
            </w:r>
            <w:r>
              <w:rPr>
                <w:rFonts w:ascii="仿宋_GB2312" w:hAnsi="仿宋_GB2312" w:cs="仿宋_GB2312" w:eastAsia="仿宋_GB2312"/>
                <w:sz w:val="28"/>
              </w:rPr>
              <w:t>1:200—1:500）、竖向及排水设计图、绿化种植设计图、照明布局图、城市家具布置图；</w:t>
            </w:r>
            <w:r>
              <w:br/>
            </w:r>
            <w:r>
              <w:rPr>
                <w:rFonts w:ascii="仿宋_GB2312" w:hAnsi="仿宋_GB2312" w:cs="仿宋_GB2312" w:eastAsia="仿宋_GB2312"/>
                <w:sz w:val="22"/>
              </w:rPr>
              <w:t xml:space="preserve">    </w:t>
            </w:r>
            <w:r>
              <w:rPr>
                <w:rFonts w:ascii="仿宋_GB2312" w:hAnsi="仿宋_GB2312" w:cs="仿宋_GB2312" w:eastAsia="仿宋_GB2312"/>
                <w:sz w:val="28"/>
              </w:rPr>
              <w:t>效果展示类：各点位整体鸟瞰效果图、主要节点人视点效果图、重要小品及设施意向图；</w:t>
            </w:r>
          </w:p>
          <w:p>
            <w:pPr>
              <w:pStyle w:val="null3"/>
              <w:spacing w:after="165"/>
            </w:pPr>
            <w:r>
              <w:rPr>
                <w:rFonts w:ascii="仿宋_GB2312" w:hAnsi="仿宋_GB2312" w:cs="仿宋_GB2312" w:eastAsia="仿宋_GB2312"/>
                <w:sz w:val="28"/>
                <w:b/>
              </w:rPr>
              <w:t>六、质量标准：</w:t>
            </w:r>
            <w:r>
              <w:rPr>
                <w:rFonts w:ascii="仿宋_GB2312" w:hAnsi="仿宋_GB2312" w:cs="仿宋_GB2312" w:eastAsia="仿宋_GB2312"/>
                <w:sz w:val="28"/>
              </w:rPr>
              <w:t>成果文件符合国家、省及行业现行相关标准、规范和招标人要求，确保数据完整、真实准确、清晰有据。</w:t>
            </w:r>
          </w:p>
          <w:p>
            <w:pPr>
              <w:pStyle w:val="null3"/>
              <w:spacing w:before="315"/>
              <w:jc w:val="both"/>
              <w:outlineLvl w:val="0"/>
            </w:pPr>
            <w:r>
              <w:rPr>
                <w:rFonts w:ascii="仿宋_GB2312" w:hAnsi="仿宋_GB2312" w:cs="仿宋_GB2312" w:eastAsia="仿宋_GB2312"/>
                <w:sz w:val="28"/>
                <w:b/>
                <w:color w:val="000000"/>
              </w:rPr>
              <w:t>七、服务期限</w:t>
            </w:r>
          </w:p>
          <w:p>
            <w:pPr>
              <w:pStyle w:val="null3"/>
              <w:spacing w:before="105" w:after="105"/>
              <w:ind w:firstLine="560"/>
              <w:jc w:val="both"/>
            </w:pPr>
            <w:r>
              <w:rPr>
                <w:rFonts w:ascii="仿宋_GB2312" w:hAnsi="仿宋_GB2312" w:cs="仿宋_GB2312" w:eastAsia="仿宋_GB2312"/>
                <w:sz w:val="28"/>
              </w:rPr>
              <w:t>服务期限：合同签订之日起</w:t>
            </w:r>
            <w:r>
              <w:rPr>
                <w:rFonts w:ascii="仿宋_GB2312" w:hAnsi="仿宋_GB2312" w:cs="仿宋_GB2312" w:eastAsia="仿宋_GB2312"/>
                <w:sz w:val="28"/>
              </w:rPr>
              <w:t>6</w:t>
            </w:r>
            <w:r>
              <w:rPr>
                <w:rFonts w:ascii="仿宋_GB2312" w:hAnsi="仿宋_GB2312" w:cs="仿宋_GB2312" w:eastAsia="仿宋_GB2312"/>
                <w:sz w:val="28"/>
              </w:rPr>
              <w:t>个月</w:t>
            </w:r>
            <w:r>
              <w:rPr>
                <w:rFonts w:ascii="仿宋_GB2312" w:hAnsi="仿宋_GB2312" w:cs="仿宋_GB2312" w:eastAsia="仿宋_GB2312"/>
                <w:sz w:val="28"/>
              </w:rPr>
              <w:t>内完成。</w:t>
            </w:r>
          </w:p>
          <w:p>
            <w:pPr>
              <w:pStyle w:val="null3"/>
              <w:spacing w:before="315"/>
              <w:jc w:val="both"/>
              <w:outlineLvl w:val="0"/>
            </w:pPr>
            <w:r>
              <w:rPr>
                <w:rFonts w:ascii="仿宋_GB2312" w:hAnsi="仿宋_GB2312" w:cs="仿宋_GB2312" w:eastAsia="仿宋_GB2312"/>
                <w:sz w:val="28"/>
                <w:b/>
                <w:color w:val="000000"/>
              </w:rPr>
              <w:t>八、成果交付形式</w:t>
            </w:r>
          </w:p>
          <w:p>
            <w:pPr>
              <w:pStyle w:val="null3"/>
              <w:spacing w:before="105" w:after="105"/>
              <w:ind w:left="555"/>
              <w:jc w:val="left"/>
            </w:pPr>
            <w:r>
              <w:rPr>
                <w:rFonts w:ascii="仿宋_GB2312" w:hAnsi="仿宋_GB2312" w:cs="仿宋_GB2312" w:eastAsia="仿宋_GB2312"/>
                <w:sz w:val="28"/>
              </w:rPr>
              <w:t>电子版：数据库、</w:t>
            </w:r>
            <w:r>
              <w:rPr>
                <w:rFonts w:ascii="仿宋_GB2312" w:hAnsi="仿宋_GB2312" w:cs="仿宋_GB2312" w:eastAsia="仿宋_GB2312"/>
                <w:sz w:val="28"/>
              </w:rPr>
              <w:t>DWG、PDF、Word及可编辑格式文件各一份；</w:t>
            </w:r>
            <w:r>
              <w:br/>
            </w:r>
            <w:r>
              <w:rPr>
                <w:rFonts w:ascii="仿宋_GB2312" w:hAnsi="仿宋_GB2312" w:cs="仿宋_GB2312" w:eastAsia="仿宋_GB2312"/>
                <w:sz w:val="28"/>
              </w:rPr>
              <w:t>纸质版：成果文本</w:t>
            </w:r>
            <w:r>
              <w:rPr>
                <w:rFonts w:ascii="仿宋_GB2312" w:hAnsi="仿宋_GB2312" w:cs="仿宋_GB2312" w:eastAsia="仿宋_GB2312"/>
                <w:sz w:val="28"/>
              </w:rPr>
              <w:t>3份、图纸汇编2套；</w:t>
            </w:r>
            <w:r>
              <w:br/>
            </w:r>
            <w:r>
              <w:rPr>
                <w:rFonts w:ascii="仿宋_GB2312" w:hAnsi="仿宋_GB2312" w:cs="仿宋_GB2312" w:eastAsia="仿宋_GB2312"/>
                <w:sz w:val="28"/>
              </w:rPr>
              <w:t>提供汇报用</w:t>
            </w:r>
            <w:r>
              <w:rPr>
                <w:rFonts w:ascii="仿宋_GB2312" w:hAnsi="仿宋_GB2312" w:cs="仿宋_GB2312" w:eastAsia="仿宋_GB2312"/>
                <w:sz w:val="28"/>
              </w:rPr>
              <w:t>PPT及展示图册版本。</w:t>
            </w:r>
          </w:p>
          <w:p>
            <w:pPr>
              <w:pStyle w:val="null3"/>
            </w:pPr>
            <w:r>
              <w:rPr>
                <w:rFonts w:ascii="仿宋_GB2312" w:hAnsi="仿宋_GB2312" w:cs="仿宋_GB2312" w:eastAsia="仿宋_GB2312"/>
                <w:sz w:val="28"/>
                <w:b/>
              </w:rPr>
              <w:t>九、知识产权</w:t>
            </w:r>
          </w:p>
          <w:p>
            <w:pPr>
              <w:pStyle w:val="null3"/>
              <w:ind w:firstLine="560"/>
            </w:pPr>
            <w:r>
              <w:rPr>
                <w:rFonts w:ascii="仿宋_GB2312" w:hAnsi="仿宋_GB2312" w:cs="仿宋_GB2312" w:eastAsia="仿宋_GB2312"/>
                <w:sz w:val="28"/>
              </w:rPr>
              <w:t>采购人在中华人民共和国境内使用投标人提供的货物及服务时免受第三方提出的侵犯其专利权或其它知识产权的起诉。如果第三方提出侵权指控，中标人应承担由此而引起的一切法律责任和费用。</w:t>
            </w:r>
          </w:p>
          <w:p>
            <w:pPr>
              <w:pStyle w:val="null3"/>
              <w:ind w:firstLine="560"/>
            </w:pPr>
            <w:r>
              <w:rPr>
                <w:rFonts w:ascii="仿宋_GB2312" w:hAnsi="仿宋_GB2312" w:cs="仿宋_GB2312" w:eastAsia="仿宋_GB2312"/>
                <w:sz w:val="28"/>
              </w:rPr>
              <w:t>最终成果的版权归采购人和成交人双方共有，中标人不得私自使用。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成果文件符合国家、省及行业现行相关标准、规范和招标人要求，确保数据完整、真实准确、清晰有据。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成果文件提交经采购方确认后，达到付款条件起10个工作日内，支付合同总金额的70.0%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2.未按合同要求提供服务或质量标准不能满足技术要求，采购人有权终止合同，并对成交人违约行为进行追究，同时按《中华人民共和国政府采购法》的有关规定进行处罚。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一般资格.docx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特殊资格.docx 一般资格.docx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供应商需具备工程设计综合资质甲级或建筑行业工程设计乙级及以上资质或建筑行业（建筑工程）专业设计乙级及以上资质；</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拟派项目负责人须具备二级注册建筑师及以上执业资格(在本单位注册，提供开标前3个月的社保缴纳证明)；</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以合同的形式提供投标人2023年1月1日至今类似业绩，每提供一份得2分，满分4分；（提供完整合同复印件。）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服务期限</w:t>
            </w:r>
          </w:p>
        </w:tc>
        <w:tc>
          <w:tcPr>
            <w:tcW w:type="dxa" w:w="2492"/>
          </w:tcPr>
          <w:p>
            <w:pPr>
              <w:pStyle w:val="null3"/>
            </w:pPr>
            <w:r>
              <w:rPr>
                <w:rFonts w:ascii="仿宋_GB2312" w:hAnsi="仿宋_GB2312" w:cs="仿宋_GB2312" w:eastAsia="仿宋_GB2312"/>
              </w:rPr>
              <w:t>服务期限每提前1个月得3分，满分9分。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拟派项目负责人具备建筑工程相关专业高级工程师的得5分，具备建筑工程相关专业中级工程师得3分，不满足不得分。 说明：需按要求提供拟派项目负责人的职称证。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① 拟派项目组成员专业配置齐全（建筑、结构、给排水、电气等专业配套，每个专业最多一人，超出按一人计算）得8分，每缺1个专业扣2分，扣完为止； ② 在① 表中配备的成员具有中级及以上职称的，每有1人得2分，最高得4分； ③ 在① 表中配备的成员具有注册执业资格的，每有1人得2分，最高得4分。 说明：项目组成人员不含项目负责人，需提供相关人员的职称证、注册证等证明材料，未提供不得分。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供应商针对本项目提供真实、具体的服务承诺： 1、服务质量、服务计划的服务承诺； 2、人员到位的承诺； 3、项目实施、后期验收、监督检查配合服务的承诺； 4、项目实施团队的响应承诺； 5、保密承诺等。 每提供一份承诺得3分，满分15分。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一、评审内容：服务方案内容至少包括①项目理解；②服务方案；③项目进度计划；④进度保障措施；⑤服务流程及管理；⑥应急预案等。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以上每条评审内容每完全满足一个评审标准得1 分，满分 3分； 共计18分。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一、评审内容：重点难点分析及解决方案内容至少包括①履约过程重点难点分析；②重点难点解决方案等。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以上每条评审内容每完全满足一个评审标准得1 分，满分 3分； 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一、评审内容：质量保障措施内容至少包括①质量控制自查措施；②质量控制及验收方案等。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以上每条评审内容每完全满足一个评审标准得2分，满分 6分； 共计12分。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详见附件：一般资格.docx</w:t>
      </w:r>
    </w:p>
    <w:p>
      <w:pPr>
        <w:pStyle w:val="null3"/>
        <w:ind w:firstLine="960"/>
      </w:pPr>
      <w:r>
        <w:rPr>
          <w:rFonts w:ascii="仿宋_GB2312" w:hAnsi="仿宋_GB2312" w:cs="仿宋_GB2312" w:eastAsia="仿宋_GB2312"/>
        </w:rPr>
        <w:t>详见附件：特殊资格.docx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详见附件：团队人员.docx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详见附件：质量保障措施.docx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