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94DACA">
      <w:pPr>
        <w:pStyle w:val="2"/>
        <w:pageBreakBefore w:val="0"/>
        <w:numPr>
          <w:ilvl w:val="0"/>
          <w:numId w:val="1"/>
        </w:numPr>
        <w:kinsoku/>
        <w:wordWrap/>
        <w:topLinePunct w:val="0"/>
        <w:bidi w:val="0"/>
        <w:spacing w:line="520" w:lineRule="exact"/>
        <w:jc w:val="center"/>
        <w:rPr>
          <w:rFonts w:hint="eastAsia" w:ascii="宋体" w:hAnsi="宋体" w:eastAsia="宋体" w:cs="宋体"/>
          <w:b/>
          <w:bCs/>
          <w:color w:val="auto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采购内容及要求</w:t>
      </w:r>
    </w:p>
    <w:p w14:paraId="4E94476A">
      <w:pPr>
        <w:spacing w:line="520" w:lineRule="exact"/>
        <w:ind w:firstLine="482" w:firstLineChars="200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一、项目概况</w:t>
      </w:r>
    </w:p>
    <w:p w14:paraId="4946A722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1.项目名称：杨凌足球运动中心项目规划设计。</w:t>
      </w:r>
    </w:p>
    <w:p w14:paraId="51EADD1D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2.项目背景：根据陕西省体育局《关于切实做好市县足球青训中心建设的通知》（陕体办发〔2026〕25号）精神，杨凌示范区杨陵区列入全省38个县级青训中心建设名单。按照“省级育精英、市级精布局、县级抓普及”原则，需加快县级青训中心场地设施建设。结合《杨凌足球运动中心运营实施方案》确定的“训、赛、康、服、游”一体化发展目标，实施本项目规划设计。</w:t>
      </w:r>
    </w:p>
    <w:p w14:paraId="106EBAF4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3.建设地点：杨凌示范区（陕西农林职业大学校区布局2块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杨凌水上运动中心规划布局8块）。</w:t>
      </w:r>
    </w:p>
    <w:p w14:paraId="465CCC7D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4.建设规模：规划新建10块11人制标准足球场地，单块比赛区域净尺寸105m×68m，含缓冲区后场地总尺寸按110m×72m控制。配套建设智能喷灌系统、场地排水系统、安全围网系统、专业照明系统、公共广播音响系统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视频监控系统及功能用房等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附属设施。</w:t>
      </w:r>
    </w:p>
    <w:p w14:paraId="5A78504E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5.采购标的：本项目为全过程规划设计服务采购，包含项目建议书编制、可行性研究报告编制、方案设计、初步设计及概算编制、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体育建筑工艺方案设计、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施工图设计及后续施工配合服务，统一由一家单位实施，不拆分标段。</w:t>
      </w:r>
    </w:p>
    <w:p w14:paraId="784E7B85">
      <w:pPr>
        <w:spacing w:line="520" w:lineRule="exact"/>
        <w:ind w:firstLine="482" w:firstLineChars="200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eastAsia="zh-CN"/>
        </w:rPr>
        <w:t>二、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服务范围与工作内容</w:t>
      </w:r>
    </w:p>
    <w:p w14:paraId="303B826C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1.项目建议书编制：按发改部门立项要求编制完整的项目建议书，包含建设必要性、建设方案、投资估算、实施计划、效益分析等核心内容，深度满足立项受理及审批要求。</w:t>
      </w:r>
    </w:p>
    <w:p w14:paraId="7248B1DE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2.可行性研究报告编制：依据立项批复深化编制可行性研究报告，涵盖建设必要性分析、建设方案多方案比选、建设内容及规模、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体育建筑工艺方案、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工程技术方案论证、投资估算、资金筹措、节能分析、水土保持分析、社会效益分析、社会稳定风险分析等章节，配合完成专家评审、公示及可研批复工作。</w:t>
      </w:r>
    </w:p>
    <w:p w14:paraId="2FBCFBAD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3.方案设计：结合2处场地功能定位，制定足球运动中心场地建设整体方案，明确场地布置、场地构造做法（草坪选型）、智能喷灌、排水、围网、照明及配套设施的设计思路。编制方案设计说明、效果图、汇报文本，配合主管部门方案汇报并按意见修改完善。</w:t>
      </w:r>
    </w:p>
    <w:p w14:paraId="47F5C7A2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4.初步设计及概算编制：依据可研批复文件，完成全部建设内容的初步设计文件，同步编制工程设计概算。概算精度满足国家及地方造价管理规定，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按照工民建工程编制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概算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不得超过可研批复投资估算的10%。配合完成初步设计评审及批复。</w:t>
      </w:r>
    </w:p>
    <w:p w14:paraId="77FD4689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5.体育建筑工艺方案设计：依据《体育建筑工艺设计标准》进行足球场地的建筑工艺设计，达到乙级足球场地建设标准。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编制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体育建筑工艺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方案设计说明、汇报文本，配合主管部门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进行体育建筑工艺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方案汇报并按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专家审核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意见修改完善。</w:t>
      </w:r>
    </w:p>
    <w:p w14:paraId="1B7225AF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.施工图设计：依据初步设计批复，出具全套施工图纸，包含场地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基础处理、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主体结构、喷灌、排水、电气、照明、围网等所有专业的完整施工图，并完成管线综合设计。设计深度满足施工招标、现场施工、工程验收的规范要求，配合完成施工图设计文件审查。</w:t>
      </w:r>
    </w:p>
    <w:p w14:paraId="4D975E23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.后续施工配合服务：包含设计交底、施工过程技术指导、设计变更处理、现场问题答疑、配合分部分项验收及竣工验收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以及配合体育建筑工艺专项检测验收，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配合竣工结算审核等，服务周期至项目竣工验收合格之日止。</w:t>
      </w:r>
    </w:p>
    <w:p w14:paraId="7C7AB437">
      <w:pPr>
        <w:spacing w:line="520" w:lineRule="exact"/>
        <w:ind w:firstLine="482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eastAsia="zh-CN"/>
        </w:rPr>
        <w:t>一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）主要技术参数与标准</w:t>
      </w:r>
    </w:p>
    <w:p w14:paraId="55495270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1.尺寸规范：</w:t>
      </w: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</w:rPr>
        <w:t>单块11人制足球场比赛区域净尺寸为105m×68m。含缓冲区后场地总尺寸按不小于110m×72m控制；条件允许时，封闭比赛场、封闭训练场宜按111m×74m预留，边线外缓冲区不小于3m，底线外缓冲区不小于5m。场地朝向宜为南北向，避开东西向眩光。</w:t>
      </w:r>
    </w:p>
    <w:p w14:paraId="44FA7E97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</w:rPr>
        <w:t>十一人制足以场地为龟背式，足球场坡度为3%，坡向环沟。平整度：封闭比赛场、封闭训练场≤±20mm，开放休闲场≤±30mm；高标准控制值宜取二级≤±15mm、三级≤±20mm。</w:t>
      </w:r>
    </w:p>
    <w:p w14:paraId="29581BA1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场地结构：</w:t>
      </w:r>
    </w:p>
    <w:p w14:paraId="4D6B9436">
      <w:pPr>
        <w:spacing w:line="520" w:lineRule="exact"/>
        <w:ind w:firstLine="480" w:firstLineChars="200"/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面层按满足业余赛事及日常训练标准设计，并按场地等级分级：</w:t>
      </w:r>
    </w:p>
    <w:p w14:paraId="6E84CB33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</w:rPr>
        <w:t>封闭比赛场、封闭训练场：按天然草坪二级面层（FIFA Quality）建设；</w:t>
      </w:r>
    </w:p>
    <w:p w14:paraId="0D0973CA">
      <w:pPr>
        <w:spacing w:line="520" w:lineRule="exact"/>
        <w:ind w:firstLine="480" w:firstLineChars="200"/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</w:rPr>
        <w:t>开放休闲健身场：按天然草坪三级面层建设，关键指标不低于下表控制值。</w:t>
      </w:r>
    </w:p>
    <w:p w14:paraId="6C3F0663">
      <w:pPr>
        <w:spacing w:line="520" w:lineRule="exact"/>
        <w:ind w:firstLine="480" w:firstLineChars="200"/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天然草坪基层应满足强度、透水性、抗冲击性要求，自下而上设置素土夯实层、碎石稳定层、透水层、根系层。控制指标如下：</w:t>
      </w:r>
    </w:p>
    <w:p w14:paraId="0E006052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构造层指标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8"/>
        <w:gridCol w:w="5971"/>
        <w:gridCol w:w="1070"/>
      </w:tblGrid>
      <w:tr w14:paraId="23CF3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98" w:type="dxa"/>
            <w:noWrap w:val="0"/>
            <w:vAlign w:val="center"/>
          </w:tcPr>
          <w:p w14:paraId="1D448757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构造层</w:t>
            </w:r>
          </w:p>
        </w:tc>
        <w:tc>
          <w:tcPr>
            <w:tcW w:w="5971" w:type="dxa"/>
            <w:noWrap w:val="0"/>
            <w:vAlign w:val="center"/>
          </w:tcPr>
          <w:p w14:paraId="7ECC9C57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控制指标</w:t>
            </w:r>
          </w:p>
        </w:tc>
        <w:tc>
          <w:tcPr>
            <w:tcW w:w="1070" w:type="dxa"/>
            <w:noWrap w:val="0"/>
            <w:vAlign w:val="center"/>
          </w:tcPr>
          <w:p w14:paraId="3B6053AE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BA6B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98" w:type="dxa"/>
            <w:noWrap w:val="0"/>
            <w:vAlign w:val="center"/>
          </w:tcPr>
          <w:p w14:paraId="204D3DC8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素土夯实层</w:t>
            </w:r>
          </w:p>
        </w:tc>
        <w:tc>
          <w:tcPr>
            <w:tcW w:w="5971" w:type="dxa"/>
            <w:noWrap w:val="0"/>
            <w:vAlign w:val="center"/>
          </w:tcPr>
          <w:p w14:paraId="37F74467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压实度≥95%</w:t>
            </w:r>
          </w:p>
        </w:tc>
        <w:tc>
          <w:tcPr>
            <w:tcW w:w="1070" w:type="dxa"/>
            <w:noWrap w:val="0"/>
            <w:vAlign w:val="center"/>
          </w:tcPr>
          <w:p w14:paraId="2446FC5F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7B6C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98" w:type="dxa"/>
            <w:noWrap w:val="0"/>
            <w:vAlign w:val="center"/>
          </w:tcPr>
          <w:p w14:paraId="0478F299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碎石稳定层</w:t>
            </w:r>
          </w:p>
        </w:tc>
        <w:tc>
          <w:tcPr>
            <w:tcW w:w="5971" w:type="dxa"/>
            <w:noWrap w:val="0"/>
            <w:vAlign w:val="center"/>
          </w:tcPr>
          <w:p w14:paraId="67887D85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级配碎石，厚度≥200mm，压实度≥98%</w:t>
            </w:r>
          </w:p>
        </w:tc>
        <w:tc>
          <w:tcPr>
            <w:tcW w:w="1070" w:type="dxa"/>
            <w:noWrap w:val="0"/>
            <w:vAlign w:val="center"/>
          </w:tcPr>
          <w:p w14:paraId="6E6B0CE3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CE66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98" w:type="dxa"/>
            <w:noWrap w:val="0"/>
            <w:vAlign w:val="center"/>
          </w:tcPr>
          <w:p w14:paraId="2077A107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透水层</w:t>
            </w:r>
          </w:p>
        </w:tc>
        <w:tc>
          <w:tcPr>
            <w:tcW w:w="5971" w:type="dxa"/>
            <w:noWrap w:val="0"/>
            <w:vAlign w:val="center"/>
          </w:tcPr>
          <w:p w14:paraId="022B2AB0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中粗砂或碎石，厚度≥100mm</w:t>
            </w:r>
          </w:p>
        </w:tc>
        <w:tc>
          <w:tcPr>
            <w:tcW w:w="1070" w:type="dxa"/>
            <w:noWrap w:val="0"/>
            <w:vAlign w:val="center"/>
          </w:tcPr>
          <w:p w14:paraId="2E4ED549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51BA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98" w:type="dxa"/>
            <w:noWrap w:val="0"/>
            <w:vAlign w:val="center"/>
          </w:tcPr>
          <w:p w14:paraId="3552916C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根系层</w:t>
            </w:r>
          </w:p>
        </w:tc>
        <w:tc>
          <w:tcPr>
            <w:tcW w:w="5971" w:type="dxa"/>
            <w:noWrap w:val="0"/>
            <w:vAlign w:val="center"/>
          </w:tcPr>
          <w:p w14:paraId="16148E0B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砂质壤土，厚度≥300mm，pH 6.0—7.5，有机质2%—4%</w:t>
            </w:r>
          </w:p>
        </w:tc>
        <w:tc>
          <w:tcPr>
            <w:tcW w:w="1070" w:type="dxa"/>
            <w:noWrap w:val="0"/>
            <w:vAlign w:val="center"/>
          </w:tcPr>
          <w:p w14:paraId="26828520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C22D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898" w:type="dxa"/>
            <w:noWrap w:val="0"/>
            <w:vAlign w:val="center"/>
          </w:tcPr>
          <w:p w14:paraId="3A9F5535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根系层渗水速率</w:t>
            </w:r>
          </w:p>
        </w:tc>
        <w:tc>
          <w:tcPr>
            <w:tcW w:w="5971" w:type="dxa"/>
            <w:noWrap w:val="0"/>
            <w:vAlign w:val="center"/>
          </w:tcPr>
          <w:p w14:paraId="34D05AD6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二级≥0.8mm/min，三级≥0.5mm/min</w:t>
            </w:r>
          </w:p>
        </w:tc>
        <w:tc>
          <w:tcPr>
            <w:tcW w:w="1070" w:type="dxa"/>
            <w:noWrap w:val="0"/>
            <w:vAlign w:val="center"/>
          </w:tcPr>
          <w:p w14:paraId="70D52000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502F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898" w:type="dxa"/>
            <w:noWrap w:val="0"/>
            <w:vAlign w:val="center"/>
          </w:tcPr>
          <w:p w14:paraId="403108F5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场地承载力</w:t>
            </w:r>
          </w:p>
        </w:tc>
        <w:tc>
          <w:tcPr>
            <w:tcW w:w="5971" w:type="dxa"/>
            <w:noWrap w:val="0"/>
            <w:vAlign w:val="center"/>
          </w:tcPr>
          <w:p w14:paraId="3A5A6E61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满足运动使用及养护车辆通行</w:t>
            </w:r>
          </w:p>
        </w:tc>
        <w:tc>
          <w:tcPr>
            <w:tcW w:w="1070" w:type="dxa"/>
            <w:noWrap w:val="0"/>
            <w:vAlign w:val="center"/>
          </w:tcPr>
          <w:p w14:paraId="3A136A7A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7DFF9F9B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</w:p>
    <w:p w14:paraId="5C081BCF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面层指标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8"/>
        <w:gridCol w:w="3088"/>
        <w:gridCol w:w="2535"/>
        <w:gridCol w:w="1041"/>
      </w:tblGrid>
      <w:tr w14:paraId="05227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994" w:type="dxa"/>
            <w:noWrap w:val="0"/>
            <w:vAlign w:val="center"/>
          </w:tcPr>
          <w:p w14:paraId="41A05FB8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指标</w:t>
            </w:r>
          </w:p>
        </w:tc>
        <w:tc>
          <w:tcPr>
            <w:tcW w:w="3296" w:type="dxa"/>
            <w:noWrap w:val="0"/>
            <w:vAlign w:val="center"/>
          </w:tcPr>
          <w:p w14:paraId="3423D60E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二级（封闭比赛/训练）</w:t>
            </w:r>
          </w:p>
        </w:tc>
        <w:tc>
          <w:tcPr>
            <w:tcW w:w="2666" w:type="dxa"/>
            <w:noWrap w:val="0"/>
            <w:vAlign w:val="center"/>
          </w:tcPr>
          <w:p w14:paraId="5897FC38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三级（开放休闲）</w:t>
            </w:r>
          </w:p>
        </w:tc>
        <w:tc>
          <w:tcPr>
            <w:tcW w:w="1122" w:type="dxa"/>
            <w:noWrap w:val="0"/>
            <w:vAlign w:val="center"/>
          </w:tcPr>
          <w:p w14:paraId="0150ECD4">
            <w:pPr>
              <w:spacing w:line="520" w:lineRule="exac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6358C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994" w:type="dxa"/>
            <w:noWrap w:val="0"/>
            <w:vAlign w:val="center"/>
          </w:tcPr>
          <w:p w14:paraId="2B74DB23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草坪盖度</w:t>
            </w:r>
          </w:p>
        </w:tc>
        <w:tc>
          <w:tcPr>
            <w:tcW w:w="3296" w:type="dxa"/>
            <w:noWrap w:val="0"/>
            <w:vAlign w:val="center"/>
          </w:tcPr>
          <w:p w14:paraId="21229E44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≥97%</w:t>
            </w:r>
          </w:p>
        </w:tc>
        <w:tc>
          <w:tcPr>
            <w:tcW w:w="2666" w:type="dxa"/>
            <w:noWrap w:val="0"/>
            <w:vAlign w:val="center"/>
          </w:tcPr>
          <w:p w14:paraId="1FA582F3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≥92%</w:t>
            </w:r>
          </w:p>
        </w:tc>
        <w:tc>
          <w:tcPr>
            <w:tcW w:w="1122" w:type="dxa"/>
            <w:noWrap w:val="0"/>
            <w:vAlign w:val="top"/>
          </w:tcPr>
          <w:p w14:paraId="68C69D50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DF0F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994" w:type="dxa"/>
            <w:noWrap w:val="0"/>
            <w:vAlign w:val="center"/>
          </w:tcPr>
          <w:p w14:paraId="1581CD3A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表面硬度</w:t>
            </w:r>
          </w:p>
        </w:tc>
        <w:tc>
          <w:tcPr>
            <w:tcW w:w="3296" w:type="dxa"/>
            <w:noWrap w:val="0"/>
            <w:vAlign w:val="center"/>
          </w:tcPr>
          <w:p w14:paraId="49CFC9EC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60—100 Gm</w:t>
            </w:r>
          </w:p>
        </w:tc>
        <w:tc>
          <w:tcPr>
            <w:tcW w:w="2666" w:type="dxa"/>
            <w:noWrap w:val="0"/>
            <w:vAlign w:val="center"/>
          </w:tcPr>
          <w:p w14:paraId="59EF0B17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10—100 Gm</w:t>
            </w:r>
          </w:p>
        </w:tc>
        <w:tc>
          <w:tcPr>
            <w:tcW w:w="1122" w:type="dxa"/>
            <w:noWrap w:val="0"/>
            <w:vAlign w:val="top"/>
          </w:tcPr>
          <w:p w14:paraId="0E750569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AAAA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994" w:type="dxa"/>
            <w:noWrap w:val="0"/>
            <w:vAlign w:val="center"/>
          </w:tcPr>
          <w:p w14:paraId="6F51BD69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草坪旋转阻力</w:t>
            </w:r>
          </w:p>
        </w:tc>
        <w:tc>
          <w:tcPr>
            <w:tcW w:w="3296" w:type="dxa"/>
            <w:noWrap w:val="0"/>
            <w:vAlign w:val="center"/>
          </w:tcPr>
          <w:p w14:paraId="067135DF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≥20 N·m</w:t>
            </w:r>
          </w:p>
        </w:tc>
        <w:tc>
          <w:tcPr>
            <w:tcW w:w="2666" w:type="dxa"/>
            <w:noWrap w:val="0"/>
            <w:vAlign w:val="center"/>
          </w:tcPr>
          <w:p w14:paraId="0EB2CE87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≥10 N·m</w:t>
            </w:r>
          </w:p>
        </w:tc>
        <w:tc>
          <w:tcPr>
            <w:tcW w:w="1122" w:type="dxa"/>
            <w:noWrap w:val="0"/>
            <w:vAlign w:val="top"/>
          </w:tcPr>
          <w:p w14:paraId="3FA57DC4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51A0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994" w:type="dxa"/>
            <w:noWrap w:val="0"/>
            <w:vAlign w:val="center"/>
          </w:tcPr>
          <w:p w14:paraId="667672CB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球反弹率</w:t>
            </w:r>
          </w:p>
        </w:tc>
        <w:tc>
          <w:tcPr>
            <w:tcW w:w="3296" w:type="dxa"/>
            <w:noWrap w:val="0"/>
            <w:vAlign w:val="center"/>
          </w:tcPr>
          <w:p w14:paraId="27593105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20%—50%</w:t>
            </w:r>
          </w:p>
        </w:tc>
        <w:tc>
          <w:tcPr>
            <w:tcW w:w="2666" w:type="dxa"/>
            <w:noWrap w:val="0"/>
            <w:vAlign w:val="center"/>
          </w:tcPr>
          <w:p w14:paraId="644C43E9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15%—55%</w:t>
            </w:r>
          </w:p>
        </w:tc>
        <w:tc>
          <w:tcPr>
            <w:tcW w:w="1122" w:type="dxa"/>
            <w:noWrap w:val="0"/>
            <w:vAlign w:val="top"/>
          </w:tcPr>
          <w:p w14:paraId="30E8AA51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797F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994" w:type="dxa"/>
            <w:noWrap w:val="0"/>
            <w:vAlign w:val="center"/>
          </w:tcPr>
          <w:p w14:paraId="604A8B89">
            <w:pPr>
              <w:spacing w:line="52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球滚动距离</w:t>
            </w:r>
          </w:p>
        </w:tc>
        <w:tc>
          <w:tcPr>
            <w:tcW w:w="3296" w:type="dxa"/>
            <w:noWrap w:val="0"/>
            <w:vAlign w:val="center"/>
          </w:tcPr>
          <w:p w14:paraId="0E12BBAF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4—12m</w:t>
            </w:r>
          </w:p>
        </w:tc>
        <w:tc>
          <w:tcPr>
            <w:tcW w:w="2666" w:type="dxa"/>
            <w:noWrap w:val="0"/>
            <w:vAlign w:val="center"/>
          </w:tcPr>
          <w:p w14:paraId="39FCE227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2—14m</w:t>
            </w:r>
          </w:p>
        </w:tc>
        <w:tc>
          <w:tcPr>
            <w:tcW w:w="1122" w:type="dxa"/>
            <w:noWrap w:val="0"/>
            <w:vAlign w:val="top"/>
          </w:tcPr>
          <w:p w14:paraId="25C8A292">
            <w:pPr>
              <w:spacing w:line="520" w:lineRule="exact"/>
              <w:ind w:firstLine="480" w:firstLineChars="20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6632C8DC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智能喷灌系统：采用地埋式自动升降喷头，分区独立控制，配备雨量传感器，喷灌均匀度≥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90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%，全场无喷洒死角。配套智能控制终端，系统工作压力≥1.0MPa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设计复核压力按1.2MPa控制；</w:t>
      </w:r>
    </w:p>
    <w:p w14:paraId="02461E4A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4.排水系统：采用“表面径流排水＋基层渗透排水”双重体系，场地周边设置环形排水沟，基层布设透水盲管，降雨结束后≤20分钟排净表面积水，底线要求为30分钟；排水管坡度按2%—5%复核，满足自流排放；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现场砌筑排水沟宽度不宜小于0.40m，沟内纵坡宜为0.3%—0.5%，沉砂井间距宜为30m；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排水管材、沟篦采用耐腐蚀、抗沉降材质。各构造层坡度及坡向宜与面层保持一致，并与市政管网可靠接驳。</w:t>
      </w:r>
    </w:p>
    <w:p w14:paraId="03605A20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5.围网系统：场地四周设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置镀锌管组合式围网，球场边线两边围网：整体高度≥6m，球场端线两边围网：整体高度≥10m，6米组合式围网+4米软网。围网：采用优质低碳镀锌铁丝，包塑层使用高密度进口PE原粒，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网孔规格50mm×50mm±2mm，立柱间距≤3m，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包塑层厚度≥0.6mm，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抗风等级≥8级。每块场地设置不少于2个标准出入口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其中至少1个为≥3m宽设备门，配套防护门，满足人员及养护设备通行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。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围网应具备防攀爬、耐冲击、耐腐蚀、不易褪色性能。</w:t>
      </w:r>
    </w:p>
    <w:p w14:paraId="015AA6AE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照明系统：采用LED专业体育照明灯具，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灯杆高度：封闭比赛场、封闭训练场、开放休闲场≥18m；全部场地平均照度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≥300LUX，照度均匀度≥0.6；其中封闭专业比赛场地平均水平照度≥500LUX，灯杆高度≥25米，满足足球专业比赛赛事需求。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照度均匀度≥0.7，眩光值GR≤50。灯具防护等级≥IP66，使用寿命≥80000小时。</w:t>
      </w: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室外照明灯杆应设置防雷装置，灯具及附件应处于保护范围内。</w:t>
      </w:r>
    </w:p>
    <w:p w14:paraId="10A2E0C6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7.音响系统：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采用室外防水音柱，</w:t>
      </w:r>
      <w:r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防护等级≥IP66，沿场地四周均匀布置，声场覆盖均匀无死角。最大声压级≥105dB，频响范围100Hz—16kHz，声场不均匀度≤6dB，满足赛事广播、通知播报及背景音乐播放需求。配套功放、调音台及广播主机，支持有线话筒、蓝牙、U盘、网络广播等多种输入方式，并预留与园区广播系统对接接口。</w:t>
      </w:r>
    </w:p>
    <w:p w14:paraId="12885641">
      <w:pPr>
        <w:spacing w:line="520" w:lineRule="exact"/>
        <w:ind w:firstLine="480" w:firstLineChars="200"/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8.视频监控系统：足球场地园区，应满足《体育建筑工艺设计标准》中，对视频监控系统的基本要求。</w:t>
      </w:r>
    </w:p>
    <w:p w14:paraId="070268A5">
      <w:pPr>
        <w:spacing w:line="520" w:lineRule="exact"/>
        <w:ind w:firstLine="482" w:firstLineChars="200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eastAsia="zh-CN"/>
        </w:rPr>
        <w:t>二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）设计依据</w:t>
      </w:r>
    </w:p>
    <w:p w14:paraId="7F1E5197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《体育建筑设计规范》JGJ 31-2003；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《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体育建筑工艺设计标准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》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DB 61/T 5078-2023;《体育场馆检验技术规程》GB/T22517.5-2024;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《建筑工程设计文件编制深度规定》（2016版）；《建筑照明设计标准》GB 50034-2013；《体育建筑电气设计规范》JGJ 354-2014；《室外给水设计标准》GB 50013-2018；《室外排水设计标准》GB 50014-2021；堤防工程设计规范》GB 50286；国家及地方其他相关规范、标准及规定。</w:t>
      </w:r>
    </w:p>
    <w:p w14:paraId="793A4EDD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）交付标准</w:t>
      </w:r>
    </w:p>
    <w:p w14:paraId="2F38DB19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设计文件须符合《建筑工程设计文件编制深度规定》并达到施工图深度。各阶段设计成果通过采购人组织的验收后，取得验收合格文件。初步设计纸质版、电子版文本按发改部门评审要求提供，最终成果提交采购单位3份；施工图纸质版6份、电子版2份提交采购单位。</w:t>
      </w:r>
    </w:p>
    <w:p w14:paraId="746E3A88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（四）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服务期限</w:t>
      </w:r>
    </w:p>
    <w:p w14:paraId="0EFB0083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总服务周期：自合同签订之日起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35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日历天，至项目竣工验收合格且后续服务完成止。</w:t>
      </w:r>
    </w:p>
    <w:p w14:paraId="3D53B637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关键节点工期（日历天，不含主管部门评审、批复及采购人反馈修改时间）：</w:t>
      </w:r>
    </w:p>
    <w:p w14:paraId="3BB473A8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项目建议书及可行性研究报告编制：合同签订后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日历天内完成；</w:t>
      </w:r>
    </w:p>
    <w:p w14:paraId="583FD09E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方案设计：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日历天节点后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日历天内完成；</w:t>
      </w:r>
    </w:p>
    <w:p w14:paraId="4C286A1C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初步设计及概算：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日历天节点后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日历天内完成；</w:t>
      </w:r>
    </w:p>
    <w:p w14:paraId="5950415A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4.体育建筑工艺方案设计：22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日历天节点后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8天内完成；</w:t>
      </w:r>
    </w:p>
    <w:p w14:paraId="734283E8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施工图设计：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日历天节点后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日历天内完成；</w:t>
      </w:r>
    </w:p>
    <w:p w14:paraId="7F983AAB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施工配合服务：自工程开工之日起至项目竣工验收合格止。</w:t>
      </w:r>
    </w:p>
    <w:p w14:paraId="53D1766D">
      <w:pPr>
        <w:spacing w:line="52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采购人可根据项目实际推进进度调整节点工期，设计人须配合。</w:t>
      </w:r>
    </w:p>
    <w:p w14:paraId="125240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D42CFE"/>
    <w:multiLevelType w:val="singleLevel"/>
    <w:tmpl w:val="5BD42CFE"/>
    <w:lvl w:ilvl="0" w:tentative="0">
      <w:start w:val="3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E52E0C"/>
    <w:rsid w:val="4CEF3621"/>
    <w:rsid w:val="709550C6"/>
    <w:rsid w:val="75B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spacing w:before="260" w:after="260" w:line="500" w:lineRule="atLeast"/>
      <w:ind w:left="0" w:right="0"/>
      <w:jc w:val="both"/>
      <w:outlineLvl w:val="1"/>
    </w:pPr>
    <w:rPr>
      <w:rFonts w:ascii="Arial" w:hAnsi="Arial" w:eastAsia="黑体" w:cs="Times New Roman"/>
      <w:b/>
      <w:bCs/>
      <w:kern w:val="2"/>
      <w:sz w:val="28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2026-09-20T01:58:11Z</dcterms:created>
  <dc:creator>Administrator</dc:creator>
  <cp:lastModifiedBy>宋璟雯</cp:lastModifiedBy>
  <dcterms:modified xsi:type="dcterms:W3CDTF">2026-09-20T01:58:32Z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eyJoZGlkIjoiYjA5MDIyNjdmNTI0MTU3OWI3N2I2NTczMTFmZjA1YzciLCJ1c2VySWQiOiIxNDU1MjAyNDM0In0=</vt:lpwstr>
  </property>
  <property fmtid="{D5CDD505-2E9C-101B-9397-08002B2CF9AE}" pid="4" name="ICV">
    <vt:lpwstr>91097249929848548803ABB956D32964_12</vt:lpwstr>
  </property>
</Properties>
</file>