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03DA" w14:textId="737C488B" w:rsidR="00180334" w:rsidRDefault="00180334" w:rsidP="00180334">
      <w:pPr>
        <w:pStyle w:val="null3"/>
        <w:jc w:val="center"/>
        <w:outlineLvl w:val="2"/>
        <w:rPr>
          <w:rFonts w:ascii="宋体" w:eastAsia="宋体" w:hAnsi="宋体"/>
        </w:rPr>
      </w:pPr>
      <w:r>
        <w:rPr>
          <w:rFonts w:ascii="宋体" w:eastAsia="宋体" w:hAnsi="宋体" w:cs="仿宋_GB2312" w:hint="eastAsia"/>
          <w:b/>
          <w:sz w:val="28"/>
        </w:rPr>
        <w:t>采购需求</w:t>
      </w:r>
    </w:p>
    <w:p w14:paraId="7778BCDA" w14:textId="77777777" w:rsidR="00180334" w:rsidRDefault="00180334" w:rsidP="00180334">
      <w:pPr>
        <w:pStyle w:val="null3"/>
        <w:spacing w:line="360" w:lineRule="auto"/>
        <w:rPr>
          <w:rFonts w:ascii="宋体" w:eastAsia="宋体" w:hAnsi="宋体"/>
          <w:sz w:val="24"/>
          <w:szCs w:val="24"/>
        </w:rPr>
      </w:pPr>
      <w:r>
        <w:rPr>
          <w:rFonts w:ascii="宋体" w:eastAsia="宋体" w:hAnsi="宋体" w:cs="仿宋_GB2312"/>
          <w:sz w:val="24"/>
          <w:szCs w:val="24"/>
        </w:rPr>
        <w:t>采购包1：</w:t>
      </w:r>
    </w:p>
    <w:p w14:paraId="6DF1DE4B" w14:textId="77777777" w:rsidR="00180334" w:rsidRDefault="00180334" w:rsidP="00180334">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rPr>
        <w:t>标的名称：灾备系统及数据库维保服务项目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75"/>
        <w:gridCol w:w="851"/>
        <w:gridCol w:w="6780"/>
      </w:tblGrid>
      <w:tr w:rsidR="00180334" w14:paraId="2EF8C81F" w14:textId="77777777" w:rsidTr="00C75DB2">
        <w:tc>
          <w:tcPr>
            <w:tcW w:w="675" w:type="dxa"/>
          </w:tcPr>
          <w:p w14:paraId="72E9E10C" w14:textId="77777777" w:rsidR="00180334" w:rsidRDefault="00180334" w:rsidP="00C75DB2">
            <w:pPr>
              <w:pStyle w:val="null3"/>
              <w:spacing w:line="360" w:lineRule="auto"/>
              <w:rPr>
                <w:rFonts w:ascii="宋体" w:eastAsia="宋体" w:hAnsi="宋体"/>
                <w:sz w:val="24"/>
                <w:szCs w:val="24"/>
              </w:rPr>
            </w:pPr>
            <w:r>
              <w:rPr>
                <w:rFonts w:ascii="宋体" w:eastAsia="宋体" w:hAnsi="宋体" w:cs="仿宋_GB2312"/>
                <w:sz w:val="24"/>
                <w:szCs w:val="24"/>
              </w:rPr>
              <w:t>序号</w:t>
            </w:r>
          </w:p>
        </w:tc>
        <w:tc>
          <w:tcPr>
            <w:tcW w:w="851" w:type="dxa"/>
          </w:tcPr>
          <w:p w14:paraId="116B88AA" w14:textId="77777777" w:rsidR="00180334" w:rsidRDefault="00180334" w:rsidP="00C75DB2">
            <w:pPr>
              <w:pStyle w:val="null3"/>
              <w:spacing w:line="360" w:lineRule="auto"/>
              <w:rPr>
                <w:rFonts w:ascii="宋体" w:eastAsia="宋体" w:hAnsi="宋体"/>
                <w:sz w:val="24"/>
                <w:szCs w:val="24"/>
              </w:rPr>
            </w:pPr>
            <w:r>
              <w:rPr>
                <w:rFonts w:ascii="宋体" w:eastAsia="宋体" w:hAnsi="宋体" w:cs="仿宋_GB2312"/>
                <w:sz w:val="24"/>
                <w:szCs w:val="24"/>
              </w:rPr>
              <w:t>参数性质</w:t>
            </w:r>
          </w:p>
        </w:tc>
        <w:tc>
          <w:tcPr>
            <w:tcW w:w="6780" w:type="dxa"/>
          </w:tcPr>
          <w:p w14:paraId="6566AC9C" w14:textId="77777777" w:rsidR="00180334" w:rsidRDefault="00180334" w:rsidP="00C75DB2">
            <w:pPr>
              <w:pStyle w:val="null3"/>
              <w:spacing w:line="360" w:lineRule="auto"/>
              <w:rPr>
                <w:rFonts w:ascii="宋体" w:eastAsia="宋体" w:hAnsi="宋体"/>
                <w:sz w:val="24"/>
                <w:szCs w:val="24"/>
              </w:rPr>
            </w:pPr>
            <w:r>
              <w:rPr>
                <w:rFonts w:ascii="宋体" w:eastAsia="宋体" w:hAnsi="宋体" w:cs="仿宋_GB2312"/>
                <w:sz w:val="24"/>
                <w:szCs w:val="24"/>
              </w:rPr>
              <w:t xml:space="preserve"> 技术参数与性能指标</w:t>
            </w:r>
          </w:p>
        </w:tc>
      </w:tr>
      <w:tr w:rsidR="00180334" w14:paraId="18902FF4" w14:textId="77777777" w:rsidTr="00C75DB2">
        <w:tc>
          <w:tcPr>
            <w:tcW w:w="675" w:type="dxa"/>
          </w:tcPr>
          <w:p w14:paraId="192212DF" w14:textId="77777777" w:rsidR="00180334" w:rsidRDefault="00180334" w:rsidP="00C75DB2">
            <w:pPr>
              <w:pStyle w:val="null3"/>
              <w:spacing w:line="360" w:lineRule="auto"/>
              <w:rPr>
                <w:rFonts w:ascii="宋体" w:eastAsia="宋体" w:hAnsi="宋体"/>
                <w:sz w:val="24"/>
                <w:szCs w:val="24"/>
              </w:rPr>
            </w:pPr>
            <w:r>
              <w:rPr>
                <w:rFonts w:ascii="宋体" w:eastAsia="宋体" w:hAnsi="宋体" w:cs="仿宋_GB2312"/>
                <w:sz w:val="24"/>
                <w:szCs w:val="24"/>
              </w:rPr>
              <w:t>1</w:t>
            </w:r>
          </w:p>
        </w:tc>
        <w:tc>
          <w:tcPr>
            <w:tcW w:w="851" w:type="dxa"/>
          </w:tcPr>
          <w:p w14:paraId="4B3AC509" w14:textId="77777777" w:rsidR="00180334" w:rsidRDefault="00180334" w:rsidP="00C75DB2"/>
        </w:tc>
        <w:tc>
          <w:tcPr>
            <w:tcW w:w="6780" w:type="dxa"/>
          </w:tcPr>
          <w:p w14:paraId="28A5C3D0" w14:textId="77777777" w:rsidR="00180334" w:rsidRDefault="00180334" w:rsidP="00C75DB2">
            <w:pPr>
              <w:pStyle w:val="null3"/>
              <w:spacing w:line="360" w:lineRule="auto"/>
              <w:rPr>
                <w:rFonts w:ascii="宋体" w:eastAsia="宋体" w:hAnsi="宋体"/>
              </w:rPr>
            </w:pPr>
            <w:r>
              <w:rPr>
                <w:rFonts w:ascii="宋体" w:eastAsia="宋体" w:hAnsi="宋体" w:cs="仿宋_GB2312"/>
                <w:color w:val="000000"/>
                <w:sz w:val="24"/>
                <w:lang w:eastAsia="zh-CN"/>
              </w:rPr>
              <w:t>一、</w:t>
            </w:r>
            <w:r>
              <w:rPr>
                <w:rFonts w:ascii="宋体" w:eastAsia="宋体" w:hAnsi="宋体" w:cs="仿宋_GB2312"/>
                <w:sz w:val="24"/>
                <w:szCs w:val="24"/>
                <w:lang w:eastAsia="zh-CN"/>
              </w:rPr>
              <w:t>技术要求</w:t>
            </w:r>
            <w:r>
              <w:rPr>
                <w:rFonts w:ascii="宋体" w:eastAsia="宋体" w:hAnsi="宋体" w:cs="仿宋_GB2312"/>
                <w:color w:val="000000"/>
                <w:sz w:val="24"/>
              </w:rPr>
              <w:t>：</w:t>
            </w:r>
          </w:p>
          <w:p w14:paraId="7A55B85C"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rPr>
              <w:t>1</w:t>
            </w:r>
            <w:r>
              <w:rPr>
                <w:rFonts w:ascii="宋体" w:eastAsia="宋体" w:hAnsi="宋体" w:cs="仿宋_GB2312"/>
                <w:color w:val="000000"/>
                <w:sz w:val="24"/>
                <w:lang w:eastAsia="zh-CN"/>
              </w:rPr>
              <w:t>.</w:t>
            </w:r>
            <w:r>
              <w:rPr>
                <w:rFonts w:ascii="宋体" w:eastAsia="宋体" w:hAnsi="宋体" w:cs="仿宋_GB2312"/>
                <w:color w:val="000000"/>
                <w:sz w:val="24"/>
              </w:rPr>
              <w:t>灾备云平台维保</w:t>
            </w:r>
          </w:p>
          <w:p w14:paraId="458E8B4C" w14:textId="77777777" w:rsidR="00180334" w:rsidRDefault="00180334" w:rsidP="00C75DB2">
            <w:pPr>
              <w:pStyle w:val="null3"/>
              <w:spacing w:line="360" w:lineRule="auto"/>
              <w:rPr>
                <w:rFonts w:ascii="宋体" w:eastAsia="宋体" w:hAnsi="宋体"/>
                <w:sz w:val="24"/>
                <w:szCs w:val="24"/>
                <w:lang w:eastAsia="zh-CN"/>
              </w:rPr>
            </w:pPr>
            <w:r>
              <w:rPr>
                <w:rFonts w:ascii="宋体" w:eastAsia="宋体" w:hAnsi="宋体" w:cs="仿宋_GB2312"/>
                <w:color w:val="000000"/>
                <w:sz w:val="24"/>
                <w:lang w:eastAsia="zh-CN"/>
              </w:rPr>
              <w:t>1.1</w:t>
            </w:r>
            <w:proofErr w:type="gramStart"/>
            <w:r>
              <w:rPr>
                <w:rFonts w:ascii="宋体" w:eastAsia="宋体" w:hAnsi="宋体"/>
                <w:sz w:val="24"/>
                <w:szCs w:val="24"/>
                <w:lang w:eastAsia="zh-CN"/>
              </w:rPr>
              <w:t>原厂维保服务</w:t>
            </w:r>
            <w:proofErr w:type="gramEnd"/>
          </w:p>
          <w:p w14:paraId="0882AF6A" w14:textId="77777777" w:rsidR="00180334" w:rsidRDefault="00180334" w:rsidP="00C75DB2">
            <w:pPr>
              <w:pStyle w:val="null3"/>
              <w:spacing w:line="360" w:lineRule="auto"/>
              <w:rPr>
                <w:rFonts w:ascii="宋体" w:eastAsia="宋体" w:hAnsi="宋体"/>
                <w:sz w:val="24"/>
                <w:szCs w:val="24"/>
                <w:lang w:eastAsia="zh-CN"/>
              </w:rPr>
            </w:pPr>
            <w:r>
              <w:rPr>
                <w:rFonts w:ascii="宋体" w:eastAsia="宋体" w:hAnsi="宋体"/>
                <w:sz w:val="24"/>
                <w:szCs w:val="24"/>
                <w:lang w:eastAsia="zh-CN"/>
              </w:rPr>
              <w:t>1.1.1</w:t>
            </w:r>
            <w:bookmarkStart w:id="0" w:name="OLE_LINK6"/>
            <w:r>
              <w:rPr>
                <w:rFonts w:ascii="宋体" w:eastAsia="宋体" w:hAnsi="宋体"/>
                <w:sz w:val="24"/>
                <w:szCs w:val="24"/>
                <w:lang w:eastAsia="zh-CN"/>
              </w:rPr>
              <w:t>热线支持服务：投标人需设立7*24小时售后热线</w:t>
            </w:r>
            <w:bookmarkEnd w:id="0"/>
            <w:r>
              <w:rPr>
                <w:rFonts w:ascii="宋体" w:eastAsia="宋体" w:hAnsi="宋体"/>
                <w:sz w:val="24"/>
                <w:szCs w:val="24"/>
                <w:lang w:eastAsia="zh-CN"/>
              </w:rPr>
              <w:t>，以供采购人技术人员进行故障报修及原厂技术咨询。</w:t>
            </w:r>
          </w:p>
        </w:tc>
      </w:tr>
      <w:tr w:rsidR="00180334" w14:paraId="5477257D" w14:textId="77777777" w:rsidTr="00C75DB2">
        <w:tc>
          <w:tcPr>
            <w:tcW w:w="675" w:type="dxa"/>
          </w:tcPr>
          <w:p w14:paraId="6E8C7130"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w:t>
            </w:r>
          </w:p>
        </w:tc>
        <w:tc>
          <w:tcPr>
            <w:tcW w:w="851" w:type="dxa"/>
          </w:tcPr>
          <w:p w14:paraId="1CDF3E91" w14:textId="77777777" w:rsidR="00180334" w:rsidRDefault="00180334" w:rsidP="00C75DB2"/>
        </w:tc>
        <w:tc>
          <w:tcPr>
            <w:tcW w:w="6780" w:type="dxa"/>
          </w:tcPr>
          <w:p w14:paraId="3B700B8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1.1.2远程维护服务：维保期内，投标人提供专业技术工程师2小时内响应报修并提供远程维护服务，通过远程调试帮助技术人员分析并解决问题。</w:t>
            </w:r>
          </w:p>
        </w:tc>
      </w:tr>
      <w:tr w:rsidR="00180334" w14:paraId="31712BEC" w14:textId="77777777" w:rsidTr="00C75DB2">
        <w:tc>
          <w:tcPr>
            <w:tcW w:w="675" w:type="dxa"/>
          </w:tcPr>
          <w:p w14:paraId="79E61861"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w:t>
            </w:r>
          </w:p>
        </w:tc>
        <w:tc>
          <w:tcPr>
            <w:tcW w:w="851" w:type="dxa"/>
          </w:tcPr>
          <w:p w14:paraId="0B4237A1" w14:textId="77777777" w:rsidR="00180334" w:rsidRDefault="00180334" w:rsidP="00C75DB2"/>
        </w:tc>
        <w:tc>
          <w:tcPr>
            <w:tcW w:w="6780" w:type="dxa"/>
          </w:tcPr>
          <w:p w14:paraId="065CCEAB"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1.1.3现场维护服务：维保期内，投标人需提供必要的现场维护服务，根据现场问题的紧急程度，第一时间内安排专业技术工程师到现场排除故障。</w:t>
            </w:r>
          </w:p>
        </w:tc>
      </w:tr>
      <w:tr w:rsidR="00180334" w14:paraId="2A8DE80C" w14:textId="77777777" w:rsidTr="00C75DB2">
        <w:tc>
          <w:tcPr>
            <w:tcW w:w="675" w:type="dxa"/>
          </w:tcPr>
          <w:p w14:paraId="5DAEC03E"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4</w:t>
            </w:r>
          </w:p>
        </w:tc>
        <w:tc>
          <w:tcPr>
            <w:tcW w:w="851" w:type="dxa"/>
          </w:tcPr>
          <w:p w14:paraId="1411FD9E" w14:textId="77777777" w:rsidR="00180334" w:rsidRDefault="00180334" w:rsidP="00C75DB2"/>
        </w:tc>
        <w:tc>
          <w:tcPr>
            <w:tcW w:w="6780" w:type="dxa"/>
          </w:tcPr>
          <w:p w14:paraId="113B49E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1.1.4紧急情况处理：投标人需建立一套成熟高效的紧急情况管理体系。维保期内，提供7*24小时全天候技术工程师专线服务，随时对我院紧急情况进行处理。</w:t>
            </w:r>
          </w:p>
        </w:tc>
      </w:tr>
      <w:tr w:rsidR="00180334" w14:paraId="71BFD960" w14:textId="77777777" w:rsidTr="00C75DB2">
        <w:tc>
          <w:tcPr>
            <w:tcW w:w="675" w:type="dxa"/>
          </w:tcPr>
          <w:p w14:paraId="210BEDC0"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5</w:t>
            </w:r>
          </w:p>
        </w:tc>
        <w:tc>
          <w:tcPr>
            <w:tcW w:w="851" w:type="dxa"/>
          </w:tcPr>
          <w:p w14:paraId="61ACACF9" w14:textId="77777777" w:rsidR="00180334" w:rsidRDefault="00180334" w:rsidP="00C75DB2"/>
        </w:tc>
        <w:tc>
          <w:tcPr>
            <w:tcW w:w="6780" w:type="dxa"/>
          </w:tcPr>
          <w:p w14:paraId="3874BE9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1.1.5定期巡检服务：维保期内，投标人需主动提供一年至少4次上门巡检、每季度1次巡检服务，为客户检查产品是否工作正常。</w:t>
            </w:r>
          </w:p>
        </w:tc>
      </w:tr>
      <w:tr w:rsidR="00180334" w14:paraId="2ED4D0F1" w14:textId="77777777" w:rsidTr="00C75DB2">
        <w:tc>
          <w:tcPr>
            <w:tcW w:w="675" w:type="dxa"/>
          </w:tcPr>
          <w:p w14:paraId="68033F1E"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6</w:t>
            </w:r>
          </w:p>
        </w:tc>
        <w:tc>
          <w:tcPr>
            <w:tcW w:w="851" w:type="dxa"/>
          </w:tcPr>
          <w:p w14:paraId="5F995CDB" w14:textId="77777777" w:rsidR="00180334" w:rsidRDefault="00180334" w:rsidP="00C75DB2"/>
        </w:tc>
        <w:tc>
          <w:tcPr>
            <w:tcW w:w="6780" w:type="dxa"/>
          </w:tcPr>
          <w:p w14:paraId="198C1A2C"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1.1.6应急演练服务：维保期内，投标人需协助采购人进行至少1次数据恢复与业务接管应急演练，确保</w:t>
            </w:r>
            <w:proofErr w:type="gramStart"/>
            <w:r>
              <w:rPr>
                <w:rFonts w:ascii="宋体" w:eastAsia="宋体" w:hAnsi="宋体" w:cs="仿宋_GB2312"/>
                <w:color w:val="000000"/>
                <w:sz w:val="24"/>
                <w:lang w:eastAsia="zh-CN"/>
              </w:rPr>
              <w:t>灾备云</w:t>
            </w:r>
            <w:proofErr w:type="gramEnd"/>
            <w:r>
              <w:rPr>
                <w:rFonts w:ascii="宋体" w:eastAsia="宋体" w:hAnsi="宋体" w:cs="仿宋_GB2312"/>
                <w:color w:val="000000"/>
                <w:sz w:val="24"/>
                <w:lang w:eastAsia="zh-CN"/>
              </w:rPr>
              <w:t>备份数据的可用性。</w:t>
            </w:r>
          </w:p>
        </w:tc>
      </w:tr>
      <w:tr w:rsidR="00180334" w14:paraId="3781F6FF" w14:textId="77777777" w:rsidTr="00C75DB2">
        <w:tc>
          <w:tcPr>
            <w:tcW w:w="675" w:type="dxa"/>
          </w:tcPr>
          <w:p w14:paraId="356087EA"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7</w:t>
            </w:r>
          </w:p>
        </w:tc>
        <w:tc>
          <w:tcPr>
            <w:tcW w:w="851" w:type="dxa"/>
          </w:tcPr>
          <w:p w14:paraId="534AF818" w14:textId="77777777" w:rsidR="00180334" w:rsidRDefault="00180334" w:rsidP="00C75DB2"/>
        </w:tc>
        <w:tc>
          <w:tcPr>
            <w:tcW w:w="6780" w:type="dxa"/>
          </w:tcPr>
          <w:p w14:paraId="7E1C939F"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1.2设备运维管理</w:t>
            </w:r>
          </w:p>
          <w:p w14:paraId="295831F9"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1.2.1包括当前数据中心所有的容灾备份设备，以及由这些设备组成的域中各系统日常的备份及演练情况进行分析，并提出</w:t>
            </w:r>
            <w:r>
              <w:rPr>
                <w:rFonts w:ascii="宋体" w:eastAsia="宋体" w:hAnsi="宋体" w:cs="仿宋_GB2312"/>
                <w:color w:val="000000"/>
                <w:sz w:val="24"/>
                <w:lang w:eastAsia="zh-CN"/>
              </w:rPr>
              <w:lastRenderedPageBreak/>
              <w:t>相应的风险评估，定期对</w:t>
            </w:r>
            <w:proofErr w:type="gramStart"/>
            <w:r>
              <w:rPr>
                <w:rFonts w:ascii="宋体" w:eastAsia="宋体" w:hAnsi="宋体" w:cs="仿宋_GB2312"/>
                <w:color w:val="000000"/>
                <w:sz w:val="24"/>
                <w:lang w:eastAsia="zh-CN"/>
              </w:rPr>
              <w:t>灾备系统</w:t>
            </w:r>
            <w:proofErr w:type="gramEnd"/>
            <w:r>
              <w:rPr>
                <w:rFonts w:ascii="宋体" w:eastAsia="宋体" w:hAnsi="宋体" w:cs="仿宋_GB2312"/>
                <w:color w:val="000000"/>
                <w:sz w:val="24"/>
                <w:lang w:eastAsia="zh-CN"/>
              </w:rPr>
              <w:t>进行优化配置，提高在系统网络中的运行效率；</w:t>
            </w:r>
          </w:p>
        </w:tc>
      </w:tr>
      <w:tr w:rsidR="00180334" w14:paraId="50EB6A45" w14:textId="77777777" w:rsidTr="00C75DB2">
        <w:tc>
          <w:tcPr>
            <w:tcW w:w="675" w:type="dxa"/>
          </w:tcPr>
          <w:p w14:paraId="0FED70CD"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8</w:t>
            </w:r>
          </w:p>
        </w:tc>
        <w:tc>
          <w:tcPr>
            <w:tcW w:w="851" w:type="dxa"/>
          </w:tcPr>
          <w:p w14:paraId="230D2BFC" w14:textId="77777777" w:rsidR="00180334" w:rsidRDefault="00180334" w:rsidP="00C75DB2"/>
        </w:tc>
        <w:tc>
          <w:tcPr>
            <w:tcW w:w="6780" w:type="dxa"/>
          </w:tcPr>
          <w:p w14:paraId="4B5D2F4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1.2.2依照网络信息安全等级保护2.0的要求，从物理和环境安全、网络和通信安全、设备和计算安全、应用和数据安全等方面进行评估，并对发现的数据安全风险及隐患进行修复及安全加固，合理的规避或降低信息安全风险，升级</w:t>
            </w:r>
            <w:proofErr w:type="gramStart"/>
            <w:r>
              <w:rPr>
                <w:rFonts w:ascii="宋体" w:eastAsia="宋体" w:hAnsi="宋体" w:cs="仿宋_GB2312"/>
                <w:color w:val="000000"/>
                <w:sz w:val="24"/>
                <w:lang w:eastAsia="zh-CN"/>
              </w:rPr>
              <w:t>灾备设备</w:t>
            </w:r>
            <w:proofErr w:type="gramEnd"/>
            <w:r>
              <w:rPr>
                <w:rFonts w:ascii="宋体" w:eastAsia="宋体" w:hAnsi="宋体" w:cs="仿宋_GB2312"/>
                <w:color w:val="000000"/>
                <w:sz w:val="24"/>
                <w:lang w:eastAsia="zh-CN"/>
              </w:rPr>
              <w:t>版本及漏洞，提高系统自身的安全防护能力。</w:t>
            </w:r>
          </w:p>
        </w:tc>
      </w:tr>
      <w:tr w:rsidR="00180334" w14:paraId="092614BB" w14:textId="77777777" w:rsidTr="00C75DB2">
        <w:tc>
          <w:tcPr>
            <w:tcW w:w="675" w:type="dxa"/>
          </w:tcPr>
          <w:p w14:paraId="7258AABC"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9</w:t>
            </w:r>
          </w:p>
        </w:tc>
        <w:tc>
          <w:tcPr>
            <w:tcW w:w="851" w:type="dxa"/>
          </w:tcPr>
          <w:p w14:paraId="4E9AEE0D" w14:textId="77777777" w:rsidR="00180334" w:rsidRDefault="00180334" w:rsidP="00C75DB2"/>
        </w:tc>
        <w:tc>
          <w:tcPr>
            <w:tcW w:w="6780" w:type="dxa"/>
          </w:tcPr>
          <w:p w14:paraId="28AB370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2.数据库维保</w:t>
            </w:r>
          </w:p>
          <w:p w14:paraId="4B6AB3E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2.1项目背景与服务目标</w:t>
            </w:r>
          </w:p>
          <w:p w14:paraId="57846CC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2.1.1核心系统的重要性界定</w:t>
            </w:r>
          </w:p>
          <w:p w14:paraId="0E4DC93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本次</w:t>
            </w:r>
            <w:proofErr w:type="gramStart"/>
            <w:r>
              <w:rPr>
                <w:rFonts w:ascii="宋体" w:eastAsia="宋体" w:hAnsi="宋体" w:cs="仿宋_GB2312"/>
                <w:color w:val="000000"/>
                <w:sz w:val="24"/>
                <w:lang w:eastAsia="zh-CN"/>
              </w:rPr>
              <w:t>维保范围</w:t>
            </w:r>
            <w:proofErr w:type="gramEnd"/>
            <w:r>
              <w:rPr>
                <w:rFonts w:ascii="宋体" w:eastAsia="宋体" w:hAnsi="宋体" w:cs="仿宋_GB2312"/>
                <w:color w:val="000000"/>
                <w:sz w:val="24"/>
                <w:lang w:eastAsia="zh-CN"/>
              </w:rPr>
              <w:t>覆盖我院核心业务数据库系统，该系统直接支撑HIS、EMR、PACS等业务系统，是保证医疗服务连续性的生命线。</w:t>
            </w:r>
          </w:p>
          <w:p w14:paraId="592C076F"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服务目标必须是以“业务可用性”为最高优先级指标，所有技术措施和响应流程均以此为导向设计和执行。</w:t>
            </w:r>
          </w:p>
        </w:tc>
      </w:tr>
      <w:tr w:rsidR="00180334" w14:paraId="7BACBCF3" w14:textId="77777777" w:rsidTr="00C75DB2">
        <w:tc>
          <w:tcPr>
            <w:tcW w:w="675" w:type="dxa"/>
          </w:tcPr>
          <w:p w14:paraId="14F5F086"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10</w:t>
            </w:r>
          </w:p>
        </w:tc>
        <w:tc>
          <w:tcPr>
            <w:tcW w:w="851" w:type="dxa"/>
          </w:tcPr>
          <w:p w14:paraId="3A190D10" w14:textId="77777777" w:rsidR="00180334" w:rsidRDefault="00180334" w:rsidP="00C75DB2"/>
        </w:tc>
        <w:tc>
          <w:tcPr>
            <w:tcW w:w="6780" w:type="dxa"/>
          </w:tcPr>
          <w:p w14:paraId="6E16E41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2.1.2服务总周期与交付要求</w:t>
            </w:r>
          </w:p>
          <w:p w14:paraId="7F3A53C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核心诉求：供应商需提供全生命周期的专业运</w:t>
            </w:r>
            <w:proofErr w:type="gramStart"/>
            <w:r>
              <w:rPr>
                <w:rFonts w:ascii="宋体" w:eastAsia="宋体" w:hAnsi="宋体" w:cs="仿宋_GB2312"/>
                <w:color w:val="000000"/>
                <w:sz w:val="24"/>
                <w:lang w:eastAsia="zh-CN"/>
              </w:rPr>
              <w:t>维管理</w:t>
            </w:r>
            <w:proofErr w:type="gramEnd"/>
            <w:r>
              <w:rPr>
                <w:rFonts w:ascii="宋体" w:eastAsia="宋体" w:hAnsi="宋体" w:cs="仿宋_GB2312"/>
                <w:color w:val="000000"/>
                <w:sz w:val="24"/>
                <w:lang w:eastAsia="zh-CN"/>
              </w:rPr>
              <w:t>服务，确保数据库系统在维保期内具备最高的可用性、安全性和</w:t>
            </w:r>
            <w:proofErr w:type="gramStart"/>
            <w:r>
              <w:rPr>
                <w:rFonts w:ascii="宋体" w:eastAsia="宋体" w:hAnsi="宋体" w:cs="仿宋_GB2312"/>
                <w:color w:val="000000"/>
                <w:sz w:val="24"/>
                <w:lang w:eastAsia="zh-CN"/>
              </w:rPr>
              <w:t>可</w:t>
            </w:r>
            <w:proofErr w:type="gramEnd"/>
            <w:r>
              <w:rPr>
                <w:rFonts w:ascii="宋体" w:eastAsia="宋体" w:hAnsi="宋体" w:cs="仿宋_GB2312"/>
                <w:color w:val="000000"/>
                <w:sz w:val="24"/>
                <w:lang w:eastAsia="zh-CN"/>
              </w:rPr>
              <w:t>扩展性。</w:t>
            </w:r>
          </w:p>
        </w:tc>
      </w:tr>
      <w:tr w:rsidR="00180334" w14:paraId="0B86CE17" w14:textId="77777777" w:rsidTr="00C75DB2">
        <w:tc>
          <w:tcPr>
            <w:tcW w:w="675" w:type="dxa"/>
          </w:tcPr>
          <w:p w14:paraId="2CD9B761"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11</w:t>
            </w:r>
          </w:p>
        </w:tc>
        <w:tc>
          <w:tcPr>
            <w:tcW w:w="851" w:type="dxa"/>
          </w:tcPr>
          <w:p w14:paraId="375CDCE1" w14:textId="77777777" w:rsidR="00180334" w:rsidRDefault="00180334" w:rsidP="00C75DB2"/>
        </w:tc>
        <w:tc>
          <w:tcPr>
            <w:tcW w:w="6780" w:type="dxa"/>
          </w:tcPr>
          <w:p w14:paraId="0092790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2.2技术指标与服务级别协议要求</w:t>
            </w:r>
          </w:p>
          <w:p w14:paraId="0E391054"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2.2.1基础巡检与健康监测服务</w:t>
            </w:r>
          </w:p>
          <w:p w14:paraId="3E342EC0"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2.2.1.1远程日常巡检：</w:t>
            </w:r>
          </w:p>
          <w:p w14:paraId="72F23E9F"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频率要求：每周至少执行一次远程性能和资源状态巡查。</w:t>
            </w:r>
          </w:p>
          <w:p w14:paraId="52594B34"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检查内容范围：必须覆盖错误日志分析、性能瓶颈预警（如慢查询记录）、空间利用率趋势分析、对象引用完整性检查等五个维度。</w:t>
            </w:r>
          </w:p>
          <w:p w14:paraId="46A6E40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交付物标准：服务周期内需提供《数据库周健康巡检报告》，包含问题发现、风险等级评估及改进优先级建议清单。</w:t>
            </w:r>
          </w:p>
        </w:tc>
      </w:tr>
      <w:tr w:rsidR="00180334" w14:paraId="3C293027" w14:textId="77777777" w:rsidTr="00C75DB2">
        <w:tc>
          <w:tcPr>
            <w:tcW w:w="675" w:type="dxa"/>
          </w:tcPr>
          <w:p w14:paraId="4D9D1143"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12</w:t>
            </w:r>
          </w:p>
        </w:tc>
        <w:tc>
          <w:tcPr>
            <w:tcW w:w="851" w:type="dxa"/>
          </w:tcPr>
          <w:p w14:paraId="1DAC0711" w14:textId="77777777" w:rsidR="00180334" w:rsidRDefault="00180334" w:rsidP="00C75DB2"/>
        </w:tc>
        <w:tc>
          <w:tcPr>
            <w:tcW w:w="6780" w:type="dxa"/>
          </w:tcPr>
          <w:p w14:paraId="6B97D4D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2.2.1.2现场与</w:t>
            </w:r>
            <w:proofErr w:type="gramStart"/>
            <w:r>
              <w:rPr>
                <w:rFonts w:ascii="宋体" w:eastAsia="宋体" w:hAnsi="宋体" w:cs="仿宋_GB2312"/>
                <w:color w:val="000000"/>
                <w:sz w:val="24"/>
                <w:lang w:eastAsia="zh-CN"/>
              </w:rPr>
              <w:t>深度维保巡查</w:t>
            </w:r>
            <w:proofErr w:type="gramEnd"/>
            <w:r>
              <w:rPr>
                <w:rFonts w:ascii="宋体" w:eastAsia="宋体" w:hAnsi="宋体" w:cs="仿宋_GB2312"/>
                <w:color w:val="000000"/>
                <w:sz w:val="24"/>
                <w:lang w:eastAsia="zh-CN"/>
              </w:rPr>
              <w:t>：</w:t>
            </w:r>
          </w:p>
          <w:p w14:paraId="3ACD28C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lastRenderedPageBreak/>
              <w:t>频率要求：每月至少安排一次远程巡查，每季度必须由供应商指派专家进行一次不少于一日的现场（或虚拟实地）深度检测。</w:t>
            </w:r>
          </w:p>
          <w:p w14:paraId="6BA1364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工作内容：围绕日志管理、性能优化、配合医院迁移数据、安全漏洞排查、备份及恢复机制完整性等关键领域展开全方位检查。</w:t>
            </w:r>
          </w:p>
          <w:p w14:paraId="22AC042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交付物标准：提供详细的《数据库巡检及风险评估报告》，并应包含不少于五项具备实施路径和预期效果的优化改进建议。</w:t>
            </w:r>
          </w:p>
        </w:tc>
      </w:tr>
      <w:tr w:rsidR="00180334" w14:paraId="79753881" w14:textId="77777777" w:rsidTr="00C75DB2">
        <w:tc>
          <w:tcPr>
            <w:tcW w:w="675" w:type="dxa"/>
          </w:tcPr>
          <w:p w14:paraId="13292109"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13</w:t>
            </w:r>
          </w:p>
        </w:tc>
        <w:tc>
          <w:tcPr>
            <w:tcW w:w="851" w:type="dxa"/>
          </w:tcPr>
          <w:p w14:paraId="2BE51A15" w14:textId="77777777" w:rsidR="00180334" w:rsidRDefault="00180334" w:rsidP="00C75DB2"/>
        </w:tc>
        <w:tc>
          <w:tcPr>
            <w:tcW w:w="6780" w:type="dxa"/>
          </w:tcPr>
          <w:p w14:paraId="0F2659D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2.2.2实时响应与应急处置服务</w:t>
            </w:r>
          </w:p>
          <w:p w14:paraId="4D52630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7*24小时技术支持平台保障</w:t>
            </w:r>
          </w:p>
          <w:p w14:paraId="6CACF08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指标要求：供应商必须提供覆盖电话、即时通讯工具（</w:t>
            </w:r>
            <w:proofErr w:type="gramStart"/>
            <w:r>
              <w:rPr>
                <w:rFonts w:ascii="宋体" w:eastAsia="宋体" w:hAnsi="宋体" w:cs="仿宋_GB2312"/>
                <w:color w:val="000000"/>
                <w:sz w:val="24"/>
                <w:lang w:eastAsia="zh-CN"/>
              </w:rPr>
              <w:t>如微信</w:t>
            </w:r>
            <w:proofErr w:type="gramEnd"/>
            <w:r>
              <w:rPr>
                <w:rFonts w:ascii="宋体" w:eastAsia="宋体" w:hAnsi="宋体" w:cs="仿宋_GB2312"/>
                <w:color w:val="000000"/>
                <w:sz w:val="24"/>
                <w:lang w:eastAsia="zh-CN"/>
              </w:rPr>
              <w:t>/企业微信）、邮件等多渠道的运</w:t>
            </w:r>
            <w:proofErr w:type="gramStart"/>
            <w:r>
              <w:rPr>
                <w:rFonts w:ascii="宋体" w:eastAsia="宋体" w:hAnsi="宋体" w:cs="仿宋_GB2312"/>
                <w:color w:val="000000"/>
                <w:sz w:val="24"/>
                <w:lang w:eastAsia="zh-CN"/>
              </w:rPr>
              <w:t>维管理</w:t>
            </w:r>
            <w:proofErr w:type="gramEnd"/>
            <w:r>
              <w:rPr>
                <w:rFonts w:ascii="宋体" w:eastAsia="宋体" w:hAnsi="宋体" w:cs="仿宋_GB2312"/>
                <w:color w:val="000000"/>
                <w:sz w:val="24"/>
                <w:lang w:eastAsia="zh-CN"/>
              </w:rPr>
              <w:t>平台入口，确保随时可接入。</w:t>
            </w:r>
          </w:p>
          <w:p w14:paraId="4194831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响应时间（SLA）：对于一般咨询问题，首次人工指引响应时间应≤30分钟；对于系统性能异常告警，首次介入处置时间应≤0.5小时。</w:t>
            </w:r>
          </w:p>
        </w:tc>
      </w:tr>
      <w:tr w:rsidR="00180334" w14:paraId="53CFCC35" w14:textId="77777777" w:rsidTr="00C75DB2">
        <w:tc>
          <w:tcPr>
            <w:tcW w:w="675" w:type="dxa"/>
          </w:tcPr>
          <w:p w14:paraId="2105AD71"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14</w:t>
            </w:r>
          </w:p>
        </w:tc>
        <w:tc>
          <w:tcPr>
            <w:tcW w:w="851" w:type="dxa"/>
          </w:tcPr>
          <w:p w14:paraId="71DB9633" w14:textId="77777777" w:rsidR="00180334" w:rsidRDefault="00180334" w:rsidP="00C75DB2"/>
        </w:tc>
        <w:tc>
          <w:tcPr>
            <w:tcW w:w="6780" w:type="dxa"/>
          </w:tcPr>
          <w:p w14:paraId="101E0DA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2.2.3紧急故障救援服务：</w:t>
            </w:r>
          </w:p>
          <w:p w14:paraId="6BFF761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指标要求：服务期内不限次数提供。发生影响核心业务的数据库</w:t>
            </w:r>
            <w:proofErr w:type="gramStart"/>
            <w:r>
              <w:rPr>
                <w:rFonts w:ascii="宋体" w:eastAsia="宋体" w:hAnsi="宋体" w:cs="仿宋_GB2312"/>
                <w:color w:val="000000"/>
                <w:sz w:val="24"/>
                <w:lang w:eastAsia="zh-CN"/>
              </w:rPr>
              <w:t>宕</w:t>
            </w:r>
            <w:proofErr w:type="gramEnd"/>
            <w:r>
              <w:rPr>
                <w:rFonts w:ascii="宋体" w:eastAsia="宋体" w:hAnsi="宋体" w:cs="仿宋_GB2312"/>
                <w:color w:val="000000"/>
                <w:sz w:val="24"/>
                <w:lang w:eastAsia="zh-CN"/>
              </w:rPr>
              <w:t>机或</w:t>
            </w:r>
            <w:proofErr w:type="gramStart"/>
            <w:r>
              <w:rPr>
                <w:rFonts w:ascii="宋体" w:eastAsia="宋体" w:hAnsi="宋体" w:cs="仿宋_GB2312"/>
                <w:color w:val="000000"/>
                <w:sz w:val="24"/>
                <w:lang w:eastAsia="zh-CN"/>
              </w:rPr>
              <w:t>不</w:t>
            </w:r>
            <w:proofErr w:type="gramEnd"/>
            <w:r>
              <w:rPr>
                <w:rFonts w:ascii="宋体" w:eastAsia="宋体" w:hAnsi="宋体" w:cs="仿宋_GB2312"/>
                <w:color w:val="000000"/>
                <w:sz w:val="24"/>
                <w:lang w:eastAsia="zh-CN"/>
              </w:rPr>
              <w:t>可用故障时，供应商需立即启动最高级别应急响应机制。</w:t>
            </w:r>
          </w:p>
          <w:p w14:paraId="4262652A"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关键KPI：必须承诺平均恢复时间（MTTR）≤ 2小时，直至系统达到稳定运行状态为止。</w:t>
            </w:r>
          </w:p>
        </w:tc>
      </w:tr>
      <w:tr w:rsidR="00180334" w14:paraId="36794A9C" w14:textId="77777777" w:rsidTr="00C75DB2">
        <w:tc>
          <w:tcPr>
            <w:tcW w:w="675" w:type="dxa"/>
          </w:tcPr>
          <w:p w14:paraId="65D9DFD3"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15</w:t>
            </w:r>
          </w:p>
        </w:tc>
        <w:tc>
          <w:tcPr>
            <w:tcW w:w="851" w:type="dxa"/>
          </w:tcPr>
          <w:p w14:paraId="726C81EF" w14:textId="77777777" w:rsidR="00180334" w:rsidRDefault="00180334" w:rsidP="00C75DB2"/>
        </w:tc>
        <w:tc>
          <w:tcPr>
            <w:tcW w:w="6780" w:type="dxa"/>
          </w:tcPr>
          <w:p w14:paraId="47C1975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2.2.4专业技术支持与专家服务</w:t>
            </w:r>
          </w:p>
          <w:p w14:paraId="68D71B6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2.2.4.1三线专家兜底能力保障：</w:t>
            </w:r>
          </w:p>
          <w:p w14:paraId="1F430680"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要求：供应商必须指派具有行业领先经验的专家作为项目联络人，该专家具备对数据库系统架构、底层原理的完全掌握能力。</w:t>
            </w:r>
          </w:p>
          <w:p w14:paraId="695D2C4C"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服务内容：负责接收并解决所有无法通过二级技术支持定位的“疑难问题”（Bug分析）和潜在的技术风险点。</w:t>
            </w:r>
          </w:p>
        </w:tc>
      </w:tr>
      <w:tr w:rsidR="00180334" w14:paraId="546A720B" w14:textId="77777777" w:rsidTr="00C75DB2">
        <w:tc>
          <w:tcPr>
            <w:tcW w:w="675" w:type="dxa"/>
          </w:tcPr>
          <w:p w14:paraId="663004D5"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16</w:t>
            </w:r>
          </w:p>
        </w:tc>
        <w:tc>
          <w:tcPr>
            <w:tcW w:w="851" w:type="dxa"/>
          </w:tcPr>
          <w:p w14:paraId="5B364821" w14:textId="77777777" w:rsidR="00180334" w:rsidRDefault="00180334" w:rsidP="00C75DB2"/>
        </w:tc>
        <w:tc>
          <w:tcPr>
            <w:tcW w:w="6780" w:type="dxa"/>
          </w:tcPr>
          <w:p w14:paraId="4C79F14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2.2.4.2数据库故障定性与分析：</w:t>
            </w:r>
          </w:p>
          <w:p w14:paraId="7D2A2215"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要求：提供结构化的《疑难问题根因分析报告》，明确指出系统缺陷、配置错误或操作失误等所有导致故障的根本原因，并提交书面的补丁修复方案和实施建议。</w:t>
            </w:r>
          </w:p>
        </w:tc>
      </w:tr>
      <w:tr w:rsidR="00180334" w14:paraId="693BBA88" w14:textId="77777777" w:rsidTr="00C75DB2">
        <w:tc>
          <w:tcPr>
            <w:tcW w:w="675" w:type="dxa"/>
          </w:tcPr>
          <w:p w14:paraId="12A5F7ED"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17</w:t>
            </w:r>
          </w:p>
        </w:tc>
        <w:tc>
          <w:tcPr>
            <w:tcW w:w="851" w:type="dxa"/>
          </w:tcPr>
          <w:p w14:paraId="0424F01B" w14:textId="77777777" w:rsidR="00180334" w:rsidRDefault="00180334" w:rsidP="00C75DB2"/>
        </w:tc>
        <w:tc>
          <w:tcPr>
            <w:tcW w:w="6780" w:type="dxa"/>
          </w:tcPr>
          <w:p w14:paraId="181BE75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2.3优化与演进服务</w:t>
            </w:r>
          </w:p>
          <w:p w14:paraId="0186E2E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2.3.1数据库性能持续调优服务</w:t>
            </w:r>
          </w:p>
          <w:p w14:paraId="2EBB79C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2.3.1.1现状评估与基线建立：供应商需首先提供全面的《系统性能现状及关键SQL执行效率评估报告》。</w:t>
            </w:r>
          </w:p>
        </w:tc>
      </w:tr>
      <w:tr w:rsidR="00180334" w14:paraId="257A079E" w14:textId="77777777" w:rsidTr="00C75DB2">
        <w:tc>
          <w:tcPr>
            <w:tcW w:w="675" w:type="dxa"/>
          </w:tcPr>
          <w:p w14:paraId="336FE6AF"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18</w:t>
            </w:r>
          </w:p>
        </w:tc>
        <w:tc>
          <w:tcPr>
            <w:tcW w:w="851" w:type="dxa"/>
          </w:tcPr>
          <w:p w14:paraId="66F19FB0" w14:textId="77777777" w:rsidR="00180334" w:rsidRDefault="00180334" w:rsidP="00C75DB2"/>
        </w:tc>
        <w:tc>
          <w:tcPr>
            <w:tcW w:w="6780" w:type="dxa"/>
          </w:tcPr>
          <w:p w14:paraId="5E88142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2.3.1.2优化方案设计与实施：基于评估结果，提出详细的、可落地的多维度（包括索引结构、业务流程和架构层面）优化方案。</w:t>
            </w:r>
          </w:p>
        </w:tc>
      </w:tr>
      <w:tr w:rsidR="00180334" w14:paraId="51C6A80B" w14:textId="77777777" w:rsidTr="00C75DB2">
        <w:tc>
          <w:tcPr>
            <w:tcW w:w="675" w:type="dxa"/>
          </w:tcPr>
          <w:p w14:paraId="5582FE01"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19</w:t>
            </w:r>
          </w:p>
        </w:tc>
        <w:tc>
          <w:tcPr>
            <w:tcW w:w="851" w:type="dxa"/>
          </w:tcPr>
          <w:p w14:paraId="1D5762C1" w14:textId="77777777" w:rsidR="00180334" w:rsidRDefault="00180334" w:rsidP="00C75DB2"/>
        </w:tc>
        <w:tc>
          <w:tcPr>
            <w:tcW w:w="6780" w:type="dxa"/>
          </w:tcPr>
          <w:p w14:paraId="3C74394A"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2.3.1.3交付保障指标：成功实施任何重大调优或优化方案后，供应商需提供不少于1的现场驻场技术支持，确保新性能基线稳定运行。</w:t>
            </w:r>
          </w:p>
        </w:tc>
      </w:tr>
      <w:tr w:rsidR="00180334" w14:paraId="5517575F" w14:textId="77777777" w:rsidTr="00C75DB2">
        <w:tc>
          <w:tcPr>
            <w:tcW w:w="675" w:type="dxa"/>
          </w:tcPr>
          <w:p w14:paraId="4D2997DF"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20</w:t>
            </w:r>
          </w:p>
        </w:tc>
        <w:tc>
          <w:tcPr>
            <w:tcW w:w="851" w:type="dxa"/>
          </w:tcPr>
          <w:p w14:paraId="4FB412BD" w14:textId="77777777" w:rsidR="00180334" w:rsidRDefault="00180334" w:rsidP="00C75DB2"/>
        </w:tc>
        <w:tc>
          <w:tcPr>
            <w:tcW w:w="6780" w:type="dxa"/>
          </w:tcPr>
          <w:p w14:paraId="4A3FB680"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2.3.2系统迁移与版本升级服务</w:t>
            </w:r>
          </w:p>
          <w:p w14:paraId="09491E2D"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2.3.2.1跨平台/跨版本迁移：供应商必须具备按需提供的数据库跨版本、跨平台等复杂场景的系统迁移能力。所有方案设计须包含风险评估、数据一致性</w:t>
            </w:r>
            <w:proofErr w:type="gramStart"/>
            <w:r>
              <w:rPr>
                <w:rFonts w:ascii="宋体" w:eastAsia="宋体" w:hAnsi="宋体" w:cs="仿宋_GB2312"/>
                <w:color w:val="000000"/>
                <w:sz w:val="24"/>
                <w:lang w:eastAsia="zh-CN"/>
              </w:rPr>
              <w:t>校验和回滚预案</w:t>
            </w:r>
            <w:proofErr w:type="gramEnd"/>
            <w:r>
              <w:rPr>
                <w:rFonts w:ascii="宋体" w:eastAsia="宋体" w:hAnsi="宋体" w:cs="仿宋_GB2312"/>
                <w:color w:val="000000"/>
                <w:sz w:val="24"/>
                <w:lang w:eastAsia="zh-CN"/>
              </w:rPr>
              <w:t>。</w:t>
            </w:r>
          </w:p>
        </w:tc>
      </w:tr>
      <w:tr w:rsidR="00180334" w14:paraId="00D6BAB2" w14:textId="77777777" w:rsidTr="00C75DB2">
        <w:tc>
          <w:tcPr>
            <w:tcW w:w="675" w:type="dxa"/>
          </w:tcPr>
          <w:p w14:paraId="7B7FCC19"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21</w:t>
            </w:r>
          </w:p>
        </w:tc>
        <w:tc>
          <w:tcPr>
            <w:tcW w:w="851" w:type="dxa"/>
          </w:tcPr>
          <w:p w14:paraId="70C5CD32" w14:textId="77777777" w:rsidR="00180334" w:rsidRDefault="00180334" w:rsidP="00C75DB2"/>
        </w:tc>
        <w:tc>
          <w:tcPr>
            <w:tcW w:w="6780" w:type="dxa"/>
          </w:tcPr>
          <w:p w14:paraId="6F5DE994"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2.3.2.2大版本升级服务流程化：建立从“现有环境调研→制定详细升级路线图→分阶段实施→升级后联调及稳定期支持”的全流程管理体系。</w:t>
            </w:r>
          </w:p>
        </w:tc>
      </w:tr>
      <w:tr w:rsidR="00180334" w14:paraId="4A51EA09" w14:textId="77777777" w:rsidTr="00C75DB2">
        <w:tc>
          <w:tcPr>
            <w:tcW w:w="675" w:type="dxa"/>
          </w:tcPr>
          <w:p w14:paraId="48C4EFBE"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22</w:t>
            </w:r>
          </w:p>
        </w:tc>
        <w:tc>
          <w:tcPr>
            <w:tcW w:w="851" w:type="dxa"/>
          </w:tcPr>
          <w:p w14:paraId="462E24E4" w14:textId="77777777" w:rsidR="00180334" w:rsidRDefault="00180334" w:rsidP="00C75DB2"/>
        </w:tc>
        <w:tc>
          <w:tcPr>
            <w:tcW w:w="6780" w:type="dxa"/>
          </w:tcPr>
          <w:p w14:paraId="734A0E19"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2.3.3业务连续性与灾难恢复服务</w:t>
            </w:r>
          </w:p>
          <w:p w14:paraId="7B0BDC0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2.3.3.1容灾备份方案设计与验证：</w:t>
            </w:r>
          </w:p>
          <w:p w14:paraId="1104D7A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要求：供应商需根据国家标准的实际RTO和RPO指标，重新评估并设计最优化的数据库异地容灾备份实施架构。</w:t>
            </w:r>
          </w:p>
          <w:p w14:paraId="01D1024D"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交付物：必须完成《容灾备份方案书》，明确主</w:t>
            </w:r>
            <w:proofErr w:type="gramStart"/>
            <w:r>
              <w:rPr>
                <w:rFonts w:ascii="宋体" w:eastAsia="宋体" w:hAnsi="宋体" w:cs="仿宋_GB2312"/>
                <w:color w:val="000000"/>
                <w:sz w:val="24"/>
                <w:lang w:eastAsia="zh-CN"/>
              </w:rPr>
              <w:t>备数据</w:t>
            </w:r>
            <w:proofErr w:type="gramEnd"/>
            <w:r>
              <w:rPr>
                <w:rFonts w:ascii="宋体" w:eastAsia="宋体" w:hAnsi="宋体" w:cs="仿宋_GB2312"/>
                <w:color w:val="000000"/>
                <w:sz w:val="24"/>
                <w:lang w:eastAsia="zh-CN"/>
              </w:rPr>
              <w:t>同步链路、故障切换流程图及状态监测报告。</w:t>
            </w:r>
          </w:p>
        </w:tc>
      </w:tr>
      <w:tr w:rsidR="00180334" w14:paraId="1523E478" w14:textId="77777777" w:rsidTr="00C75DB2">
        <w:tc>
          <w:tcPr>
            <w:tcW w:w="675" w:type="dxa"/>
          </w:tcPr>
          <w:p w14:paraId="438C3F9A"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23</w:t>
            </w:r>
          </w:p>
        </w:tc>
        <w:tc>
          <w:tcPr>
            <w:tcW w:w="851" w:type="dxa"/>
          </w:tcPr>
          <w:p w14:paraId="7670C9BD" w14:textId="77777777" w:rsidR="00180334" w:rsidRDefault="00180334" w:rsidP="00C75DB2"/>
        </w:tc>
        <w:tc>
          <w:tcPr>
            <w:tcW w:w="6780" w:type="dxa"/>
          </w:tcPr>
          <w:p w14:paraId="5FF84CD9"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2.3.3.</w:t>
            </w:r>
            <w:proofErr w:type="gramStart"/>
            <w:r>
              <w:rPr>
                <w:rFonts w:ascii="宋体" w:eastAsia="宋体" w:hAnsi="宋体" w:cs="仿宋_GB2312"/>
                <w:color w:val="000000"/>
                <w:sz w:val="24"/>
                <w:lang w:eastAsia="zh-CN"/>
              </w:rPr>
              <w:t>2</w:t>
            </w:r>
            <w:proofErr w:type="gramEnd"/>
            <w:r>
              <w:rPr>
                <w:rFonts w:ascii="宋体" w:eastAsia="宋体" w:hAnsi="宋体" w:cs="仿宋_GB2312"/>
                <w:color w:val="000000"/>
                <w:sz w:val="24"/>
                <w:lang w:eastAsia="zh-CN"/>
              </w:rPr>
              <w:t>年度演练与审计：</w:t>
            </w:r>
          </w:p>
          <w:p w14:paraId="53A8FDF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lastRenderedPageBreak/>
              <w:t>服务期内每年至少组织一次全面的“全流程恢复演练”和“容灾模拟切回测试”，并出具专业的《年度灾难恢复演练报告》，明确记录发现的问题点及整改措施。</w:t>
            </w:r>
          </w:p>
        </w:tc>
      </w:tr>
      <w:tr w:rsidR="00180334" w14:paraId="24D98A22" w14:textId="77777777" w:rsidTr="00C75DB2">
        <w:tc>
          <w:tcPr>
            <w:tcW w:w="675" w:type="dxa"/>
          </w:tcPr>
          <w:p w14:paraId="1D008D1D"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24</w:t>
            </w:r>
          </w:p>
        </w:tc>
        <w:tc>
          <w:tcPr>
            <w:tcW w:w="851" w:type="dxa"/>
          </w:tcPr>
          <w:p w14:paraId="393249E2" w14:textId="77777777" w:rsidR="00180334" w:rsidRDefault="00180334" w:rsidP="00C75DB2"/>
        </w:tc>
        <w:tc>
          <w:tcPr>
            <w:tcW w:w="6780" w:type="dxa"/>
          </w:tcPr>
          <w:p w14:paraId="59492D5B"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2.4供应商技术支撑平台要求</w:t>
            </w:r>
          </w:p>
          <w:p w14:paraId="675DD61F"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2.4.1驻场专家工程师服务</w:t>
            </w:r>
          </w:p>
          <w:p w14:paraId="15EC49D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本项目鉴于核心数据库系统对我院业务系统的极端重要性和高复杂性，供应商必须提供一名全职、常驻的资深技术顾问/驻场工程师，该人员的工作职责应超越单纯的“故障响应”，而是成为我方IT架构和数据库运维流程上的延伸。</w:t>
            </w:r>
          </w:p>
        </w:tc>
      </w:tr>
      <w:tr w:rsidR="00180334" w14:paraId="1C950B78" w14:textId="77777777" w:rsidTr="00C75DB2">
        <w:tc>
          <w:tcPr>
            <w:tcW w:w="675" w:type="dxa"/>
          </w:tcPr>
          <w:p w14:paraId="489509B3"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25</w:t>
            </w:r>
          </w:p>
        </w:tc>
        <w:tc>
          <w:tcPr>
            <w:tcW w:w="851" w:type="dxa"/>
          </w:tcPr>
          <w:p w14:paraId="18A1FF95" w14:textId="77777777" w:rsidR="00180334" w:rsidRDefault="00180334" w:rsidP="00C75DB2"/>
        </w:tc>
        <w:tc>
          <w:tcPr>
            <w:tcW w:w="6780" w:type="dxa"/>
          </w:tcPr>
          <w:p w14:paraId="19D6ABA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2.4.2角色定义与定位：业务连续性守护者</w:t>
            </w:r>
          </w:p>
          <w:p w14:paraId="5B840C2B"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驻场人员不是简单的维修工，而是具备高级咨询、架构设计、日常预防维护三位一体能力的专家，其首要目标是确保系统的最高可用性和最高的安全性。</w:t>
            </w:r>
          </w:p>
          <w:p w14:paraId="73D3BA0A"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承诺要求：供应商必须提供合同期内稳定的核心骨干力量，不能采用轮岗或临时调配人员。</w:t>
            </w:r>
          </w:p>
        </w:tc>
      </w:tr>
      <w:tr w:rsidR="00180334" w14:paraId="13F65EE8" w14:textId="77777777" w:rsidTr="00C75DB2">
        <w:tc>
          <w:tcPr>
            <w:tcW w:w="675" w:type="dxa"/>
          </w:tcPr>
          <w:p w14:paraId="1CE5BB8F"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26</w:t>
            </w:r>
          </w:p>
        </w:tc>
        <w:tc>
          <w:tcPr>
            <w:tcW w:w="851" w:type="dxa"/>
          </w:tcPr>
          <w:p w14:paraId="345922EF" w14:textId="77777777" w:rsidR="00180334" w:rsidRDefault="00180334" w:rsidP="00C75DB2"/>
        </w:tc>
        <w:tc>
          <w:tcPr>
            <w:tcW w:w="6780" w:type="dxa"/>
          </w:tcPr>
          <w:p w14:paraId="5A9DF75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2.4.3专业资质硬指标要求：</w:t>
            </w:r>
          </w:p>
          <w:p w14:paraId="79261672"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2.4.3.1认证等级：驻场工程师需持有业界公认的、至少达到OCP/Oracle Certified Professional 或同级别数据库架构高级证书]以上级别的证书，且必须能提供有效的证书复印件。</w:t>
            </w:r>
          </w:p>
          <w:p w14:paraId="453817D0"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经验年限：要求该人员具备运维及调优的实战经验至少五年。</w:t>
            </w:r>
          </w:p>
        </w:tc>
      </w:tr>
      <w:tr w:rsidR="00180334" w14:paraId="60D013A2" w14:textId="77777777" w:rsidTr="00C75DB2">
        <w:tc>
          <w:tcPr>
            <w:tcW w:w="675" w:type="dxa"/>
          </w:tcPr>
          <w:p w14:paraId="6DA3A3AD"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27</w:t>
            </w:r>
          </w:p>
        </w:tc>
        <w:tc>
          <w:tcPr>
            <w:tcW w:w="851" w:type="dxa"/>
          </w:tcPr>
          <w:p w14:paraId="39CB02EF" w14:textId="77777777" w:rsidR="00180334" w:rsidRDefault="00180334" w:rsidP="00C75DB2"/>
        </w:tc>
        <w:tc>
          <w:tcPr>
            <w:tcW w:w="6780" w:type="dxa"/>
          </w:tcPr>
          <w:p w14:paraId="3C3C51A2"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2.4.3.2驻场工程师的关键服务职责与产出：</w:t>
            </w:r>
          </w:p>
          <w:p w14:paraId="7114804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主动巡检与流程优化：每日需执行例行检查，发现潜在风险点时，必须立即启动预警机制，并提出具体的改进实施方案，而非仅在故障发生后再处理。</w:t>
            </w:r>
          </w:p>
          <w:p w14:paraId="3A8A081F"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知识沉淀与文档化：驻场工程师负责建立本地化的《数据库核心系统操作手册》、《应急响应流程图》和《运维知识库》，确保医院人员也能掌握部分</w:t>
            </w:r>
            <w:proofErr w:type="gramStart"/>
            <w:r>
              <w:rPr>
                <w:rFonts w:ascii="宋体" w:eastAsia="宋体" w:hAnsi="宋体" w:cs="仿宋_GB2312"/>
                <w:color w:val="000000"/>
                <w:sz w:val="24"/>
                <w:lang w:eastAsia="zh-CN"/>
              </w:rPr>
              <w:t>基础维保技能</w:t>
            </w:r>
            <w:proofErr w:type="gramEnd"/>
            <w:r>
              <w:rPr>
                <w:rFonts w:ascii="宋体" w:eastAsia="宋体" w:hAnsi="宋体" w:cs="仿宋_GB2312"/>
                <w:color w:val="000000"/>
                <w:sz w:val="24"/>
                <w:lang w:eastAsia="zh-CN"/>
              </w:rPr>
              <w:t>，实现业务的平稳过渡和能力提升。</w:t>
            </w:r>
          </w:p>
          <w:p w14:paraId="5C666F7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lastRenderedPageBreak/>
              <w:t>架构咨询与风险预警：不仅执行任务，还需对系统的未来扩展需求、新技术引入（如AI模型接入等）进行前瞻性评估，并提前介入设计优化方案，避免系统瓶颈化。</w:t>
            </w:r>
          </w:p>
        </w:tc>
      </w:tr>
      <w:tr w:rsidR="00180334" w14:paraId="16035001" w14:textId="77777777" w:rsidTr="00C75DB2">
        <w:tc>
          <w:tcPr>
            <w:tcW w:w="675" w:type="dxa"/>
          </w:tcPr>
          <w:p w14:paraId="298E060B"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28</w:t>
            </w:r>
          </w:p>
        </w:tc>
        <w:tc>
          <w:tcPr>
            <w:tcW w:w="851" w:type="dxa"/>
          </w:tcPr>
          <w:p w14:paraId="488AA5D1" w14:textId="77777777" w:rsidR="00180334" w:rsidRDefault="00180334" w:rsidP="00C75DB2"/>
        </w:tc>
        <w:tc>
          <w:tcPr>
            <w:tcW w:w="6780" w:type="dxa"/>
          </w:tcPr>
          <w:p w14:paraId="0A082A4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2.4.3.3其他技术支持人员要求</w:t>
            </w:r>
          </w:p>
          <w:p w14:paraId="7649C59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专家组保障：维持原有的二级、三线远程专家支撑。</w:t>
            </w:r>
          </w:p>
          <w:p w14:paraId="072E4B16"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运维平台管理：需提供专业的SaaS/PaaS型监控和告警管理平台，并指定专人负责平台日常维护和告警阈值的持续优化。</w:t>
            </w:r>
          </w:p>
        </w:tc>
      </w:tr>
      <w:tr w:rsidR="00180334" w14:paraId="2715CF26" w14:textId="77777777" w:rsidTr="00C75DB2">
        <w:tc>
          <w:tcPr>
            <w:tcW w:w="675" w:type="dxa"/>
          </w:tcPr>
          <w:p w14:paraId="1820F502"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29</w:t>
            </w:r>
          </w:p>
        </w:tc>
        <w:tc>
          <w:tcPr>
            <w:tcW w:w="851" w:type="dxa"/>
          </w:tcPr>
          <w:p w14:paraId="4363FB82" w14:textId="77777777" w:rsidR="00180334" w:rsidRDefault="00180334" w:rsidP="00C75DB2"/>
        </w:tc>
        <w:tc>
          <w:tcPr>
            <w:tcW w:w="6780" w:type="dxa"/>
          </w:tcPr>
          <w:p w14:paraId="6DB48364"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2.5验收标准与交付物</w:t>
            </w:r>
          </w:p>
          <w:p w14:paraId="4121730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2.5.1阶段性验收指标：</w:t>
            </w:r>
          </w:p>
          <w:p w14:paraId="3B461248"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基线建立报告：在项目初期，需通过《数据库性能现状评估及风险点分析报告》完成第一阶段验收。</w:t>
            </w:r>
          </w:p>
          <w:p w14:paraId="0A3825FB"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能力建设报告：完成所有关键技术流程（如迁移、升级）后，必须提交详细的报告，并在现场进行业务模拟联调测试，并出具书面签收记录。</w:t>
            </w:r>
          </w:p>
        </w:tc>
      </w:tr>
      <w:tr w:rsidR="00180334" w14:paraId="7DB33D6B" w14:textId="77777777" w:rsidTr="00C75DB2">
        <w:tc>
          <w:tcPr>
            <w:tcW w:w="675" w:type="dxa"/>
          </w:tcPr>
          <w:p w14:paraId="0AB8AACB"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30</w:t>
            </w:r>
          </w:p>
        </w:tc>
        <w:tc>
          <w:tcPr>
            <w:tcW w:w="851" w:type="dxa"/>
          </w:tcPr>
          <w:p w14:paraId="697CD3E2" w14:textId="77777777" w:rsidR="00180334" w:rsidRDefault="00180334" w:rsidP="00C75DB2"/>
        </w:tc>
        <w:tc>
          <w:tcPr>
            <w:tcW w:w="6780" w:type="dxa"/>
          </w:tcPr>
          <w:p w14:paraId="74D97065"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2.5.</w:t>
            </w:r>
            <w:proofErr w:type="gramStart"/>
            <w:r>
              <w:rPr>
                <w:rFonts w:ascii="宋体" w:eastAsia="宋体" w:hAnsi="宋体" w:cs="仿宋_GB2312"/>
                <w:color w:val="000000"/>
                <w:sz w:val="24"/>
                <w:lang w:eastAsia="zh-CN"/>
              </w:rPr>
              <w:t>2</w:t>
            </w:r>
            <w:proofErr w:type="gramEnd"/>
            <w:r>
              <w:rPr>
                <w:rFonts w:ascii="宋体" w:eastAsia="宋体" w:hAnsi="宋体" w:cs="仿宋_GB2312"/>
                <w:color w:val="000000"/>
                <w:sz w:val="24"/>
                <w:lang w:eastAsia="zh-CN"/>
              </w:rPr>
              <w:t>年度综合交付物清单：</w:t>
            </w:r>
          </w:p>
          <w:p w14:paraId="54B9D71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服务日志及工单：提供完整的《数据库维保服务执行日志》及所有故障/问题处理的标准化工作工单流转记录。</w:t>
            </w:r>
          </w:p>
          <w:p w14:paraId="787D65B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优化报告包：提交包括但不限于：《性能调优最终效果评估报告》、《系统升级最佳实践总结报告》等，形成可供医院业务部门存档和复用的知识沉淀资产包。</w:t>
            </w:r>
          </w:p>
        </w:tc>
      </w:tr>
      <w:tr w:rsidR="00180334" w14:paraId="37F11405" w14:textId="77777777" w:rsidTr="00C75DB2">
        <w:tc>
          <w:tcPr>
            <w:tcW w:w="675" w:type="dxa"/>
          </w:tcPr>
          <w:p w14:paraId="60483777"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31</w:t>
            </w:r>
          </w:p>
        </w:tc>
        <w:tc>
          <w:tcPr>
            <w:tcW w:w="851" w:type="dxa"/>
          </w:tcPr>
          <w:p w14:paraId="4D84CB56" w14:textId="77777777" w:rsidR="00180334" w:rsidRDefault="00180334" w:rsidP="00C75DB2"/>
        </w:tc>
        <w:tc>
          <w:tcPr>
            <w:tcW w:w="6780" w:type="dxa"/>
          </w:tcPr>
          <w:p w14:paraId="7A798CC9"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二、服务要求</w:t>
            </w:r>
          </w:p>
          <w:p w14:paraId="241B0677"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1.供应商需具备本项目相关的专业能力；</w:t>
            </w:r>
          </w:p>
          <w:p w14:paraId="3BD3B80E"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供应商提供的人员需满足本项目技术要求：</w:t>
            </w:r>
          </w:p>
          <w:p w14:paraId="4448CD19"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1.1至少一名驻场数据库工程师，至少具备Oracle OCP或OCM资质认工程师；</w:t>
            </w:r>
          </w:p>
        </w:tc>
      </w:tr>
      <w:tr w:rsidR="00180334" w14:paraId="577172B3" w14:textId="77777777" w:rsidTr="00C75DB2">
        <w:tc>
          <w:tcPr>
            <w:tcW w:w="675" w:type="dxa"/>
          </w:tcPr>
          <w:p w14:paraId="3699D8C9"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32</w:t>
            </w:r>
          </w:p>
        </w:tc>
        <w:tc>
          <w:tcPr>
            <w:tcW w:w="851" w:type="dxa"/>
          </w:tcPr>
          <w:p w14:paraId="471E701C" w14:textId="77777777" w:rsidR="00180334" w:rsidRDefault="00180334" w:rsidP="00C75DB2"/>
        </w:tc>
        <w:tc>
          <w:tcPr>
            <w:tcW w:w="6780" w:type="dxa"/>
          </w:tcPr>
          <w:p w14:paraId="75BFBAE2"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1.2工程师需</w:t>
            </w:r>
            <w:proofErr w:type="gramStart"/>
            <w:r>
              <w:rPr>
                <w:rFonts w:ascii="宋体" w:eastAsia="宋体" w:hAnsi="宋体" w:cs="仿宋_GB2312"/>
                <w:color w:val="000000"/>
                <w:sz w:val="24"/>
                <w:lang w:eastAsia="zh-CN"/>
              </w:rPr>
              <w:t>具备灾备平台</w:t>
            </w:r>
            <w:proofErr w:type="gramEnd"/>
            <w:r>
              <w:rPr>
                <w:rFonts w:ascii="宋体" w:eastAsia="宋体" w:hAnsi="宋体" w:cs="仿宋_GB2312"/>
                <w:color w:val="000000"/>
                <w:sz w:val="24"/>
                <w:lang w:eastAsia="zh-CN"/>
              </w:rPr>
              <w:t>运维能力。驻场工程师均要求配合完成医院安排的其他工作；</w:t>
            </w:r>
          </w:p>
        </w:tc>
      </w:tr>
      <w:tr w:rsidR="00180334" w14:paraId="00479C64" w14:textId="77777777" w:rsidTr="00C75DB2">
        <w:tc>
          <w:tcPr>
            <w:tcW w:w="675" w:type="dxa"/>
          </w:tcPr>
          <w:p w14:paraId="364A2DF2"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33</w:t>
            </w:r>
          </w:p>
        </w:tc>
        <w:tc>
          <w:tcPr>
            <w:tcW w:w="851" w:type="dxa"/>
          </w:tcPr>
          <w:p w14:paraId="56D16C7D" w14:textId="77777777" w:rsidR="00180334" w:rsidRDefault="00180334" w:rsidP="00C75DB2"/>
        </w:tc>
        <w:tc>
          <w:tcPr>
            <w:tcW w:w="6780" w:type="dxa"/>
          </w:tcPr>
          <w:p w14:paraId="3B3BCD81"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1.3服务团队人员具备PMP证书。</w:t>
            </w:r>
          </w:p>
        </w:tc>
      </w:tr>
      <w:tr w:rsidR="00180334" w14:paraId="79168319" w14:textId="77777777" w:rsidTr="00C75DB2">
        <w:tc>
          <w:tcPr>
            <w:tcW w:w="675" w:type="dxa"/>
          </w:tcPr>
          <w:p w14:paraId="56476997"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lastRenderedPageBreak/>
              <w:t>34</w:t>
            </w:r>
          </w:p>
        </w:tc>
        <w:tc>
          <w:tcPr>
            <w:tcW w:w="851" w:type="dxa"/>
          </w:tcPr>
          <w:p w14:paraId="0CAAA7B7" w14:textId="77777777" w:rsidR="00180334" w:rsidRDefault="00180334" w:rsidP="00C75DB2"/>
        </w:tc>
        <w:tc>
          <w:tcPr>
            <w:tcW w:w="6780" w:type="dxa"/>
          </w:tcPr>
          <w:p w14:paraId="09F0E1E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2.服务响应需及时，紧急情况需提供更高级别技术专家上门服务。</w:t>
            </w:r>
          </w:p>
        </w:tc>
      </w:tr>
      <w:tr w:rsidR="00180334" w14:paraId="065F08F5" w14:textId="77777777" w:rsidTr="00C75DB2">
        <w:tc>
          <w:tcPr>
            <w:tcW w:w="675" w:type="dxa"/>
          </w:tcPr>
          <w:p w14:paraId="6FB05AC7" w14:textId="77777777" w:rsidR="00180334" w:rsidRDefault="00180334" w:rsidP="00C75DB2">
            <w:pPr>
              <w:pStyle w:val="null3"/>
              <w:spacing w:line="360" w:lineRule="auto"/>
              <w:rPr>
                <w:rFonts w:ascii="宋体" w:eastAsia="宋体" w:hAnsi="宋体" w:cs="仿宋_GB2312"/>
                <w:sz w:val="24"/>
                <w:szCs w:val="24"/>
                <w:lang w:eastAsia="zh-CN"/>
              </w:rPr>
            </w:pPr>
            <w:r>
              <w:rPr>
                <w:rFonts w:ascii="宋体" w:eastAsia="宋体" w:hAnsi="宋体" w:cs="仿宋_GB2312"/>
                <w:sz w:val="24"/>
                <w:szCs w:val="24"/>
                <w:lang w:eastAsia="zh-CN"/>
              </w:rPr>
              <w:t>35</w:t>
            </w:r>
          </w:p>
        </w:tc>
        <w:tc>
          <w:tcPr>
            <w:tcW w:w="851" w:type="dxa"/>
          </w:tcPr>
          <w:p w14:paraId="5B977881" w14:textId="77777777" w:rsidR="00180334" w:rsidRDefault="00180334" w:rsidP="00C75DB2"/>
        </w:tc>
        <w:tc>
          <w:tcPr>
            <w:tcW w:w="6780" w:type="dxa"/>
          </w:tcPr>
          <w:p w14:paraId="5CF6E293" w14:textId="77777777" w:rsidR="00180334" w:rsidRDefault="00180334" w:rsidP="00C75DB2">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3.在合同执行过程中需要服务商应执行的相关服务标准和相关义务。</w:t>
            </w:r>
          </w:p>
        </w:tc>
      </w:tr>
    </w:tbl>
    <w:p w14:paraId="1AEB2BCF" w14:textId="77777777" w:rsidR="00180334" w:rsidRPr="00180334" w:rsidRDefault="00180334"/>
    <w:sectPr w:rsidR="00180334" w:rsidRPr="0018033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334"/>
    <w:rsid w:val="00180334"/>
    <w:rsid w:val="002E0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48166"/>
  <w15:chartTrackingRefBased/>
  <w15:docId w15:val="{450BC898-4213-4B96-B4F4-BAB09AC8E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334"/>
    <w:pPr>
      <w:widowControl w:val="0"/>
      <w:spacing w:after="0" w:line="240" w:lineRule="auto"/>
      <w:jc w:val="both"/>
    </w:pPr>
    <w:rPr>
      <w:sz w:val="21"/>
      <w14:ligatures w14:val="none"/>
    </w:rPr>
  </w:style>
  <w:style w:type="paragraph" w:styleId="1">
    <w:name w:val="heading 1"/>
    <w:basedOn w:val="a"/>
    <w:next w:val="a"/>
    <w:link w:val="10"/>
    <w:uiPriority w:val="9"/>
    <w:qFormat/>
    <w:rsid w:val="00180334"/>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180334"/>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180334"/>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180334"/>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180334"/>
    <w:pPr>
      <w:keepNext/>
      <w:keepLines/>
      <w:spacing w:before="80" w:after="40" w:line="278" w:lineRule="auto"/>
      <w:jc w:val="left"/>
      <w:outlineLvl w:val="4"/>
    </w:pPr>
    <w:rPr>
      <w:rFonts w:cstheme="majorBidi"/>
      <w:color w:val="2F5496" w:themeColor="accent1" w:themeShade="BF"/>
      <w:sz w:val="24"/>
      <w14:ligatures w14:val="standardContextual"/>
    </w:rPr>
  </w:style>
  <w:style w:type="paragraph" w:styleId="6">
    <w:name w:val="heading 6"/>
    <w:basedOn w:val="a"/>
    <w:next w:val="a"/>
    <w:link w:val="60"/>
    <w:uiPriority w:val="9"/>
    <w:semiHidden/>
    <w:unhideWhenUsed/>
    <w:qFormat/>
    <w:rsid w:val="00180334"/>
    <w:pPr>
      <w:keepNext/>
      <w:keepLines/>
      <w:spacing w:before="40" w:line="278" w:lineRule="auto"/>
      <w:jc w:val="left"/>
      <w:outlineLvl w:val="5"/>
    </w:pPr>
    <w:rPr>
      <w:rFonts w:cstheme="majorBidi"/>
      <w:b/>
      <w:bCs/>
      <w:color w:val="2F5496" w:themeColor="accent1" w:themeShade="BF"/>
      <w:sz w:val="22"/>
      <w14:ligatures w14:val="standardContextual"/>
    </w:rPr>
  </w:style>
  <w:style w:type="paragraph" w:styleId="7">
    <w:name w:val="heading 7"/>
    <w:basedOn w:val="a"/>
    <w:next w:val="a"/>
    <w:link w:val="70"/>
    <w:uiPriority w:val="9"/>
    <w:semiHidden/>
    <w:unhideWhenUsed/>
    <w:qFormat/>
    <w:rsid w:val="00180334"/>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180334"/>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180334"/>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8033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8033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8033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80334"/>
    <w:rPr>
      <w:rFonts w:cstheme="majorBidi"/>
      <w:color w:val="2F5496" w:themeColor="accent1" w:themeShade="BF"/>
      <w:sz w:val="28"/>
      <w:szCs w:val="28"/>
    </w:rPr>
  </w:style>
  <w:style w:type="character" w:customStyle="1" w:styleId="50">
    <w:name w:val="标题 5 字符"/>
    <w:basedOn w:val="a0"/>
    <w:link w:val="5"/>
    <w:uiPriority w:val="9"/>
    <w:semiHidden/>
    <w:rsid w:val="00180334"/>
    <w:rPr>
      <w:rFonts w:cstheme="majorBidi"/>
      <w:color w:val="2F5496" w:themeColor="accent1" w:themeShade="BF"/>
      <w:sz w:val="24"/>
    </w:rPr>
  </w:style>
  <w:style w:type="character" w:customStyle="1" w:styleId="60">
    <w:name w:val="标题 6 字符"/>
    <w:basedOn w:val="a0"/>
    <w:link w:val="6"/>
    <w:uiPriority w:val="9"/>
    <w:semiHidden/>
    <w:rsid w:val="00180334"/>
    <w:rPr>
      <w:rFonts w:cstheme="majorBidi"/>
      <w:b/>
      <w:bCs/>
      <w:color w:val="2F5496" w:themeColor="accent1" w:themeShade="BF"/>
    </w:rPr>
  </w:style>
  <w:style w:type="character" w:customStyle="1" w:styleId="70">
    <w:name w:val="标题 7 字符"/>
    <w:basedOn w:val="a0"/>
    <w:link w:val="7"/>
    <w:uiPriority w:val="9"/>
    <w:semiHidden/>
    <w:rsid w:val="00180334"/>
    <w:rPr>
      <w:rFonts w:cstheme="majorBidi"/>
      <w:b/>
      <w:bCs/>
      <w:color w:val="595959" w:themeColor="text1" w:themeTint="A6"/>
    </w:rPr>
  </w:style>
  <w:style w:type="character" w:customStyle="1" w:styleId="80">
    <w:name w:val="标题 8 字符"/>
    <w:basedOn w:val="a0"/>
    <w:link w:val="8"/>
    <w:uiPriority w:val="9"/>
    <w:semiHidden/>
    <w:rsid w:val="00180334"/>
    <w:rPr>
      <w:rFonts w:cstheme="majorBidi"/>
      <w:color w:val="595959" w:themeColor="text1" w:themeTint="A6"/>
    </w:rPr>
  </w:style>
  <w:style w:type="character" w:customStyle="1" w:styleId="90">
    <w:name w:val="标题 9 字符"/>
    <w:basedOn w:val="a0"/>
    <w:link w:val="9"/>
    <w:uiPriority w:val="9"/>
    <w:semiHidden/>
    <w:rsid w:val="00180334"/>
    <w:rPr>
      <w:rFonts w:eastAsiaTheme="majorEastAsia" w:cstheme="majorBidi"/>
      <w:color w:val="595959" w:themeColor="text1" w:themeTint="A6"/>
    </w:rPr>
  </w:style>
  <w:style w:type="paragraph" w:styleId="a3">
    <w:name w:val="Title"/>
    <w:basedOn w:val="a"/>
    <w:next w:val="a"/>
    <w:link w:val="a4"/>
    <w:uiPriority w:val="10"/>
    <w:qFormat/>
    <w:rsid w:val="00180334"/>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1803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80334"/>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1803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80334"/>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180334"/>
    <w:rPr>
      <w:i/>
      <w:iCs/>
      <w:color w:val="404040" w:themeColor="text1" w:themeTint="BF"/>
    </w:rPr>
  </w:style>
  <w:style w:type="paragraph" w:styleId="a9">
    <w:name w:val="List Paragraph"/>
    <w:basedOn w:val="a"/>
    <w:uiPriority w:val="34"/>
    <w:qFormat/>
    <w:rsid w:val="00180334"/>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180334"/>
    <w:rPr>
      <w:i/>
      <w:iCs/>
      <w:color w:val="2F5496" w:themeColor="accent1" w:themeShade="BF"/>
    </w:rPr>
  </w:style>
  <w:style w:type="paragraph" w:styleId="ab">
    <w:name w:val="Intense Quote"/>
    <w:basedOn w:val="a"/>
    <w:next w:val="a"/>
    <w:link w:val="ac"/>
    <w:uiPriority w:val="30"/>
    <w:qFormat/>
    <w:rsid w:val="00180334"/>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14:ligatures w14:val="standardContextual"/>
    </w:rPr>
  </w:style>
  <w:style w:type="character" w:customStyle="1" w:styleId="ac">
    <w:name w:val="明显引用 字符"/>
    <w:basedOn w:val="a0"/>
    <w:link w:val="ab"/>
    <w:uiPriority w:val="30"/>
    <w:rsid w:val="00180334"/>
    <w:rPr>
      <w:i/>
      <w:iCs/>
      <w:color w:val="2F5496" w:themeColor="accent1" w:themeShade="BF"/>
    </w:rPr>
  </w:style>
  <w:style w:type="character" w:styleId="ad">
    <w:name w:val="Intense Reference"/>
    <w:basedOn w:val="a0"/>
    <w:uiPriority w:val="32"/>
    <w:qFormat/>
    <w:rsid w:val="00180334"/>
    <w:rPr>
      <w:b/>
      <w:bCs/>
      <w:smallCaps/>
      <w:color w:val="2F5496" w:themeColor="accent1" w:themeShade="BF"/>
      <w:spacing w:val="5"/>
    </w:rPr>
  </w:style>
  <w:style w:type="paragraph" w:customStyle="1" w:styleId="null3">
    <w:name w:val="null3"/>
    <w:link w:val="null30"/>
    <w:qFormat/>
    <w:rsid w:val="00180334"/>
    <w:pPr>
      <w:spacing w:after="0" w:line="240" w:lineRule="auto"/>
    </w:pPr>
    <w:rPr>
      <w:kern w:val="0"/>
      <w:sz w:val="20"/>
      <w:szCs w:val="20"/>
      <w:lang w:eastAsia="zh-Hans"/>
      <w14:ligatures w14:val="none"/>
    </w:rPr>
  </w:style>
  <w:style w:type="character" w:customStyle="1" w:styleId="null30">
    <w:name w:val="null3 字符"/>
    <w:basedOn w:val="a0"/>
    <w:link w:val="null3"/>
    <w:qFormat/>
    <w:rsid w:val="00180334"/>
    <w:rPr>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1863</Words>
  <Characters>1938</Characters>
  <Application>Microsoft Office Word</Application>
  <DocSecurity>0</DocSecurity>
  <Lines>138</Lines>
  <Paragraphs>131</Paragraphs>
  <ScaleCrop>false</ScaleCrop>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Luyz</dc:creator>
  <cp:keywords/>
  <dc:description/>
  <cp:lastModifiedBy>Luyz</cp:lastModifiedBy>
  <cp:revision>1</cp:revision>
  <dcterms:created xsi:type="dcterms:W3CDTF">2026-07-03T01:35:00Z</dcterms:created>
  <dcterms:modified xsi:type="dcterms:W3CDTF">2026-07-03T01:35:00Z</dcterms:modified>
</cp:coreProperties>
</file>