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060FC">
      <w:pPr>
        <w:pStyle w:val="7"/>
        <w:keepNext w:val="0"/>
        <w:keepLines w:val="0"/>
        <w:pageBreakBefore w:val="0"/>
        <w:widowControl/>
        <w:kinsoku w:val="0"/>
        <w:wordWrap/>
        <w:overflowPunct/>
        <w:topLinePunct w:val="0"/>
        <w:autoSpaceDE w:val="0"/>
        <w:autoSpaceDN w:val="0"/>
        <w:bidi w:val="0"/>
        <w:adjustRightInd/>
        <w:snapToGrid/>
        <w:spacing w:line="360" w:lineRule="auto"/>
        <w:ind w:left="0" w:leftChars="0" w:firstLine="0" w:firstLineChars="0"/>
        <w:jc w:val="both"/>
        <w:textAlignment w:val="baseline"/>
        <w:outlineLvl w:val="1"/>
        <w:rPr>
          <w:rFonts w:hint="eastAsia" w:ascii="宋体" w:hAnsi="宋体" w:eastAsia="宋体" w:cs="宋体"/>
          <w:snapToGrid/>
          <w:spacing w:val="0"/>
          <w:kern w:val="21"/>
          <w:position w:val="0"/>
          <w:sz w:val="21"/>
          <w:szCs w:val="21"/>
          <w:highlight w:val="none"/>
        </w:rPr>
      </w:pPr>
      <w:r>
        <w:rPr>
          <w:rFonts w:hint="eastAsia" w:cs="宋体"/>
          <w:snapToGrid/>
          <w:spacing w:val="0"/>
          <w:kern w:val="21"/>
          <w:position w:val="0"/>
          <w:sz w:val="21"/>
          <w:szCs w:val="21"/>
          <w:highlight w:val="none"/>
          <w:lang w:eastAsia="zh-CN"/>
        </w:rPr>
        <w:t>采购包1</w:t>
      </w:r>
      <w:r>
        <w:rPr>
          <w:rFonts w:hint="eastAsia" w:ascii="宋体" w:hAnsi="宋体" w:eastAsia="宋体" w:cs="宋体"/>
          <w:snapToGrid/>
          <w:spacing w:val="0"/>
          <w:kern w:val="21"/>
          <w:position w:val="0"/>
          <w:sz w:val="21"/>
          <w:szCs w:val="21"/>
          <w:highlight w:val="none"/>
        </w:rPr>
        <w:t>：</w:t>
      </w:r>
    </w:p>
    <w:p w14:paraId="78A6DE8D">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highlight w:val="none"/>
        </w:rPr>
      </w:pPr>
    </w:p>
    <w:p w14:paraId="309BD929">
      <w:pPr>
        <w:rPr>
          <w:rFonts w:hint="eastAsia"/>
          <w:highlight w:val="none"/>
        </w:rPr>
      </w:pPr>
    </w:p>
    <w:p w14:paraId="58347058">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eastAsia="宋体" w:cs="宋体"/>
          <w:b/>
          <w:bCs/>
          <w:color w:val="auto"/>
          <w:sz w:val="52"/>
          <w:szCs w:val="52"/>
          <w:highlight w:val="none"/>
          <w:lang w:val="en-US" w:eastAsia="zh-CN"/>
        </w:rPr>
      </w:pPr>
      <w:r>
        <w:rPr>
          <w:rFonts w:hint="eastAsia" w:hAnsi="宋体" w:eastAsia="宋体" w:cs="宋体"/>
          <w:b/>
          <w:bCs/>
          <w:color w:val="auto"/>
          <w:sz w:val="52"/>
          <w:szCs w:val="52"/>
          <w:highlight w:val="none"/>
          <w:lang w:val="en-US" w:eastAsia="zh-CN"/>
        </w:rPr>
        <w:t>2026-2027年部分市政道路绿化养护</w:t>
      </w:r>
    </w:p>
    <w:p w14:paraId="1533C5AC">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52"/>
          <w:szCs w:val="52"/>
          <w:highlight w:val="none"/>
        </w:rPr>
      </w:pPr>
      <w:r>
        <w:rPr>
          <w:rFonts w:hint="eastAsia" w:hAnsi="宋体" w:eastAsia="宋体" w:cs="宋体"/>
          <w:b/>
          <w:bCs/>
          <w:color w:val="auto"/>
          <w:sz w:val="52"/>
          <w:szCs w:val="52"/>
          <w:highlight w:val="none"/>
          <w:lang w:val="en-US" w:eastAsia="zh-CN"/>
        </w:rPr>
        <w:t>服务项目（第1包）</w:t>
      </w:r>
    </w:p>
    <w:p w14:paraId="3923AF50">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35DCCD4E">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4B1087FF">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163BA353">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003DCB77">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5A68F44E">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3AE4EF6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合同</w:t>
      </w:r>
      <w:r>
        <w:rPr>
          <w:rFonts w:hint="eastAsia" w:ascii="宋体" w:hAnsi="宋体" w:eastAsia="宋体" w:cs="宋体"/>
          <w:b/>
          <w:bCs/>
          <w:color w:val="auto"/>
          <w:sz w:val="36"/>
          <w:szCs w:val="36"/>
          <w:highlight w:val="none"/>
          <w:lang w:eastAsia="zh-CN"/>
        </w:rPr>
        <w:t>参考格式</w:t>
      </w:r>
    </w:p>
    <w:p w14:paraId="7ECAEEBF">
      <w:pPr>
        <w:pStyle w:val="3"/>
        <w:spacing w:line="360" w:lineRule="auto"/>
        <w:ind w:firstLine="420" w:firstLineChars="200"/>
        <w:rPr>
          <w:rFonts w:hint="eastAsia" w:ascii="宋体" w:hAnsi="宋体" w:eastAsia="宋体" w:cs="宋体"/>
          <w:color w:val="auto"/>
          <w:szCs w:val="24"/>
          <w:highlight w:val="none"/>
        </w:rPr>
      </w:pPr>
    </w:p>
    <w:p w14:paraId="69988410">
      <w:pPr>
        <w:pStyle w:val="3"/>
        <w:spacing w:line="360" w:lineRule="auto"/>
        <w:ind w:firstLine="420" w:firstLineChars="200"/>
        <w:rPr>
          <w:rFonts w:hint="eastAsia" w:ascii="宋体" w:hAnsi="宋体" w:eastAsia="宋体" w:cs="宋体"/>
          <w:color w:val="auto"/>
          <w:szCs w:val="24"/>
          <w:highlight w:val="none"/>
        </w:rPr>
      </w:pPr>
    </w:p>
    <w:p w14:paraId="45061196">
      <w:pPr>
        <w:rPr>
          <w:rFonts w:hint="eastAsia" w:ascii="宋体" w:hAnsi="宋体" w:eastAsia="宋体" w:cs="宋体"/>
          <w:color w:val="auto"/>
          <w:szCs w:val="24"/>
          <w:highlight w:val="none"/>
        </w:rPr>
      </w:pPr>
    </w:p>
    <w:p w14:paraId="18DCAA87">
      <w:pPr>
        <w:rPr>
          <w:rFonts w:hint="eastAsia" w:ascii="宋体" w:hAnsi="宋体" w:eastAsia="宋体" w:cs="宋体"/>
          <w:color w:val="auto"/>
          <w:szCs w:val="24"/>
          <w:highlight w:val="none"/>
        </w:rPr>
      </w:pPr>
    </w:p>
    <w:p w14:paraId="5356692D">
      <w:pPr>
        <w:pStyle w:val="3"/>
        <w:spacing w:line="360" w:lineRule="auto"/>
        <w:rPr>
          <w:rFonts w:hint="eastAsia" w:ascii="宋体" w:hAnsi="宋体" w:eastAsia="宋体" w:cs="宋体"/>
          <w:color w:val="auto"/>
          <w:szCs w:val="24"/>
          <w:highlight w:val="none"/>
        </w:rPr>
      </w:pPr>
    </w:p>
    <w:p w14:paraId="354F69B0">
      <w:pPr>
        <w:rPr>
          <w:rFonts w:hint="eastAsia"/>
          <w:highlight w:val="none"/>
        </w:rPr>
      </w:pPr>
    </w:p>
    <w:p w14:paraId="4C5B53C9">
      <w:pPr>
        <w:pStyle w:val="3"/>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合同编号：____________________</w:t>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p>
    <w:p w14:paraId="517098C3">
      <w:pPr>
        <w:pStyle w:val="3"/>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甲方：____________________(采购人名称)</w:t>
      </w:r>
    </w:p>
    <w:p w14:paraId="4BDFDE37">
      <w:pPr>
        <w:pStyle w:val="3"/>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乙方：____________________(供应商名称)</w:t>
      </w:r>
    </w:p>
    <w:p w14:paraId="7565D604">
      <w:pPr>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签订地点：</w:t>
      </w:r>
      <w:r>
        <w:rPr>
          <w:rFonts w:hint="eastAsia" w:ascii="宋体" w:hAnsi="宋体" w:eastAsia="宋体" w:cs="宋体"/>
          <w:color w:val="auto"/>
          <w:szCs w:val="24"/>
          <w:highlight w:val="none"/>
          <w:lang w:val="en-US" w:eastAsia="zh-CN"/>
        </w:rPr>
        <w:t>西安浐灞国际港</w:t>
      </w:r>
    </w:p>
    <w:p w14:paraId="41902C85">
      <w:pPr>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签订日期：</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日</w:t>
      </w:r>
    </w:p>
    <w:p w14:paraId="0FF70E72">
      <w:pPr>
        <w:keepNext w:val="0"/>
        <w:keepLines w:val="0"/>
        <w:pageBreakBefore w:val="0"/>
        <w:kinsoku/>
        <w:wordWrap/>
        <w:overflowPunct/>
        <w:topLinePunct w:val="0"/>
        <w:autoSpaceDE/>
        <w:autoSpaceDN/>
        <w:bidi w:val="0"/>
        <w:adjustRightInd/>
        <w:spacing w:line="48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Cs w:val="24"/>
          <w:highlight w:val="none"/>
        </w:rPr>
        <w:br w:type="page"/>
      </w:r>
      <w:r>
        <w:rPr>
          <w:rFonts w:hint="eastAsia" w:ascii="宋体" w:hAnsi="宋体" w:eastAsia="宋体" w:cs="宋体"/>
          <w:b/>
          <w:bCs/>
          <w:color w:val="auto"/>
          <w:sz w:val="28"/>
          <w:szCs w:val="28"/>
          <w:highlight w:val="none"/>
        </w:rPr>
        <w:t>合同草案条款</w:t>
      </w:r>
    </w:p>
    <w:p w14:paraId="6550316D">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一、总    则</w:t>
      </w:r>
    </w:p>
    <w:p w14:paraId="67F39E6D">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甲方（采购人）：       </w:t>
      </w:r>
    </w:p>
    <w:p w14:paraId="171CCE5D">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住所地：</w:t>
      </w:r>
    </w:p>
    <w:p w14:paraId="36654C75">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Cs w:val="24"/>
          <w:highlight w:val="none"/>
        </w:rPr>
        <w:t>供应商</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 xml:space="preserve">       </w:t>
      </w:r>
    </w:p>
    <w:p w14:paraId="06E2FA31">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住所地：</w:t>
      </w:r>
    </w:p>
    <w:p w14:paraId="4C8C90E8">
      <w:pPr>
        <w:keepNext w:val="0"/>
        <w:keepLines w:val="0"/>
        <w:pageBreakBefore w:val="0"/>
        <w:kinsoku/>
        <w:wordWrap/>
        <w:overflowPunct/>
        <w:topLinePunct w:val="0"/>
        <w:bidi w:val="0"/>
        <w:adjustRightInd w:val="0"/>
        <w:snapToGrid w:val="0"/>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确保西安浐灞国际港绿化养护工作整洁有序，不断改善人居环境，提升外在形象，依照《中华人民共和国民法典》及其他有关法律，行政法规，遵循平等、自愿、公平和诚实信用的原则，双方就本项目范围与相关服务事项协商一致，订立本合同。</w:t>
      </w:r>
    </w:p>
    <w:p w14:paraId="11CBD6EB">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color w:val="auto"/>
          <w:sz w:val="24"/>
          <w:highlight w:val="none"/>
          <w:lang w:val="en-US" w:eastAsia="zh-CN"/>
        </w:rPr>
      </w:pPr>
      <w:r>
        <w:rPr>
          <w:rFonts w:hint="eastAsia" w:ascii="宋体" w:hAnsi="宋体" w:eastAsia="宋体" w:cs="宋体"/>
          <w:b/>
          <w:bCs/>
          <w:color w:val="000000"/>
          <w:kern w:val="0"/>
          <w:sz w:val="24"/>
          <w:szCs w:val="24"/>
          <w:highlight w:val="none"/>
          <w:lang w:val="en-US" w:eastAsia="zh-CN" w:bidi="ar"/>
        </w:rPr>
        <w:t xml:space="preserve">第一条 项目概况 </w:t>
      </w:r>
    </w:p>
    <w:p w14:paraId="7A5E13E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u w:val="single"/>
          <w:lang w:val="en-US"/>
        </w:rPr>
      </w:pPr>
      <w:r>
        <w:rPr>
          <w:rFonts w:hint="eastAsia" w:ascii="宋体" w:hAnsi="宋体" w:eastAsia="宋体" w:cs="宋体"/>
          <w:color w:val="000000"/>
          <w:kern w:val="0"/>
          <w:sz w:val="24"/>
          <w:szCs w:val="24"/>
          <w:highlight w:val="none"/>
          <w:lang w:val="en-US" w:eastAsia="zh-CN" w:bidi="ar"/>
        </w:rPr>
        <w:t>1.项目名称：</w:t>
      </w:r>
      <w:r>
        <w:rPr>
          <w:rFonts w:hint="eastAsia" w:ascii="宋体" w:hAnsi="宋体" w:eastAsia="宋体" w:cs="宋体"/>
          <w:color w:val="000000"/>
          <w:kern w:val="0"/>
          <w:sz w:val="24"/>
          <w:szCs w:val="24"/>
          <w:highlight w:val="none"/>
          <w:u w:val="single"/>
          <w:lang w:val="en-US" w:eastAsia="zh-CN" w:bidi="ar"/>
        </w:rPr>
        <w:t>2026-2027年部分市政道路绿化养护服务项目（第1包）</w:t>
      </w:r>
    </w:p>
    <w:p w14:paraId="7766F82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2.服务期：自合同签订之日起一年。自2026年 月  日起至2027年 月 日止。</w:t>
      </w:r>
    </w:p>
    <w:p w14:paraId="24396D9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auto"/>
          <w:sz w:val="24"/>
          <w:szCs w:val="24"/>
          <w:highlight w:val="none"/>
        </w:rPr>
        <w:t>绿</w:t>
      </w:r>
      <w:r>
        <w:rPr>
          <w:rFonts w:hint="eastAsia" w:ascii="宋体" w:hAnsi="宋体" w:eastAsia="宋体" w:cs="宋体"/>
          <w:color w:val="auto"/>
          <w:sz w:val="24"/>
          <w:szCs w:val="24"/>
          <w:highlight w:val="none"/>
          <w:lang w:val="en-US" w:eastAsia="zh-CN"/>
        </w:rPr>
        <w:t>地</w:t>
      </w:r>
      <w:r>
        <w:rPr>
          <w:rFonts w:hint="eastAsia" w:ascii="宋体" w:hAnsi="宋体" w:eastAsia="宋体" w:cs="宋体"/>
          <w:color w:val="auto"/>
          <w:sz w:val="24"/>
          <w:szCs w:val="24"/>
          <w:highlight w:val="none"/>
        </w:rPr>
        <w:t>养护管理范围</w:t>
      </w:r>
      <w:r>
        <w:rPr>
          <w:rFonts w:hint="eastAsia" w:ascii="宋体" w:hAnsi="宋体" w:eastAsia="宋体" w:cs="宋体"/>
          <w:color w:val="auto"/>
          <w:sz w:val="24"/>
          <w:szCs w:val="24"/>
          <w:highlight w:val="none"/>
          <w:lang w:val="en-US" w:eastAsia="zh-CN"/>
        </w:rPr>
        <w:t>及内容：2026-2027年部分市政道路绿化养护服务，养护范围主要包括：欧亚大道（港兴路至秦汉大道段）、港兴四路（灞渭大道至欧亚大道段）、港兴二路及港兴三路（欧亚大道以西）等区域约1178000.00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绿地管理、养护工作（详见附件一）。实施内容包括：（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5）养护管理范围内其它相关工作。</w:t>
      </w:r>
    </w:p>
    <w:p w14:paraId="135DD0F6">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第二条 </w:t>
      </w:r>
      <w:r>
        <w:rPr>
          <w:rFonts w:hint="eastAsia" w:ascii="宋体" w:hAnsi="宋体" w:eastAsia="宋体" w:cs="宋体"/>
          <w:b/>
          <w:color w:val="auto"/>
          <w:sz w:val="24"/>
          <w:highlight w:val="none"/>
        </w:rPr>
        <w:t>合同组成</w:t>
      </w:r>
    </w:p>
    <w:p w14:paraId="7F065C1A">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09343FD">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1688377">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及澄清文件。</w:t>
      </w:r>
    </w:p>
    <w:p w14:paraId="1AAC1305">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w:t>
      </w:r>
    </w:p>
    <w:p w14:paraId="7CBDD919">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lang w:val="zh-CN"/>
        </w:rPr>
        <w:t>通知书。</w:t>
      </w:r>
    </w:p>
    <w:p w14:paraId="46C15A8F">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8DA3B50">
      <w:pPr>
        <w:keepNext w:val="0"/>
        <w:keepLines w:val="0"/>
        <w:pageBreakBefore w:val="0"/>
        <w:kinsoku/>
        <w:wordWrap/>
        <w:overflowPunct/>
        <w:topLinePunct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61581B8D">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5DF30D3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文件及质疑解答文件内容违背或低于甲方</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要求或任何可能导致影响当次采购目的的情形，均应当被视为乙方自动放弃</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文件及质疑解答文件中相应部分而同意以</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相应内容为准。如果乙方的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文件及质疑解答文件内容高于甲方</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要求，则以乙方的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14D8E0DE">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1FA8CF4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第三条 质量内容及质量标准</w:t>
      </w:r>
    </w:p>
    <w:p w14:paraId="40302C9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b/>
          <w:bCs/>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绿化养护质量应达到国家及行业标准，并满足国家、省、市绿化养护相关文件标准及《西安浐灞国际港园林绿化养护管理标准》（附件二）、《西安浐灞国际港绿地管护工作考评办法》（附件五）</w:t>
      </w:r>
    </w:p>
    <w:p w14:paraId="08145AFA">
      <w:pPr>
        <w:keepNext w:val="0"/>
        <w:keepLines w:val="0"/>
        <w:pageBreakBefore w:val="0"/>
        <w:widowControl/>
        <w:suppressLineNumbers w:val="0"/>
        <w:kinsoku/>
        <w:wordWrap/>
        <w:overflowPunct/>
        <w:topLinePunct w:val="0"/>
        <w:bidi w:val="0"/>
        <w:adjustRightInd w:val="0"/>
        <w:snapToGrid w:val="0"/>
        <w:spacing w:line="360" w:lineRule="auto"/>
        <w:ind w:firstLine="482" w:firstLineChars="200"/>
        <w:jc w:val="left"/>
        <w:rPr>
          <w:rFonts w:hint="default" w:ascii="宋体" w:hAnsi="宋体" w:eastAsia="宋体" w:cs="宋体"/>
          <w:highlight w:val="none"/>
          <w:lang w:val="en-US"/>
        </w:rPr>
      </w:pPr>
      <w:r>
        <w:rPr>
          <w:rFonts w:hint="eastAsia" w:ascii="宋体" w:hAnsi="宋体" w:eastAsia="宋体" w:cs="宋体"/>
          <w:b/>
          <w:bCs/>
          <w:color w:val="000000"/>
          <w:kern w:val="0"/>
          <w:sz w:val="24"/>
          <w:szCs w:val="24"/>
          <w:highlight w:val="none"/>
          <w:lang w:val="en-US" w:eastAsia="zh-CN" w:bidi="ar"/>
        </w:rPr>
        <w:t>第四条 合同价款</w:t>
      </w:r>
    </w:p>
    <w:p w14:paraId="47F58195">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1.本合同暂定总价：小写(￥)：</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元；大写（人民币）：</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元，包括养护费用总价款暂定为：小写(￥)：</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元；大写（人民币）：</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元，预留金：</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w:t>
      </w:r>
    </w:p>
    <w:p w14:paraId="1CBE8145">
      <w:pPr>
        <w:keepNext w:val="0"/>
        <w:keepLines w:val="0"/>
        <w:widowControl/>
        <w:suppressLineNumbers w:val="0"/>
        <w:spacing w:line="360" w:lineRule="auto"/>
        <w:ind w:left="0" w:leftChars="0" w:right="0" w:rightChars="0" w:firstLine="480" w:firstLineChars="200"/>
        <w:jc w:val="both"/>
        <w:textAlignment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lang w:val="en-US" w:eastAsia="zh-CN" w:bidi="ar"/>
        </w:rPr>
        <w:t>全费用单价：</w:t>
      </w:r>
      <w:r>
        <w:rPr>
          <w:rFonts w:hint="eastAsia" w:ascii="宋体" w:hAnsi="宋体" w:eastAsia="宋体" w:cs="宋体"/>
          <w:color w:val="auto"/>
          <w:sz w:val="24"/>
          <w:szCs w:val="24"/>
          <w:highlight w:val="none"/>
          <w:lang w:val="en-US" w:eastAsia="zh-CN"/>
        </w:rPr>
        <w:t>绿化养护服务（</w:t>
      </w:r>
      <w:r>
        <w:rPr>
          <w:rFonts w:hint="eastAsia" w:ascii="宋体" w:hAnsi="宋体" w:eastAsia="宋体" w:cs="宋体"/>
          <w:i w:val="0"/>
          <w:iCs w:val="0"/>
          <w:color w:val="000000"/>
          <w:kern w:val="0"/>
          <w:sz w:val="24"/>
          <w:szCs w:val="24"/>
          <w:highlight w:val="none"/>
          <w:u w:val="none"/>
          <w:lang w:val="en-US" w:eastAsia="zh-CN" w:bidi="ar"/>
        </w:rPr>
        <w:t>一级绿地）</w:t>
      </w:r>
      <w:r>
        <w:rPr>
          <w:rFonts w:hint="eastAsia" w:ascii="宋体" w:hAnsi="宋体" w:eastAsia="宋体" w:cs="宋体"/>
          <w:b w:val="0"/>
          <w:bCs w:val="0"/>
          <w:color w:val="000000"/>
          <w:kern w:val="0"/>
          <w:sz w:val="24"/>
          <w:szCs w:val="24"/>
          <w:highlight w:val="none"/>
          <w:lang w:val="en-US" w:eastAsia="zh-CN" w:bidi="ar"/>
        </w:rPr>
        <w:t>：</w:t>
      </w:r>
      <w:r>
        <w:rPr>
          <w:rFonts w:hint="eastAsia" w:ascii="宋体" w:hAnsi="宋体" w:eastAsia="宋体" w:cs="宋体"/>
          <w:b w:val="0"/>
          <w:bCs w:val="0"/>
          <w:color w:val="000000"/>
          <w:kern w:val="0"/>
          <w:sz w:val="24"/>
          <w:szCs w:val="24"/>
          <w:highlight w:val="none"/>
          <w:u w:val="single"/>
          <w:lang w:val="en-US" w:eastAsia="zh-CN" w:bidi="ar"/>
        </w:rPr>
        <w:t xml:space="preserve">       </w:t>
      </w:r>
      <w:r>
        <w:rPr>
          <w:rFonts w:hint="eastAsia" w:ascii="宋体" w:hAnsi="宋体" w:eastAsia="宋体" w:cs="宋体"/>
          <w:b w:val="0"/>
          <w:bCs w:val="0"/>
          <w:color w:val="000000"/>
          <w:kern w:val="0"/>
          <w:sz w:val="24"/>
          <w:szCs w:val="24"/>
          <w:highlight w:val="none"/>
          <w:u w:val="none"/>
          <w:lang w:val="en-US" w:eastAsia="zh-CN" w:bidi="ar"/>
        </w:rPr>
        <w:t>元/㎡/年；</w:t>
      </w:r>
    </w:p>
    <w:p w14:paraId="29D4AA70">
      <w:pPr>
        <w:keepNext w:val="0"/>
        <w:keepLines w:val="0"/>
        <w:widowControl/>
        <w:suppressLineNumbers w:val="0"/>
        <w:spacing w:line="360" w:lineRule="auto"/>
        <w:ind w:left="0" w:leftChars="0" w:right="0" w:rightChars="0" w:firstLine="1920" w:firstLineChars="800"/>
        <w:jc w:val="both"/>
        <w:textAlignment w:val="center"/>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绿化养护服务（</w:t>
      </w:r>
      <w:r>
        <w:rPr>
          <w:rFonts w:hint="eastAsia" w:ascii="宋体" w:hAnsi="宋体" w:eastAsia="宋体" w:cs="宋体"/>
          <w:i w:val="0"/>
          <w:iCs w:val="0"/>
          <w:color w:val="000000"/>
          <w:kern w:val="0"/>
          <w:sz w:val="24"/>
          <w:szCs w:val="24"/>
          <w:highlight w:val="none"/>
          <w:u w:val="none"/>
          <w:lang w:val="en-US" w:eastAsia="zh-CN" w:bidi="ar"/>
        </w:rPr>
        <w:t>二级绿地）</w:t>
      </w:r>
      <w:r>
        <w:rPr>
          <w:rFonts w:hint="eastAsia" w:ascii="宋体" w:hAnsi="宋体" w:eastAsia="宋体" w:cs="宋体"/>
          <w:b w:val="0"/>
          <w:bCs w:val="0"/>
          <w:color w:val="000000"/>
          <w:kern w:val="0"/>
          <w:sz w:val="24"/>
          <w:szCs w:val="24"/>
          <w:highlight w:val="none"/>
          <w:lang w:val="en-US" w:eastAsia="zh-CN" w:bidi="ar"/>
        </w:rPr>
        <w:t>：</w:t>
      </w:r>
      <w:r>
        <w:rPr>
          <w:rFonts w:hint="eastAsia" w:ascii="宋体" w:hAnsi="宋体" w:eastAsia="宋体" w:cs="宋体"/>
          <w:b w:val="0"/>
          <w:bCs w:val="0"/>
          <w:color w:val="000000"/>
          <w:kern w:val="0"/>
          <w:sz w:val="24"/>
          <w:szCs w:val="24"/>
          <w:highlight w:val="none"/>
          <w:u w:val="single"/>
          <w:lang w:val="en-US" w:eastAsia="zh-CN" w:bidi="ar"/>
        </w:rPr>
        <w:t xml:space="preserve">       </w:t>
      </w:r>
      <w:r>
        <w:rPr>
          <w:rFonts w:hint="eastAsia" w:ascii="宋体" w:hAnsi="宋体" w:eastAsia="宋体" w:cs="宋体"/>
          <w:b w:val="0"/>
          <w:bCs w:val="0"/>
          <w:color w:val="000000"/>
          <w:kern w:val="0"/>
          <w:sz w:val="24"/>
          <w:szCs w:val="24"/>
          <w:highlight w:val="none"/>
          <w:u w:val="none"/>
          <w:lang w:val="en-US" w:eastAsia="zh-CN" w:bidi="ar"/>
        </w:rPr>
        <w:t>元/㎡/年。</w:t>
      </w:r>
    </w:p>
    <w:p w14:paraId="301F865A">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2.合同形式：</w:t>
      </w:r>
      <w:r>
        <w:rPr>
          <w:rFonts w:hint="eastAsia" w:ascii="宋体" w:hAnsi="宋体" w:eastAsia="宋体" w:cs="宋体"/>
          <w:color w:val="auto"/>
          <w:sz w:val="24"/>
          <w:highlight w:val="none"/>
          <w:u w:val="none"/>
          <w:lang w:val="en-US" w:eastAsia="zh-CN"/>
        </w:rPr>
        <w:t xml:space="preserve">固定单价合同 </w:t>
      </w:r>
    </w:p>
    <w:p w14:paraId="20B86E10">
      <w:pPr>
        <w:keepNext w:val="0"/>
        <w:keepLines w:val="0"/>
        <w:pageBreakBefore w:val="0"/>
        <w:widowControl/>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合同单价为本次服务要求内容且验收合格的所有费用,</w:t>
      </w:r>
      <w:r>
        <w:rPr>
          <w:rFonts w:hint="eastAsia" w:ascii="宋体" w:hAnsi="宋体" w:eastAsia="宋体" w:cs="宋体"/>
          <w:sz w:val="24"/>
          <w:szCs w:val="24"/>
          <w:highlight w:val="none"/>
          <w:lang w:val="en-US" w:eastAsia="zh-CN"/>
        </w:rPr>
        <w:t>报价包括招标范围内绿地养护费用：绿地、园路、铺装广场、果皮箱、护栏、标牌等设施保洁及垃圾清运费用、绿地巡查及日常管理费用、人工、材料、机械、管理费、招标代理服务费、利润、规费、税金及市场浮动风险等所需的全部费用。任何错报、漏报由供应商自行负责，结算时不再做任何调整，</w:t>
      </w:r>
      <w:r>
        <w:rPr>
          <w:rFonts w:hint="eastAsia" w:ascii="宋体" w:hAnsi="宋体" w:eastAsia="宋体" w:cs="宋体"/>
          <w:color w:val="000000"/>
          <w:kern w:val="0"/>
          <w:sz w:val="24"/>
          <w:szCs w:val="24"/>
          <w:highlight w:val="none"/>
          <w:lang w:val="en-US" w:eastAsia="zh-CN" w:bidi="ar"/>
        </w:rPr>
        <w:t>具体单价明细详见附件一。</w:t>
      </w:r>
    </w:p>
    <w:p w14:paraId="10D6088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3.本合同总价包括合同执行期间新增养护面积产生费用及其他费用。</w:t>
      </w:r>
    </w:p>
    <w:p w14:paraId="1E1534C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（1）新增面积：以甲方下发的进场通知单为准。新增费用：以进场通知单确定的时间、等级、标准，参照投标文件确定的价格，核定新增面积费用。</w:t>
      </w:r>
    </w:p>
    <w:p w14:paraId="1B5A6F8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2）其他费用：包括公园广场水电费、设施维修费、补栽苗木主材等,以甲方下发的派工单、通知单等其他文件为准，若有涉及相关工程类事项，单价采用固定全费用单价模式，费用按差价模式计算，按《陕西省建设工程工程量清单计价规则》（2009版）、《陕西省建筑工程、安装工程、装饰工程、市政工程、园林绿化工程消耗量定额》（2004版）及陕西省2009年价目表，人工、机械、管理费、利润、规费、税金等按当期最新计价文件规定执行，钢材、商品砼、砂浆、砂、石子、石灰、水泥、砌块采用投标当期《陕西工程造价信息》进行计算，其余材料及设备采用市场询价，双方共同确认。</w:t>
      </w:r>
    </w:p>
    <w:p w14:paraId="0A90DF6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rPr>
          <w:rFonts w:hint="default" w:ascii="宋体" w:hAnsi="宋体" w:eastAsia="宋体" w:cs="宋体"/>
          <w:highlight w:val="none"/>
          <w:lang w:val="en-US"/>
        </w:rPr>
      </w:pPr>
      <w:r>
        <w:rPr>
          <w:rFonts w:hint="eastAsia" w:ascii="宋体" w:hAnsi="宋体" w:eastAsia="宋体" w:cs="宋体"/>
          <w:b/>
          <w:bCs/>
          <w:color w:val="000000"/>
          <w:kern w:val="0"/>
          <w:sz w:val="24"/>
          <w:szCs w:val="24"/>
          <w:highlight w:val="none"/>
          <w:lang w:val="en-US" w:eastAsia="zh-CN" w:bidi="ar"/>
        </w:rPr>
        <w:t>第五条 付款方式及付款依据</w:t>
      </w:r>
    </w:p>
    <w:p w14:paraId="347F8C6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1.结算方式： </w:t>
      </w:r>
    </w:p>
    <w:p w14:paraId="705618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60" w:lineRule="auto"/>
        <w:ind w:left="0" w:right="0" w:firstLine="480" w:firstLineChars="200"/>
        <w:jc w:val="left"/>
        <w:textAlignment w:val="baseline"/>
        <w:outlineLvl w:val="9"/>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eastAsia" w:ascii="宋体" w:hAnsi="宋体" w:eastAsia="宋体" w:cs="宋体"/>
          <w:i w:val="0"/>
          <w:iCs w:val="0"/>
          <w:caps w:val="0"/>
          <w:color w:val="auto"/>
          <w:spacing w:val="0"/>
          <w:kern w:val="0"/>
          <w:sz w:val="24"/>
          <w:szCs w:val="24"/>
          <w:highlight w:val="none"/>
          <w:u w:val="none"/>
          <w:lang w:val="en-US" w:eastAsia="zh-CN" w:bidi="ar-SA"/>
        </w:rPr>
        <w:t>（1）预付款支付条款：无</w:t>
      </w:r>
    </w:p>
    <w:p w14:paraId="1E1A95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60" w:lineRule="auto"/>
        <w:ind w:left="0" w:right="0" w:firstLine="480" w:firstLineChars="200"/>
        <w:jc w:val="left"/>
        <w:textAlignment w:val="baseline"/>
        <w:outlineLvl w:val="9"/>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eastAsia" w:ascii="宋体" w:hAnsi="宋体" w:eastAsia="宋体" w:cs="宋体"/>
          <w:i w:val="0"/>
          <w:iCs w:val="0"/>
          <w:caps w:val="0"/>
          <w:color w:val="auto"/>
          <w:spacing w:val="0"/>
          <w:kern w:val="0"/>
          <w:sz w:val="24"/>
          <w:szCs w:val="24"/>
          <w:highlight w:val="none"/>
          <w:u w:val="none"/>
          <w:lang w:val="en-US" w:eastAsia="zh-CN" w:bidi="ar-SA"/>
        </w:rPr>
        <w:t>（2）剩余款项支付条款：</w:t>
      </w:r>
    </w:p>
    <w:p w14:paraId="045960F7">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每季度末，乙方向甲方申报本季度养护费用，包含既有面积养护、新增面积养护，甲方核定完成后，支付本次核定费用的90%。</w:t>
      </w:r>
    </w:p>
    <w:p w14:paraId="575329F1">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每半年乙方申报一次使用预留金的新增工作内容的费用，按照甲方出具的结算报告的金额100%支付。</w:t>
      </w:r>
    </w:p>
    <w:p w14:paraId="4D723B09">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以上季度、半年计算方法为:自合同生效之日起，计算。如:2026年8月11日至2026年11月10日为一个季度。</w:t>
      </w:r>
    </w:p>
    <w:p w14:paraId="72717C9A">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合同期结束，甲乙双方对所有完成内容进行结算，并支付剩余费用。</w:t>
      </w:r>
    </w:p>
    <w:p w14:paraId="64234CD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2.付款依据：</w:t>
      </w:r>
    </w:p>
    <w:p w14:paraId="23EE3021">
      <w:pPr>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①</w:t>
      </w:r>
      <w:r>
        <w:rPr>
          <w:rFonts w:hint="eastAsia" w:ascii="宋体" w:hAnsi="宋体" w:eastAsia="宋体" w:cs="宋体"/>
          <w:color w:val="000000"/>
          <w:kern w:val="0"/>
          <w:sz w:val="24"/>
          <w:szCs w:val="24"/>
          <w:highlight w:val="none"/>
          <w:lang w:val="en-US" w:eastAsia="zh-CN" w:bidi="ar"/>
        </w:rPr>
        <w:t>乙方</w:t>
      </w:r>
      <w:r>
        <w:rPr>
          <w:rFonts w:hint="eastAsia" w:ascii="宋体" w:hAnsi="宋体" w:eastAsia="宋体" w:cs="宋体"/>
          <w:i w:val="0"/>
          <w:iCs w:val="0"/>
          <w:caps w:val="0"/>
          <w:color w:val="auto"/>
          <w:spacing w:val="0"/>
          <w:kern w:val="0"/>
          <w:sz w:val="24"/>
          <w:szCs w:val="24"/>
          <w:highlight w:val="none"/>
          <w:u w:val="none"/>
          <w:lang w:val="en-US" w:eastAsia="zh-CN" w:bidi="ar-SA"/>
        </w:rPr>
        <w:t>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5D27B754">
      <w:pPr>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②</w:t>
      </w:r>
      <w:r>
        <w:rPr>
          <w:rFonts w:hint="eastAsia" w:ascii="宋体" w:hAnsi="宋体" w:eastAsia="宋体" w:cs="宋体"/>
          <w:i w:val="0"/>
          <w:iCs w:val="0"/>
          <w:caps w:val="0"/>
          <w:color w:val="auto"/>
          <w:spacing w:val="0"/>
          <w:kern w:val="0"/>
          <w:sz w:val="24"/>
          <w:szCs w:val="24"/>
          <w:highlight w:val="none"/>
          <w:u w:val="none"/>
          <w:lang w:val="en-US" w:eastAsia="zh-CN" w:bidi="ar-SA"/>
        </w:rPr>
        <w:t>甲方通过银行转账方式支付相应款项，乙方若变更收款账户的，应在甲方付款前至少提前15天以书面形式通知甲方，否则相关法律后果均由乙方自行承担。</w:t>
      </w:r>
    </w:p>
    <w:p w14:paraId="4FAC32A7">
      <w:pPr>
        <w:keepNext w:val="0"/>
        <w:keepLines w:val="0"/>
        <w:pageBreakBefore w:val="0"/>
        <w:widowControl/>
        <w:suppressLineNumbers w:val="0"/>
        <w:kinsoku/>
        <w:wordWrap/>
        <w:overflowPunct/>
        <w:topLinePunct w:val="0"/>
        <w:bidi w:val="0"/>
        <w:adjustRightInd w:val="0"/>
        <w:snapToGrid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第六条 其他约定</w:t>
      </w:r>
    </w:p>
    <w:p w14:paraId="31D61F7F">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eastAsia" w:ascii="宋体" w:hAnsi="宋体" w:eastAsia="宋体" w:cs="宋体"/>
          <w:i w:val="0"/>
          <w:iCs w:val="0"/>
          <w:caps w:val="0"/>
          <w:color w:val="auto"/>
          <w:spacing w:val="0"/>
          <w:kern w:val="0"/>
          <w:sz w:val="24"/>
          <w:szCs w:val="24"/>
          <w:highlight w:val="none"/>
          <w:u w:val="none"/>
          <w:lang w:val="en-US" w:eastAsia="zh-CN" w:bidi="ar-SA"/>
        </w:rPr>
        <w:t>合同期限届满后，双方进行结算审计，结算审计过程中，乙方须无条件配合，基本审计费由甲方承担，审计成果费由乙方承担，具体费用以造价咨询合同为准。</w:t>
      </w:r>
    </w:p>
    <w:p w14:paraId="7FD3D95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第七条 合同双方的权利与义务 </w:t>
      </w:r>
    </w:p>
    <w:p w14:paraId="2944B24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宋体"/>
          <w:b/>
          <w:bCs/>
          <w:highlight w:val="none"/>
          <w:lang w:val="en-US"/>
        </w:rPr>
      </w:pPr>
      <w:r>
        <w:rPr>
          <w:rFonts w:hint="eastAsia" w:ascii="宋体" w:hAnsi="宋体" w:eastAsia="宋体" w:cs="宋体"/>
          <w:b/>
          <w:bCs/>
          <w:color w:val="000000"/>
          <w:kern w:val="0"/>
          <w:sz w:val="24"/>
          <w:szCs w:val="24"/>
          <w:highlight w:val="none"/>
          <w:lang w:val="en-US" w:eastAsia="zh-CN" w:bidi="ar"/>
        </w:rPr>
        <w:t>（一）甲方权利与义务</w:t>
      </w:r>
    </w:p>
    <w:p w14:paraId="2940B55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0" w:name="_Toc5166"/>
      <w:bookmarkStart w:id="1" w:name="_Toc27961"/>
      <w:r>
        <w:rPr>
          <w:rFonts w:hint="eastAsia" w:ascii="宋体" w:hAnsi="宋体" w:eastAsia="宋体" w:cs="宋体"/>
          <w:color w:val="000000"/>
          <w:kern w:val="0"/>
          <w:sz w:val="24"/>
          <w:szCs w:val="24"/>
          <w:highlight w:val="none"/>
          <w:lang w:val="en-US" w:eastAsia="zh-CN" w:bidi="ar"/>
        </w:rPr>
        <w:t>1.甲方有义务明确乙方工作责任范围。</w:t>
      </w:r>
      <w:bookmarkEnd w:id="0"/>
      <w:bookmarkEnd w:id="1"/>
    </w:p>
    <w:p w14:paraId="250A35F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2.甲方按照《西安浐灞国际港园林绿化养护管理标准》对乙方绿地养护工作进行考核，乙方应按照甲方制定的标准开展相关工作。</w:t>
      </w:r>
    </w:p>
    <w:p w14:paraId="0EB4BD5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3.甲方有权要求乙方制定相关管理计划、管理办法及管理制度等，切实做好本项目养护管理工作。</w:t>
      </w:r>
    </w:p>
    <w:p w14:paraId="35B65B9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4.甲方可随时对乙方绿化养护管理工作进行抽查，发现问题的，有权限期要求乙方整改。</w:t>
      </w:r>
    </w:p>
    <w:p w14:paraId="0A2D970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5.为使本合同顺利履行，在职责范围内协调解决乙方绿化养护工作所需的水、电等配套设施。</w:t>
      </w:r>
    </w:p>
    <w:p w14:paraId="3B3D070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2" w:name="_Toc1183"/>
      <w:bookmarkStart w:id="3" w:name="_Toc1636"/>
      <w:r>
        <w:rPr>
          <w:rFonts w:hint="eastAsia" w:ascii="宋体" w:hAnsi="宋体" w:eastAsia="宋体" w:cs="宋体"/>
          <w:color w:val="000000"/>
          <w:kern w:val="0"/>
          <w:sz w:val="24"/>
          <w:szCs w:val="24"/>
          <w:highlight w:val="none"/>
          <w:lang w:val="en-US" w:eastAsia="zh-CN" w:bidi="ar"/>
        </w:rPr>
        <w:t>6.负责指定专人对乙方工作进行监督和检查，及时组织验收。</w:t>
      </w:r>
      <w:bookmarkEnd w:id="2"/>
      <w:bookmarkEnd w:id="3"/>
    </w:p>
    <w:p w14:paraId="6FA9DB7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7.在合同后期履行过程中，因养护标准、人数配置等发生变化的，甲方应据实增加相关费用，双方协商一致后，另行签订补充协议予以确定。 </w:t>
      </w:r>
    </w:p>
    <w:p w14:paraId="721A339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4" w:name="_Toc20891"/>
      <w:bookmarkStart w:id="5" w:name="_Toc17956"/>
      <w:r>
        <w:rPr>
          <w:rFonts w:hint="eastAsia" w:ascii="宋体" w:hAnsi="宋体" w:eastAsia="宋体" w:cs="宋体"/>
          <w:color w:val="000000"/>
          <w:kern w:val="0"/>
          <w:sz w:val="24"/>
          <w:szCs w:val="24"/>
          <w:highlight w:val="none"/>
          <w:lang w:val="en-US" w:eastAsia="zh-CN" w:bidi="ar"/>
        </w:rPr>
        <w:t>8.甲方有权对乙方提交的补栽、维修清单进行审核确认。</w:t>
      </w:r>
      <w:bookmarkEnd w:id="4"/>
      <w:bookmarkEnd w:id="5"/>
    </w:p>
    <w:p w14:paraId="5ADBE47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9.对于本合同约定范围外的工作内容，甲方应提前书面告知乙方，同时组织相关单位对现场进行移交，确定工作区域及标准，交接管护日期以甲方书面通知日期为准。</w:t>
      </w:r>
    </w:p>
    <w:p w14:paraId="1C48380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6" w:name="_Toc5696"/>
      <w:bookmarkStart w:id="7" w:name="_Toc4478"/>
      <w:r>
        <w:rPr>
          <w:rFonts w:hint="eastAsia" w:ascii="宋体" w:hAnsi="宋体" w:eastAsia="宋体" w:cs="宋体"/>
          <w:color w:val="000000"/>
          <w:kern w:val="0"/>
          <w:sz w:val="24"/>
          <w:szCs w:val="24"/>
          <w:highlight w:val="none"/>
          <w:lang w:val="en-US" w:eastAsia="zh-CN" w:bidi="ar"/>
        </w:rPr>
        <w:t>10.甲方按照合同约定及时向乙方付款。</w:t>
      </w:r>
      <w:bookmarkEnd w:id="6"/>
      <w:bookmarkEnd w:id="7"/>
    </w:p>
    <w:p w14:paraId="31619D2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宋体"/>
          <w:b/>
          <w:bCs/>
          <w:highlight w:val="none"/>
          <w:lang w:val="en-US"/>
        </w:rPr>
      </w:pPr>
      <w:r>
        <w:rPr>
          <w:rFonts w:hint="eastAsia" w:ascii="宋体" w:hAnsi="宋体" w:eastAsia="宋体" w:cs="宋体"/>
          <w:b/>
          <w:bCs/>
          <w:color w:val="000000"/>
          <w:kern w:val="0"/>
          <w:sz w:val="24"/>
          <w:szCs w:val="24"/>
          <w:highlight w:val="none"/>
          <w:lang w:val="en-US" w:eastAsia="zh-CN" w:bidi="ar"/>
        </w:rPr>
        <w:t>（二）乙方权利与义务</w:t>
      </w:r>
    </w:p>
    <w:p w14:paraId="09B8385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1.乙方应严格按照《西安浐灞国际港园林绿化养护管理标准》，开展相关工作。</w:t>
      </w:r>
    </w:p>
    <w:p w14:paraId="7A784C6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2.乙方应加强日常管理，编制工作方案，制定工作计划，加强日常巡检对存在问题及时整改，对重点区域实行专人负责制。</w:t>
      </w:r>
    </w:p>
    <w:p w14:paraId="22FF5B5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3.乙方应按照甲方的要求配合完成上级部门检查考核等工作。</w:t>
      </w:r>
    </w:p>
    <w:p w14:paraId="26AB1F7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4.如遇市、区重大活动和节日庆典，乙方应无条件按照甲方要求，完成绿化养护保障相关工作。</w:t>
      </w:r>
    </w:p>
    <w:p w14:paraId="6522CFF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乙方应确保合同约定范围内绿地的养护工作的正常进行，确保按时完成养护绿地范围内各类苗木的修剪、清掏、补栽、浇灌、施肥、病虫害防治等工作。及时清理死苗，在绿化季内进行补植，补种同类苗木，并加强养护管理措施，保证补植成活率。</w:t>
      </w:r>
    </w:p>
    <w:p w14:paraId="6742DB8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6.乙方应做好绿地内座椅、园林绿化景观小品、广场硬铺装等公用设施的管护工作，确保干净整洁、无破损。如需更换维修的，需书面报送甲方同意后，再进行维修更换。</w:t>
      </w:r>
    </w:p>
    <w:p w14:paraId="2D920DF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7.乙方应按照市、区安全生产管理要求，履行安全生产主体责任，确保全年无重大安全事故。</w:t>
      </w:r>
    </w:p>
    <w:p w14:paraId="2AAD8AA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8" w:name="_Toc20176"/>
      <w:bookmarkStart w:id="9" w:name="_Toc10977"/>
      <w:r>
        <w:rPr>
          <w:rFonts w:hint="eastAsia" w:ascii="宋体" w:hAnsi="宋体" w:eastAsia="宋体" w:cs="宋体"/>
          <w:color w:val="000000"/>
          <w:kern w:val="0"/>
          <w:sz w:val="24"/>
          <w:szCs w:val="24"/>
          <w:highlight w:val="none"/>
          <w:lang w:val="en-US" w:eastAsia="zh-CN" w:bidi="ar"/>
        </w:rPr>
        <w:t>8.乙方应提供补栽、维修计划，待甲方确认后及时实施。</w:t>
      </w:r>
      <w:bookmarkEnd w:id="8"/>
      <w:bookmarkEnd w:id="9"/>
    </w:p>
    <w:p w14:paraId="1835F84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第八条 验收考核及处罚</w:t>
      </w:r>
    </w:p>
    <w:p w14:paraId="417A601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1.甲方根据本合同第三条约定的质量标准进行验收、考核，验收、考核存在问题的，有权要求乙方限期整改。</w:t>
      </w:r>
    </w:p>
    <w:p w14:paraId="33598F5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本合同期限内，甲方根据国家、省、市、区绿地养护相关文件、标准，按照《西安浐灞国际港绿地管护工作考评办法》（详见附件五）每月对乙方（按照《西安浐灞国际港绿化养护管理手册》管理要求划分养护单位）工作实施考核、验收，并对检查结果进行通报，相关考核扣款从当季进度款支付中扣除。</w:t>
      </w:r>
    </w:p>
    <w:p w14:paraId="681A2A9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乙方项目经理或管理人员在工作中出现推诿扯皮，态度消极，各项工作落实不及时不到位等不符合甲方要求的行为，甲方有权通知乙方更换项目经理及相关管理人员，乙方收到更换人员通知后10天内无条件完成更换，未按期更换的按照2万元/月/人的标准进行扣款，费用直接从当季进度款支付中扣除。</w:t>
      </w:r>
    </w:p>
    <w:p w14:paraId="0319B20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乙方项目经理要求人证合一，按时上岗，出现脱岗、顶岗的发现一次，单次处罚1万元，项目经理若有事外出须出示书面请假于甲方批准方可外出，对私自外出或离岗而未完成请假手续的个人每次1万元经济处罚。</w:t>
      </w:r>
    </w:p>
    <w:p w14:paraId="080ADAB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乙方项目经理及主要管理人员电话须保持24小时畅通，对电话无故失联的对失联人进行约谈警告，因失联造成应急、抢险等工作延误被相关部门督办的每次处罚2万元经济处罚并承担全部责任，处罚罚款在季度养护费用中扣除.同时启动更换项目经理流程。</w:t>
      </w:r>
    </w:p>
    <w:p w14:paraId="2A5B938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6.乙方必须配备持证专职安全管理人员。严禁兼职挂靠，缺证缺人、对因缺证缺人造成的隐患投诉和安全事故发生处每次1至5万元的经济处罚，罚款在当季度进度中款扣除。</w:t>
      </w:r>
    </w:p>
    <w:p w14:paraId="07358D8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7.在绿化养护月度考核验收中，第一次出现排名后三且考评为差（月度考评成绩70分以下）的养护单元，对乙方单位公司领导及项目经理进行约谈，对养护单元管理负责人及主要管理人员进行提醒警告。</w:t>
      </w:r>
    </w:p>
    <w:p w14:paraId="24344D0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8.在绿化养护月度考核验收中，累计两次出现排名后三且考评为差（月度考评成绩70分以下）的养护单元，甲方可要求乙方更换养护单元管理负责人及主要管理人员。</w:t>
      </w:r>
    </w:p>
    <w:p w14:paraId="133292F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9.在绿化养护月度考核验收中，累计三次排名后三且考评为差（月度考评成绩70分以下）的养护单元，甲方有权单方解除该养护单元养护关系，委托其它单位负责该单元养护工作。</w:t>
      </w:r>
    </w:p>
    <w:p w14:paraId="0F6B98A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highlight w:val="none"/>
          <w:lang w:val="en-US" w:eastAsia="zh-CN"/>
        </w:rPr>
      </w:pPr>
      <w:r>
        <w:rPr>
          <w:rFonts w:hint="eastAsia" w:ascii="宋体" w:hAnsi="宋体" w:eastAsia="宋体" w:cs="宋体"/>
          <w:b/>
          <w:bCs/>
          <w:color w:val="000000"/>
          <w:kern w:val="0"/>
          <w:sz w:val="24"/>
          <w:szCs w:val="24"/>
          <w:highlight w:val="none"/>
          <w:lang w:val="en-US" w:eastAsia="zh-CN" w:bidi="ar"/>
        </w:rPr>
        <w:t>第九条 违约责任</w:t>
      </w:r>
    </w:p>
    <w:p w14:paraId="7B09976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1.乙方未按合同约定达到绿化养护工作目标，或养护管理不到位，养护质量不合格，未达到相应的工作考核要求的，甲方按照合同第十条进行考核及处罚。</w:t>
      </w:r>
    </w:p>
    <w:p w14:paraId="2CD3204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第十条 合同解除条款 </w:t>
      </w:r>
    </w:p>
    <w:p w14:paraId="220F54A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1.本合同期限内，乙方有下列行为之一的，甲方有权单方解除本合同：</w:t>
      </w:r>
    </w:p>
    <w:p w14:paraId="32E51B7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（1）因乙方原因造成社会不良影响的；</w:t>
      </w:r>
    </w:p>
    <w:p w14:paraId="294EB04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（2）因乙方原因造成社会不稳定因素的；</w:t>
      </w:r>
    </w:p>
    <w:p w14:paraId="42E5A94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（3）乙方在重大活动或接待工作中不听甲方指挥安排的；</w:t>
      </w:r>
    </w:p>
    <w:p w14:paraId="5030AE2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（4）乙方未按甲方要求或《西安浐灞国际港园林绿化养护管理标准》服务，经甲方提出后逾期整改或拒绝整改的；</w:t>
      </w:r>
    </w:p>
    <w:p w14:paraId="610AE10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（5）未经甲方书面同意，擅自分包或转包的。</w:t>
      </w:r>
    </w:p>
    <w:p w14:paraId="03612C3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乙方具有上述行为之一的，应当在收到甲方《单方解除合同通知书》后，本合同自动解除。甲方应按照合同约定根据乙方实际工作情况据实结算并支付相应费用。</w:t>
      </w:r>
    </w:p>
    <w:p w14:paraId="22E2DCE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合同期限内，任何一方的违约行为导致本合同解除，给守约方造成经济损失的，违约方应按照约定绿化养护管理费用总额的10%向守约方支付违约金，并赔偿由此造成的经济损失，赔偿范围包括但不限于诉讼费、鉴定费、执行费、律师服务费，以及守约方维权过程中所产生的交通食宿费等合理的经济损失。</w:t>
      </w:r>
    </w:p>
    <w:p w14:paraId="463A5D6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3.因一方违约或不可抗力导致本合同不能继续履行，另一方有权解除合同，并应在上述事项发生后三十天内书面通知对方，本合同在解除通知送达对方的同时自行解除。</w:t>
      </w:r>
    </w:p>
    <w:p w14:paraId="0A2032A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第十一条 争议解决条款</w:t>
      </w:r>
    </w:p>
    <w:p w14:paraId="188547F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10" w:name="OLE_LINK32"/>
      <w:bookmarkStart w:id="11" w:name="OLE_LINK31"/>
      <w:r>
        <w:rPr>
          <w:rFonts w:hint="eastAsia" w:ascii="宋体" w:hAnsi="宋体" w:eastAsia="宋体" w:cs="宋体"/>
          <w:color w:val="000000"/>
          <w:kern w:val="0"/>
          <w:sz w:val="24"/>
          <w:szCs w:val="24"/>
          <w:highlight w:val="none"/>
          <w:lang w:val="en-US" w:eastAsia="zh-CN" w:bidi="ar"/>
        </w:rPr>
        <w:t>本合同履行过程中发生争议的，双方应友好协商解决，协商不成的，任何一方均有权向合同履行地（西安市灞桥区）有管辖权的人民法院起诉。</w:t>
      </w:r>
      <w:bookmarkEnd w:id="10"/>
      <w:bookmarkEnd w:id="11"/>
    </w:p>
    <w:p w14:paraId="29B6812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第十二条 监督和管理 </w:t>
      </w:r>
    </w:p>
    <w:p w14:paraId="4ACEA09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1.政府采购合同履行中，甲方需追加与合同标的相同服务的，在不改变合同其他条款的前提下，可以与乙方协商签订补充合同，但所有补充合同的采购金额不得超过原合同采购金额的百分之十。 </w:t>
      </w:r>
    </w:p>
    <w:p w14:paraId="17D99A3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2.甲乙双方均应自觉配合有关监督管理部门对合同履行情况的监督检查，如实反映情况，提供有关资料；否则，将对有关单位、当事人按照有关规定予以处罚。</w:t>
      </w:r>
    </w:p>
    <w:p w14:paraId="651CD44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第十三条 不可抗力 </w:t>
      </w:r>
    </w:p>
    <w:p w14:paraId="6883FE0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022371D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第十四条 合同订立 </w:t>
      </w:r>
    </w:p>
    <w:p w14:paraId="5AC18BC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1.订立时间：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日。 </w:t>
      </w:r>
    </w:p>
    <w:p w14:paraId="620E117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2.订立地点：</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4F742E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3.本合同自双方签字、盖章之日起生效，合同文本一式九份，甲乙双方各执肆份，采购代理机构一份，具同等法律效力。</w:t>
      </w:r>
    </w:p>
    <w:p w14:paraId="2566199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4.本合同附件是本合同的组成部分，与本合同具有同等法律效力，包括：</w:t>
      </w:r>
    </w:p>
    <w:p w14:paraId="085AD5A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12" w:name="_Toc23952"/>
      <w:bookmarkStart w:id="13" w:name="_Toc4344"/>
      <w:bookmarkStart w:id="14" w:name="OLE_LINK184"/>
      <w:r>
        <w:rPr>
          <w:rFonts w:hint="eastAsia" w:ascii="宋体" w:hAnsi="宋体" w:eastAsia="宋体" w:cs="宋体"/>
          <w:color w:val="000000"/>
          <w:kern w:val="0"/>
          <w:sz w:val="24"/>
          <w:szCs w:val="24"/>
          <w:highlight w:val="none"/>
          <w:lang w:val="en-US" w:eastAsia="zh-CN" w:bidi="ar"/>
        </w:rPr>
        <w:t>附件一：XX 年度绿化养护工作内容及费用明细</w:t>
      </w:r>
      <w:bookmarkEnd w:id="12"/>
      <w:bookmarkEnd w:id="13"/>
    </w:p>
    <w:bookmarkEnd w:id="14"/>
    <w:p w14:paraId="63CA63E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15" w:name="OLE_LINK188"/>
      <w:bookmarkStart w:id="16" w:name="OLE_LINK185"/>
      <w:r>
        <w:rPr>
          <w:rFonts w:hint="eastAsia" w:ascii="宋体" w:hAnsi="宋体" w:eastAsia="宋体" w:cs="宋体"/>
          <w:color w:val="000000"/>
          <w:kern w:val="0"/>
          <w:sz w:val="24"/>
          <w:szCs w:val="24"/>
          <w:highlight w:val="none"/>
          <w:lang w:val="en-US" w:eastAsia="zh-CN" w:bidi="ar"/>
        </w:rPr>
        <w:t>附件二：西安浐灞国际港园林绿化养护管理标准</w:t>
      </w:r>
    </w:p>
    <w:bookmarkEnd w:id="15"/>
    <w:bookmarkEnd w:id="16"/>
    <w:p w14:paraId="5DA3BE7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bookmarkStart w:id="17" w:name="OLE_LINK190"/>
      <w:bookmarkStart w:id="18" w:name="OLE_LINK189"/>
      <w:r>
        <w:rPr>
          <w:rFonts w:hint="eastAsia" w:ascii="宋体" w:hAnsi="宋体" w:eastAsia="宋体" w:cs="宋体"/>
          <w:color w:val="000000"/>
          <w:kern w:val="0"/>
          <w:sz w:val="24"/>
          <w:szCs w:val="24"/>
          <w:highlight w:val="none"/>
          <w:lang w:val="en-US" w:eastAsia="zh-CN" w:bidi="ar"/>
        </w:rPr>
        <w:t>附件三：本项目的人员配置情况表</w:t>
      </w:r>
    </w:p>
    <w:p w14:paraId="026BE30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附件四：投入机械设备情况表</w:t>
      </w:r>
    </w:p>
    <w:p w14:paraId="3C193F2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附件五：西安浐灞国际港绿地管护工作考评办法</w:t>
      </w:r>
    </w:p>
    <w:p w14:paraId="213DBDD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附件六：西安浐灞国际港绿化养护管理手册</w:t>
      </w:r>
      <w:bookmarkEnd w:id="17"/>
      <w:bookmarkEnd w:id="18"/>
    </w:p>
    <w:p w14:paraId="6A6FBA1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highlight w:val="none"/>
          <w:lang w:val="en-US" w:eastAsia="zh-CN"/>
        </w:rPr>
      </w:pPr>
    </w:p>
    <w:p w14:paraId="25024BA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45D6F227">
        <w:tblPrEx>
          <w:tblCellMar>
            <w:top w:w="0" w:type="dxa"/>
            <w:left w:w="108" w:type="dxa"/>
            <w:bottom w:w="0" w:type="dxa"/>
            <w:right w:w="108" w:type="dxa"/>
          </w:tblCellMar>
        </w:tblPrEx>
        <w:trPr>
          <w:trHeight w:val="454" w:hRule="atLeast"/>
        </w:trPr>
        <w:tc>
          <w:tcPr>
            <w:tcW w:w="4201" w:type="dxa"/>
            <w:vAlign w:val="center"/>
          </w:tcPr>
          <w:p w14:paraId="10BC20E0">
            <w:pPr>
              <w:spacing w:line="360" w:lineRule="auto"/>
              <w:ind w:firstLine="480" w:firstLineChars="200"/>
              <w:rPr>
                <w:rFonts w:ascii="宋体"/>
                <w:sz w:val="24"/>
                <w:highlight w:val="none"/>
              </w:rPr>
            </w:pPr>
            <w:r>
              <w:rPr>
                <w:rFonts w:hint="eastAsia" w:ascii="宋体" w:hAnsi="宋体" w:cs="宋体"/>
                <w:sz w:val="24"/>
                <w:highlight w:val="none"/>
              </w:rPr>
              <w:t>甲</w:t>
            </w:r>
            <w:r>
              <w:rPr>
                <w:rFonts w:ascii="宋体" w:hAnsi="宋体" w:cs="宋体"/>
                <w:sz w:val="24"/>
                <w:highlight w:val="none"/>
              </w:rPr>
              <w:t xml:space="preserve">  </w:t>
            </w:r>
            <w:r>
              <w:rPr>
                <w:rFonts w:hint="eastAsia" w:ascii="宋体" w:hAnsi="宋体" w:cs="宋体"/>
                <w:sz w:val="24"/>
                <w:highlight w:val="none"/>
              </w:rPr>
              <w:t>方</w:t>
            </w:r>
          </w:p>
        </w:tc>
        <w:tc>
          <w:tcPr>
            <w:tcW w:w="4202" w:type="dxa"/>
            <w:vAlign w:val="center"/>
          </w:tcPr>
          <w:p w14:paraId="1DA0D2A4">
            <w:pPr>
              <w:spacing w:line="360" w:lineRule="auto"/>
              <w:ind w:firstLine="480" w:firstLineChars="200"/>
              <w:rPr>
                <w:rFonts w:ascii="宋体"/>
                <w:sz w:val="24"/>
                <w:highlight w:val="none"/>
              </w:rPr>
            </w:pPr>
            <w:r>
              <w:rPr>
                <w:rFonts w:hint="eastAsia" w:ascii="宋体" w:hAnsi="宋体" w:cs="宋体"/>
                <w:sz w:val="24"/>
                <w:highlight w:val="none"/>
              </w:rPr>
              <w:t>乙</w:t>
            </w:r>
            <w:r>
              <w:rPr>
                <w:rFonts w:ascii="宋体" w:hAnsi="宋体" w:cs="宋体"/>
                <w:sz w:val="24"/>
                <w:highlight w:val="none"/>
              </w:rPr>
              <w:t xml:space="preserve">  </w:t>
            </w:r>
            <w:r>
              <w:rPr>
                <w:rFonts w:hint="eastAsia" w:ascii="宋体" w:hAnsi="宋体" w:cs="宋体"/>
                <w:sz w:val="24"/>
                <w:highlight w:val="none"/>
              </w:rPr>
              <w:t>方</w:t>
            </w:r>
          </w:p>
        </w:tc>
      </w:tr>
      <w:tr w14:paraId="54F1C946">
        <w:tblPrEx>
          <w:tblCellMar>
            <w:top w:w="0" w:type="dxa"/>
            <w:left w:w="108" w:type="dxa"/>
            <w:bottom w:w="0" w:type="dxa"/>
            <w:right w:w="108" w:type="dxa"/>
          </w:tblCellMar>
        </w:tblPrEx>
        <w:trPr>
          <w:trHeight w:val="454" w:hRule="atLeast"/>
        </w:trPr>
        <w:tc>
          <w:tcPr>
            <w:tcW w:w="4201" w:type="dxa"/>
            <w:vAlign w:val="center"/>
          </w:tcPr>
          <w:p w14:paraId="129754A4">
            <w:pPr>
              <w:spacing w:line="360" w:lineRule="auto"/>
              <w:ind w:firstLine="480" w:firstLineChars="200"/>
              <w:rPr>
                <w:rFonts w:ascii="宋体"/>
                <w:sz w:val="24"/>
                <w:highlight w:val="none"/>
              </w:rPr>
            </w:pPr>
            <w:r>
              <w:rPr>
                <w:rFonts w:hint="eastAsia" w:ascii="宋体" w:hAnsi="宋体" w:cs="宋体"/>
                <w:sz w:val="24"/>
                <w:highlight w:val="none"/>
              </w:rPr>
              <w:t>（盖章）</w:t>
            </w:r>
          </w:p>
        </w:tc>
        <w:tc>
          <w:tcPr>
            <w:tcW w:w="4202" w:type="dxa"/>
            <w:vAlign w:val="center"/>
          </w:tcPr>
          <w:p w14:paraId="334267AE">
            <w:pPr>
              <w:spacing w:line="360" w:lineRule="auto"/>
              <w:ind w:firstLine="480" w:firstLineChars="200"/>
              <w:rPr>
                <w:rFonts w:ascii="宋体"/>
                <w:sz w:val="24"/>
                <w:highlight w:val="none"/>
              </w:rPr>
            </w:pPr>
            <w:r>
              <w:rPr>
                <w:rFonts w:hint="eastAsia" w:ascii="宋体" w:hAnsi="宋体" w:cs="宋体"/>
                <w:sz w:val="24"/>
                <w:highlight w:val="none"/>
              </w:rPr>
              <w:t>（盖章）</w:t>
            </w:r>
          </w:p>
        </w:tc>
      </w:tr>
      <w:tr w14:paraId="5B44A2A4">
        <w:tblPrEx>
          <w:tblCellMar>
            <w:top w:w="0" w:type="dxa"/>
            <w:left w:w="108" w:type="dxa"/>
            <w:bottom w:w="0" w:type="dxa"/>
            <w:right w:w="108" w:type="dxa"/>
          </w:tblCellMar>
        </w:tblPrEx>
        <w:trPr>
          <w:trHeight w:val="454" w:hRule="atLeast"/>
        </w:trPr>
        <w:tc>
          <w:tcPr>
            <w:tcW w:w="4201" w:type="dxa"/>
            <w:vAlign w:val="center"/>
          </w:tcPr>
          <w:p w14:paraId="3A73BBA0">
            <w:pPr>
              <w:spacing w:line="360" w:lineRule="auto"/>
              <w:ind w:firstLine="480" w:firstLineChars="200"/>
              <w:rPr>
                <w:rFonts w:ascii="宋体" w:hAnsi="宋体" w:cs="宋体"/>
                <w:sz w:val="24"/>
                <w:highlight w:val="none"/>
              </w:rPr>
            </w:pPr>
            <w:r>
              <w:rPr>
                <w:rFonts w:hint="eastAsia" w:ascii="宋体" w:hAnsi="宋体" w:cs="宋体"/>
                <w:sz w:val="24"/>
                <w:highlight w:val="none"/>
              </w:rPr>
              <w:t>地址：</w:t>
            </w:r>
            <w:r>
              <w:rPr>
                <w:rFonts w:ascii="宋体" w:hAnsi="宋体" w:cs="宋体"/>
                <w:sz w:val="24"/>
                <w:highlight w:val="none"/>
              </w:rPr>
              <w:t xml:space="preserve"> </w:t>
            </w:r>
          </w:p>
        </w:tc>
        <w:tc>
          <w:tcPr>
            <w:tcW w:w="4202" w:type="dxa"/>
            <w:vAlign w:val="center"/>
          </w:tcPr>
          <w:p w14:paraId="7A74FD4F">
            <w:pPr>
              <w:spacing w:line="360" w:lineRule="auto"/>
              <w:ind w:firstLine="480" w:firstLineChars="200"/>
              <w:rPr>
                <w:rFonts w:ascii="宋体"/>
                <w:sz w:val="24"/>
                <w:highlight w:val="none"/>
              </w:rPr>
            </w:pPr>
            <w:r>
              <w:rPr>
                <w:rFonts w:hint="eastAsia" w:ascii="宋体" w:hAnsi="宋体" w:cs="宋体"/>
                <w:sz w:val="24"/>
                <w:highlight w:val="none"/>
              </w:rPr>
              <w:t>地址：</w:t>
            </w:r>
          </w:p>
        </w:tc>
      </w:tr>
      <w:tr w14:paraId="54C254BA">
        <w:tblPrEx>
          <w:tblCellMar>
            <w:top w:w="0" w:type="dxa"/>
            <w:left w:w="108" w:type="dxa"/>
            <w:bottom w:w="0" w:type="dxa"/>
            <w:right w:w="108" w:type="dxa"/>
          </w:tblCellMar>
        </w:tblPrEx>
        <w:trPr>
          <w:trHeight w:val="454" w:hRule="atLeast"/>
        </w:trPr>
        <w:tc>
          <w:tcPr>
            <w:tcW w:w="4201" w:type="dxa"/>
            <w:vAlign w:val="center"/>
          </w:tcPr>
          <w:p w14:paraId="0294A4FA">
            <w:pPr>
              <w:spacing w:line="360" w:lineRule="auto"/>
              <w:ind w:firstLine="480" w:firstLineChars="200"/>
              <w:rPr>
                <w:rFonts w:ascii="宋体"/>
                <w:sz w:val="24"/>
                <w:highlight w:val="none"/>
              </w:rPr>
            </w:pPr>
            <w:r>
              <w:rPr>
                <w:rFonts w:hint="eastAsia" w:ascii="宋体" w:hAnsi="宋体" w:cs="宋体"/>
                <w:sz w:val="24"/>
                <w:highlight w:val="none"/>
              </w:rPr>
              <w:t>邮编：</w:t>
            </w:r>
          </w:p>
        </w:tc>
        <w:tc>
          <w:tcPr>
            <w:tcW w:w="4202" w:type="dxa"/>
            <w:vAlign w:val="center"/>
          </w:tcPr>
          <w:p w14:paraId="5C865975">
            <w:pPr>
              <w:spacing w:line="360" w:lineRule="auto"/>
              <w:ind w:firstLine="480" w:firstLineChars="200"/>
              <w:rPr>
                <w:rFonts w:ascii="宋体"/>
                <w:sz w:val="24"/>
                <w:highlight w:val="none"/>
              </w:rPr>
            </w:pPr>
            <w:r>
              <w:rPr>
                <w:rFonts w:hint="eastAsia" w:ascii="宋体" w:hAnsi="宋体" w:cs="宋体"/>
                <w:sz w:val="24"/>
                <w:highlight w:val="none"/>
              </w:rPr>
              <w:t>邮编：</w:t>
            </w:r>
          </w:p>
        </w:tc>
      </w:tr>
      <w:tr w14:paraId="7F379CC1">
        <w:tblPrEx>
          <w:tblCellMar>
            <w:top w:w="0" w:type="dxa"/>
            <w:left w:w="108" w:type="dxa"/>
            <w:bottom w:w="0" w:type="dxa"/>
            <w:right w:w="108" w:type="dxa"/>
          </w:tblCellMar>
        </w:tblPrEx>
        <w:trPr>
          <w:trHeight w:val="454" w:hRule="atLeast"/>
        </w:trPr>
        <w:tc>
          <w:tcPr>
            <w:tcW w:w="4201" w:type="dxa"/>
            <w:vAlign w:val="center"/>
          </w:tcPr>
          <w:p w14:paraId="142A51B6">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r>
              <w:rPr>
                <w:rFonts w:ascii="宋体" w:hAnsi="宋体" w:cs="宋体"/>
                <w:sz w:val="24"/>
                <w:highlight w:val="none"/>
              </w:rPr>
              <w:t xml:space="preserve"> </w:t>
            </w:r>
          </w:p>
        </w:tc>
        <w:tc>
          <w:tcPr>
            <w:tcW w:w="4202" w:type="dxa"/>
            <w:vAlign w:val="center"/>
          </w:tcPr>
          <w:p w14:paraId="11808ECC">
            <w:pPr>
              <w:spacing w:line="360" w:lineRule="auto"/>
              <w:ind w:firstLine="480" w:firstLineChars="200"/>
              <w:rPr>
                <w:rFonts w:ascii="宋体"/>
                <w:sz w:val="24"/>
                <w:highlight w:val="none"/>
              </w:rPr>
            </w:pPr>
            <w:r>
              <w:rPr>
                <w:rFonts w:hint="eastAsia" w:ascii="宋体" w:hAnsi="宋体" w:cs="宋体"/>
                <w:sz w:val="24"/>
                <w:highlight w:val="none"/>
              </w:rPr>
              <w:t>法定代表人：</w:t>
            </w:r>
          </w:p>
        </w:tc>
      </w:tr>
      <w:tr w14:paraId="35C83F55">
        <w:tblPrEx>
          <w:tblCellMar>
            <w:top w:w="0" w:type="dxa"/>
            <w:left w:w="108" w:type="dxa"/>
            <w:bottom w:w="0" w:type="dxa"/>
            <w:right w:w="108" w:type="dxa"/>
          </w:tblCellMar>
        </w:tblPrEx>
        <w:trPr>
          <w:trHeight w:val="454" w:hRule="atLeast"/>
        </w:trPr>
        <w:tc>
          <w:tcPr>
            <w:tcW w:w="4201" w:type="dxa"/>
            <w:vAlign w:val="center"/>
          </w:tcPr>
          <w:p w14:paraId="140B8EC5">
            <w:pPr>
              <w:spacing w:line="360" w:lineRule="auto"/>
              <w:ind w:firstLine="480" w:firstLineChars="200"/>
              <w:rPr>
                <w:rFonts w:ascii="宋体"/>
                <w:sz w:val="24"/>
                <w:highlight w:val="none"/>
              </w:rPr>
            </w:pPr>
            <w:r>
              <w:rPr>
                <w:rFonts w:hint="eastAsia" w:ascii="宋体" w:hAnsi="宋体" w:cs="宋体"/>
                <w:sz w:val="24"/>
                <w:highlight w:val="none"/>
              </w:rPr>
              <w:t>委托代理人：</w:t>
            </w:r>
          </w:p>
        </w:tc>
        <w:tc>
          <w:tcPr>
            <w:tcW w:w="4202" w:type="dxa"/>
            <w:vAlign w:val="center"/>
          </w:tcPr>
          <w:p w14:paraId="4ADD34D2">
            <w:pPr>
              <w:spacing w:line="360" w:lineRule="auto"/>
              <w:ind w:firstLine="480" w:firstLineChars="200"/>
              <w:rPr>
                <w:rFonts w:ascii="宋体"/>
                <w:sz w:val="24"/>
                <w:highlight w:val="none"/>
              </w:rPr>
            </w:pPr>
            <w:r>
              <w:rPr>
                <w:rFonts w:hint="eastAsia" w:ascii="宋体" w:hAnsi="宋体" w:cs="宋体"/>
                <w:sz w:val="24"/>
                <w:highlight w:val="none"/>
              </w:rPr>
              <w:t>委托代理人：</w:t>
            </w:r>
          </w:p>
        </w:tc>
      </w:tr>
      <w:tr w14:paraId="007EDDDB">
        <w:tblPrEx>
          <w:tblCellMar>
            <w:top w:w="0" w:type="dxa"/>
            <w:left w:w="108" w:type="dxa"/>
            <w:bottom w:w="0" w:type="dxa"/>
            <w:right w:w="108" w:type="dxa"/>
          </w:tblCellMar>
        </w:tblPrEx>
        <w:trPr>
          <w:trHeight w:val="454" w:hRule="atLeast"/>
        </w:trPr>
        <w:tc>
          <w:tcPr>
            <w:tcW w:w="4201" w:type="dxa"/>
            <w:vAlign w:val="center"/>
          </w:tcPr>
          <w:p w14:paraId="3C6A954F">
            <w:pPr>
              <w:spacing w:line="360" w:lineRule="auto"/>
              <w:ind w:firstLine="480" w:firstLineChars="200"/>
              <w:rPr>
                <w:rFonts w:ascii="宋体"/>
                <w:sz w:val="24"/>
                <w:highlight w:val="none"/>
              </w:rPr>
            </w:pPr>
            <w:r>
              <w:rPr>
                <w:rFonts w:hint="eastAsia" w:ascii="宋体" w:hAnsi="宋体" w:cs="宋体"/>
                <w:sz w:val="24"/>
                <w:highlight w:val="none"/>
              </w:rPr>
              <w:t>电话：</w:t>
            </w:r>
          </w:p>
        </w:tc>
        <w:tc>
          <w:tcPr>
            <w:tcW w:w="4202" w:type="dxa"/>
            <w:vAlign w:val="center"/>
          </w:tcPr>
          <w:p w14:paraId="1E77C817">
            <w:pPr>
              <w:spacing w:line="360" w:lineRule="auto"/>
              <w:ind w:firstLine="480" w:firstLineChars="200"/>
              <w:rPr>
                <w:rFonts w:ascii="宋体"/>
                <w:sz w:val="24"/>
                <w:highlight w:val="none"/>
              </w:rPr>
            </w:pPr>
            <w:r>
              <w:rPr>
                <w:rFonts w:hint="eastAsia" w:ascii="宋体" w:hAnsi="宋体" w:cs="宋体"/>
                <w:sz w:val="24"/>
                <w:highlight w:val="none"/>
              </w:rPr>
              <w:t>电话：</w:t>
            </w:r>
          </w:p>
        </w:tc>
      </w:tr>
      <w:tr w14:paraId="37560F54">
        <w:tblPrEx>
          <w:tblCellMar>
            <w:top w:w="0" w:type="dxa"/>
            <w:left w:w="108" w:type="dxa"/>
            <w:bottom w:w="0" w:type="dxa"/>
            <w:right w:w="108" w:type="dxa"/>
          </w:tblCellMar>
        </w:tblPrEx>
        <w:trPr>
          <w:trHeight w:val="454" w:hRule="atLeast"/>
        </w:trPr>
        <w:tc>
          <w:tcPr>
            <w:tcW w:w="4201" w:type="dxa"/>
            <w:vAlign w:val="center"/>
          </w:tcPr>
          <w:p w14:paraId="2E27BF85">
            <w:pPr>
              <w:spacing w:line="360" w:lineRule="auto"/>
              <w:ind w:firstLine="480" w:firstLineChars="200"/>
              <w:rPr>
                <w:rFonts w:ascii="宋体"/>
                <w:sz w:val="24"/>
                <w:highlight w:val="none"/>
              </w:rPr>
            </w:pPr>
            <w:r>
              <w:rPr>
                <w:rFonts w:hint="eastAsia" w:ascii="宋体" w:hAnsi="宋体" w:cs="宋体"/>
                <w:sz w:val="24"/>
                <w:highlight w:val="none"/>
              </w:rPr>
              <w:t>传真：</w:t>
            </w:r>
          </w:p>
        </w:tc>
        <w:tc>
          <w:tcPr>
            <w:tcW w:w="4202" w:type="dxa"/>
            <w:vAlign w:val="center"/>
          </w:tcPr>
          <w:p w14:paraId="43AD3CE1">
            <w:pPr>
              <w:spacing w:line="360" w:lineRule="auto"/>
              <w:ind w:firstLine="480" w:firstLineChars="200"/>
              <w:rPr>
                <w:rFonts w:ascii="宋体"/>
                <w:sz w:val="24"/>
                <w:highlight w:val="none"/>
              </w:rPr>
            </w:pPr>
            <w:r>
              <w:rPr>
                <w:rFonts w:hint="eastAsia" w:ascii="宋体" w:hAnsi="宋体" w:cs="宋体"/>
                <w:sz w:val="24"/>
                <w:highlight w:val="none"/>
              </w:rPr>
              <w:t>传真：</w:t>
            </w:r>
          </w:p>
        </w:tc>
      </w:tr>
      <w:tr w14:paraId="3C957A46">
        <w:tblPrEx>
          <w:tblCellMar>
            <w:top w:w="0" w:type="dxa"/>
            <w:left w:w="108" w:type="dxa"/>
            <w:bottom w:w="0" w:type="dxa"/>
            <w:right w:w="108" w:type="dxa"/>
          </w:tblCellMar>
        </w:tblPrEx>
        <w:trPr>
          <w:trHeight w:val="454" w:hRule="atLeast"/>
        </w:trPr>
        <w:tc>
          <w:tcPr>
            <w:tcW w:w="4201" w:type="dxa"/>
            <w:vAlign w:val="center"/>
          </w:tcPr>
          <w:p w14:paraId="1D1D9497">
            <w:pPr>
              <w:spacing w:line="360" w:lineRule="auto"/>
              <w:ind w:firstLine="480" w:firstLineChars="200"/>
              <w:rPr>
                <w:rFonts w:ascii="宋体"/>
                <w:sz w:val="24"/>
                <w:highlight w:val="none"/>
              </w:rPr>
            </w:pPr>
            <w:r>
              <w:rPr>
                <w:rFonts w:hint="eastAsia" w:ascii="宋体" w:hAnsi="宋体" w:cs="宋体"/>
                <w:sz w:val="24"/>
                <w:highlight w:val="none"/>
              </w:rPr>
              <w:t>开户银行：</w:t>
            </w:r>
          </w:p>
        </w:tc>
        <w:tc>
          <w:tcPr>
            <w:tcW w:w="4202" w:type="dxa"/>
            <w:vAlign w:val="center"/>
          </w:tcPr>
          <w:p w14:paraId="4F35D3BE">
            <w:pPr>
              <w:spacing w:line="360" w:lineRule="auto"/>
              <w:ind w:firstLine="480" w:firstLineChars="200"/>
              <w:rPr>
                <w:rFonts w:ascii="宋体"/>
                <w:sz w:val="24"/>
                <w:highlight w:val="none"/>
              </w:rPr>
            </w:pPr>
            <w:r>
              <w:rPr>
                <w:rFonts w:hint="eastAsia" w:ascii="宋体" w:hAnsi="宋体" w:cs="宋体"/>
                <w:sz w:val="24"/>
                <w:highlight w:val="none"/>
              </w:rPr>
              <w:t>开户银行：</w:t>
            </w:r>
          </w:p>
        </w:tc>
      </w:tr>
      <w:tr w14:paraId="08D3BD40">
        <w:tblPrEx>
          <w:tblCellMar>
            <w:top w:w="0" w:type="dxa"/>
            <w:left w:w="108" w:type="dxa"/>
            <w:bottom w:w="0" w:type="dxa"/>
            <w:right w:w="108" w:type="dxa"/>
          </w:tblCellMar>
        </w:tblPrEx>
        <w:trPr>
          <w:trHeight w:val="454" w:hRule="atLeast"/>
        </w:trPr>
        <w:tc>
          <w:tcPr>
            <w:tcW w:w="4201" w:type="dxa"/>
            <w:vAlign w:val="center"/>
          </w:tcPr>
          <w:p w14:paraId="146E68A6">
            <w:pPr>
              <w:spacing w:line="360" w:lineRule="auto"/>
              <w:ind w:firstLine="480" w:firstLineChars="200"/>
              <w:rPr>
                <w:rFonts w:ascii="宋体"/>
                <w:sz w:val="24"/>
                <w:highlight w:val="none"/>
              </w:rPr>
            </w:pPr>
            <w:r>
              <w:rPr>
                <w:rFonts w:hint="eastAsia" w:ascii="宋体" w:hAnsi="宋体" w:cs="宋体"/>
                <w:sz w:val="24"/>
                <w:highlight w:val="none"/>
              </w:rPr>
              <w:t>日期：</w:t>
            </w:r>
          </w:p>
        </w:tc>
        <w:tc>
          <w:tcPr>
            <w:tcW w:w="4202" w:type="dxa"/>
            <w:vAlign w:val="center"/>
          </w:tcPr>
          <w:p w14:paraId="07394140">
            <w:pPr>
              <w:spacing w:line="360" w:lineRule="auto"/>
              <w:ind w:firstLine="480" w:firstLineChars="200"/>
              <w:rPr>
                <w:rFonts w:ascii="宋体"/>
                <w:sz w:val="24"/>
                <w:highlight w:val="none"/>
              </w:rPr>
            </w:pPr>
            <w:r>
              <w:rPr>
                <w:rFonts w:hint="eastAsia" w:ascii="宋体" w:hAnsi="宋体" w:cs="宋体"/>
                <w:sz w:val="24"/>
                <w:highlight w:val="none"/>
              </w:rPr>
              <w:t>日期：</w:t>
            </w:r>
          </w:p>
        </w:tc>
      </w:tr>
    </w:tbl>
    <w:p w14:paraId="569D4131">
      <w:pPr>
        <w:pStyle w:val="2"/>
        <w:spacing w:line="360" w:lineRule="auto"/>
        <w:rPr>
          <w:rFonts w:ascii="Lucida Sans Unicode" w:hAnsi="Lucida Sans Unicode" w:eastAsia="Lucida Sans Unicode" w:cs="Lucida Sans Unicode"/>
          <w:sz w:val="19"/>
          <w:szCs w:val="19"/>
          <w:highlight w:val="none"/>
        </w:rPr>
      </w:pPr>
    </w:p>
    <w:p w14:paraId="480D0357">
      <w:pPr>
        <w:spacing w:line="360" w:lineRule="auto"/>
        <w:rPr>
          <w:highlight w:val="none"/>
        </w:rPr>
      </w:pPr>
    </w:p>
    <w:p w14:paraId="2ED154E3">
      <w:pPr>
        <w:spacing w:line="360" w:lineRule="auto"/>
        <w:rPr>
          <w:rFonts w:ascii="Lucida Sans Unicode" w:hAnsi="Lucida Sans Unicode" w:eastAsia="Lucida Sans Unicode" w:cs="Lucida Sans Unicode"/>
          <w:sz w:val="19"/>
          <w:szCs w:val="19"/>
          <w:highlight w:val="none"/>
        </w:rPr>
      </w:pPr>
    </w:p>
    <w:p w14:paraId="173B7CA5">
      <w:pPr>
        <w:spacing w:line="360" w:lineRule="auto"/>
        <w:rPr>
          <w:rFonts w:ascii="Lucida Sans Unicode" w:hAnsi="Lucida Sans Unicode" w:eastAsia="Lucida Sans Unicode" w:cs="Lucida Sans Unicode"/>
          <w:sz w:val="19"/>
          <w:szCs w:val="19"/>
          <w:highlight w:val="none"/>
        </w:rPr>
      </w:pPr>
    </w:p>
    <w:p w14:paraId="395F1B37">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8"/>
          <w:szCs w:val="28"/>
          <w:highlight w:val="none"/>
        </w:rPr>
      </w:pPr>
    </w:p>
    <w:p w14:paraId="4E33FED1">
      <w:pPr>
        <w:keepNext w:val="0"/>
        <w:keepLines w:val="0"/>
        <w:pageBreakBefore w:val="0"/>
        <w:widowControl w:val="0"/>
        <w:kinsoku/>
        <w:wordWrap/>
        <w:overflowPunct/>
        <w:topLinePunct w:val="0"/>
        <w:autoSpaceDE/>
        <w:autoSpaceDN/>
        <w:bidi w:val="0"/>
        <w:adjustRightInd/>
        <w:snapToGrid/>
        <w:spacing w:line="312" w:lineRule="auto"/>
        <w:ind w:firstLine="562" w:firstLineChars="200"/>
        <w:textAlignment w:val="auto"/>
        <w:rPr>
          <w:rFonts w:hint="eastAsia" w:ascii="宋体" w:hAnsi="宋体" w:eastAsia="宋体" w:cs="宋体"/>
          <w:b/>
          <w:bCs/>
          <w:color w:val="auto"/>
          <w:sz w:val="28"/>
          <w:szCs w:val="28"/>
          <w:highlight w:val="none"/>
        </w:rPr>
      </w:pPr>
    </w:p>
    <w:p w14:paraId="08520CA9">
      <w:pPr>
        <w:rPr>
          <w:rFonts w:hint="eastAsia" w:ascii="宋体" w:hAnsi="宋体" w:eastAsia="宋体" w:cs="宋体"/>
          <w:highlight w:val="none"/>
        </w:rPr>
      </w:pPr>
      <w:r>
        <w:rPr>
          <w:rFonts w:hint="eastAsia" w:ascii="宋体" w:hAnsi="宋体" w:eastAsia="宋体" w:cs="宋体"/>
          <w:highlight w:val="none"/>
        </w:rPr>
        <w:br w:type="page"/>
      </w:r>
    </w:p>
    <w:p w14:paraId="1B9E1E14">
      <w:pPr>
        <w:widowControl/>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附件一：XX 年度绿化养护工作内容及费用明细</w:t>
      </w:r>
    </w:p>
    <w:tbl>
      <w:tblPr>
        <w:tblStyle w:val="5"/>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2313"/>
        <w:gridCol w:w="1296"/>
        <w:gridCol w:w="1718"/>
        <w:gridCol w:w="1649"/>
        <w:gridCol w:w="1398"/>
        <w:gridCol w:w="651"/>
      </w:tblGrid>
      <w:tr w14:paraId="0FFA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F09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C698">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养护服务名称</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0C18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暂定面积</w:t>
            </w:r>
          </w:p>
          <w:p w14:paraId="3FC9B7DB">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93CF1">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全费用单价限价</w:t>
            </w:r>
          </w:p>
          <w:p w14:paraId="1B288785">
            <w:pPr>
              <w:keepNext w:val="0"/>
              <w:keepLines w:val="0"/>
              <w:widowControl/>
              <w:suppressLineNumbers w:val="0"/>
              <w:ind w:left="0" w:leftChars="0" w:right="0" w:rightChars="0" w:firstLine="0" w:firstLineChars="0"/>
              <w:jc w:val="both"/>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（元/㎡/年）</w:t>
            </w:r>
          </w:p>
        </w:tc>
        <w:tc>
          <w:tcPr>
            <w:tcW w:w="8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52D46">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单项费用</w:t>
            </w:r>
          </w:p>
          <w:p w14:paraId="27444FE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（元/季度）</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166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单项费用</w:t>
            </w:r>
          </w:p>
          <w:p w14:paraId="48CF19D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（元/年）</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5F43E">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备注</w:t>
            </w:r>
          </w:p>
        </w:tc>
      </w:tr>
      <w:tr w14:paraId="4C9C7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CCAE">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E5F0">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绿地养护服务</w:t>
            </w:r>
          </w:p>
          <w:p w14:paraId="5BE1C3A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（一级绿地）</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A4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u w:val="none"/>
                <w:lang w:val="en-US" w:eastAsia="zh-CN" w:bidi="ar"/>
              </w:rPr>
              <w:t xml:space="preserve">839000.00 </w:t>
            </w:r>
          </w:p>
        </w:tc>
        <w:tc>
          <w:tcPr>
            <w:tcW w:w="8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007E">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c>
          <w:tcPr>
            <w:tcW w:w="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DE8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82A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70C1">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r>
      <w:tr w14:paraId="61138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27D1">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4CBC">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绿地养护服务</w:t>
            </w:r>
          </w:p>
          <w:p w14:paraId="7F7F118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（二级绿地）</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9C8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u w:val="none"/>
                <w:lang w:val="en-US" w:eastAsia="zh-CN" w:bidi="ar"/>
              </w:rPr>
              <w:t xml:space="preserve">339000.00 </w:t>
            </w:r>
          </w:p>
        </w:tc>
        <w:tc>
          <w:tcPr>
            <w:tcW w:w="8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3212">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c>
          <w:tcPr>
            <w:tcW w:w="8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B2A4">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B701">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7D6A2">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r>
      <w:tr w14:paraId="6161B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0C94C">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239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预留金</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7114">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1项</w:t>
            </w:r>
          </w:p>
        </w:tc>
        <w:tc>
          <w:tcPr>
            <w:tcW w:w="2785"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10A7">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1137500.00元/年</w:t>
            </w:r>
          </w:p>
        </w:tc>
      </w:tr>
      <w:tr w14:paraId="596EE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54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3EB5">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养护费用合计（元）</w:t>
            </w:r>
          </w:p>
        </w:tc>
        <w:tc>
          <w:tcPr>
            <w:tcW w:w="345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FD3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r>
      <w:tr w14:paraId="02092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54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D576">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合同价款（总计）（元）</w:t>
            </w:r>
          </w:p>
        </w:tc>
        <w:tc>
          <w:tcPr>
            <w:tcW w:w="345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5AF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p>
        </w:tc>
      </w:tr>
    </w:tbl>
    <w:p w14:paraId="512CC3E7">
      <w:pPr>
        <w:widowControl/>
        <w:spacing w:line="360" w:lineRule="auto"/>
        <w:outlineLvl w:val="9"/>
        <w:rPr>
          <w:rFonts w:hint="eastAsia" w:ascii="宋体" w:hAnsi="宋体" w:eastAsia="宋体" w:cs="宋体"/>
          <w:color w:val="auto"/>
          <w:sz w:val="24"/>
          <w:szCs w:val="24"/>
          <w:highlight w:val="none"/>
        </w:rPr>
      </w:pPr>
    </w:p>
    <w:p w14:paraId="7BE4E252">
      <w:pPr>
        <w:pStyle w:val="2"/>
        <w:rPr>
          <w:rFonts w:hint="eastAsia" w:ascii="宋体" w:hAnsi="宋体" w:eastAsia="宋体" w:cs="宋体"/>
          <w:color w:val="auto"/>
          <w:sz w:val="24"/>
          <w:szCs w:val="24"/>
          <w:highlight w:val="none"/>
        </w:rPr>
      </w:pPr>
    </w:p>
    <w:p w14:paraId="2E056CF6">
      <w:pPr>
        <w:pStyle w:val="2"/>
        <w:rPr>
          <w:rFonts w:hint="eastAsia" w:ascii="宋体" w:hAnsi="宋体" w:eastAsia="宋体" w:cs="宋体"/>
          <w:color w:val="auto"/>
          <w:sz w:val="24"/>
          <w:szCs w:val="24"/>
          <w:highlight w:val="none"/>
        </w:rPr>
      </w:pPr>
    </w:p>
    <w:p w14:paraId="51C82C54">
      <w:pPr>
        <w:pStyle w:val="2"/>
        <w:rPr>
          <w:rFonts w:hint="eastAsia" w:ascii="宋体" w:hAnsi="宋体" w:eastAsia="宋体" w:cs="宋体"/>
          <w:color w:val="auto"/>
          <w:sz w:val="24"/>
          <w:szCs w:val="24"/>
          <w:highlight w:val="none"/>
        </w:rPr>
      </w:pPr>
    </w:p>
    <w:p w14:paraId="40D1F41E">
      <w:pPr>
        <w:pStyle w:val="2"/>
        <w:rPr>
          <w:rFonts w:hint="eastAsia" w:ascii="宋体" w:hAnsi="宋体" w:eastAsia="宋体" w:cs="宋体"/>
          <w:color w:val="auto"/>
          <w:sz w:val="24"/>
          <w:szCs w:val="24"/>
          <w:highlight w:val="none"/>
        </w:rPr>
      </w:pPr>
    </w:p>
    <w:p w14:paraId="17799E49">
      <w:pPr>
        <w:pStyle w:val="2"/>
        <w:rPr>
          <w:rFonts w:hint="eastAsia" w:ascii="宋体" w:hAnsi="宋体" w:eastAsia="宋体" w:cs="宋体"/>
          <w:color w:val="auto"/>
          <w:sz w:val="24"/>
          <w:szCs w:val="24"/>
          <w:highlight w:val="none"/>
        </w:rPr>
      </w:pPr>
    </w:p>
    <w:p w14:paraId="5060E267">
      <w:pPr>
        <w:pStyle w:val="2"/>
        <w:rPr>
          <w:rFonts w:hint="eastAsia" w:ascii="宋体" w:hAnsi="宋体" w:eastAsia="宋体" w:cs="宋体"/>
          <w:color w:val="auto"/>
          <w:sz w:val="24"/>
          <w:szCs w:val="24"/>
          <w:highlight w:val="none"/>
        </w:rPr>
      </w:pPr>
    </w:p>
    <w:p w14:paraId="4A496D4F">
      <w:pPr>
        <w:pStyle w:val="2"/>
        <w:rPr>
          <w:rFonts w:hint="eastAsia" w:ascii="宋体" w:hAnsi="宋体" w:eastAsia="宋体" w:cs="宋体"/>
          <w:color w:val="auto"/>
          <w:sz w:val="24"/>
          <w:szCs w:val="24"/>
          <w:highlight w:val="none"/>
        </w:rPr>
      </w:pPr>
    </w:p>
    <w:p w14:paraId="705C0B58">
      <w:pPr>
        <w:pStyle w:val="2"/>
        <w:rPr>
          <w:rFonts w:hint="eastAsia" w:ascii="宋体" w:hAnsi="宋体" w:eastAsia="宋体" w:cs="宋体"/>
          <w:color w:val="auto"/>
          <w:sz w:val="24"/>
          <w:szCs w:val="24"/>
          <w:highlight w:val="none"/>
        </w:rPr>
      </w:pPr>
    </w:p>
    <w:p w14:paraId="6EEBFEAB">
      <w:pPr>
        <w:pStyle w:val="2"/>
        <w:rPr>
          <w:rFonts w:hint="eastAsia" w:ascii="宋体" w:hAnsi="宋体" w:eastAsia="宋体" w:cs="宋体"/>
          <w:color w:val="auto"/>
          <w:sz w:val="24"/>
          <w:szCs w:val="24"/>
          <w:highlight w:val="none"/>
        </w:rPr>
      </w:pPr>
    </w:p>
    <w:p w14:paraId="479649D5">
      <w:pPr>
        <w:pStyle w:val="2"/>
        <w:rPr>
          <w:rFonts w:hint="eastAsia" w:ascii="宋体" w:hAnsi="宋体" w:eastAsia="宋体" w:cs="宋体"/>
          <w:color w:val="auto"/>
          <w:sz w:val="24"/>
          <w:szCs w:val="24"/>
          <w:highlight w:val="none"/>
        </w:rPr>
      </w:pPr>
    </w:p>
    <w:p w14:paraId="2701671A">
      <w:pPr>
        <w:pStyle w:val="2"/>
        <w:rPr>
          <w:rFonts w:hint="eastAsia" w:ascii="宋体" w:hAnsi="宋体" w:eastAsia="宋体" w:cs="宋体"/>
          <w:color w:val="auto"/>
          <w:sz w:val="24"/>
          <w:szCs w:val="24"/>
          <w:highlight w:val="none"/>
        </w:rPr>
      </w:pPr>
    </w:p>
    <w:p w14:paraId="42C12F58">
      <w:pPr>
        <w:pStyle w:val="2"/>
        <w:rPr>
          <w:rFonts w:hint="eastAsia" w:ascii="宋体" w:hAnsi="宋体" w:eastAsia="宋体" w:cs="宋体"/>
          <w:color w:val="auto"/>
          <w:sz w:val="24"/>
          <w:szCs w:val="24"/>
          <w:highlight w:val="none"/>
        </w:rPr>
      </w:pPr>
    </w:p>
    <w:p w14:paraId="68613429">
      <w:pPr>
        <w:pStyle w:val="2"/>
        <w:rPr>
          <w:rFonts w:hint="eastAsia" w:ascii="宋体" w:hAnsi="宋体" w:eastAsia="宋体" w:cs="宋体"/>
          <w:color w:val="auto"/>
          <w:sz w:val="24"/>
          <w:szCs w:val="24"/>
          <w:highlight w:val="none"/>
        </w:rPr>
      </w:pPr>
    </w:p>
    <w:p w14:paraId="537E2309">
      <w:pPr>
        <w:pStyle w:val="2"/>
        <w:rPr>
          <w:rFonts w:hint="eastAsia" w:ascii="宋体" w:hAnsi="宋体" w:eastAsia="宋体" w:cs="宋体"/>
          <w:color w:val="auto"/>
          <w:sz w:val="24"/>
          <w:szCs w:val="24"/>
          <w:highlight w:val="none"/>
        </w:rPr>
      </w:pPr>
    </w:p>
    <w:p w14:paraId="59FBCB8F">
      <w:pPr>
        <w:pStyle w:val="2"/>
        <w:rPr>
          <w:rFonts w:hint="eastAsia" w:ascii="宋体" w:hAnsi="宋体" w:eastAsia="宋体" w:cs="宋体"/>
          <w:color w:val="auto"/>
          <w:sz w:val="24"/>
          <w:szCs w:val="24"/>
          <w:highlight w:val="none"/>
        </w:rPr>
      </w:pPr>
    </w:p>
    <w:p w14:paraId="71564D1B">
      <w:pPr>
        <w:pStyle w:val="2"/>
        <w:rPr>
          <w:rFonts w:hint="eastAsia" w:ascii="宋体" w:hAnsi="宋体" w:eastAsia="宋体" w:cs="宋体"/>
          <w:color w:val="auto"/>
          <w:sz w:val="24"/>
          <w:szCs w:val="24"/>
          <w:highlight w:val="none"/>
        </w:rPr>
      </w:pPr>
    </w:p>
    <w:p w14:paraId="4EEA9107">
      <w:pPr>
        <w:pStyle w:val="2"/>
        <w:rPr>
          <w:rFonts w:hint="eastAsia" w:ascii="宋体" w:hAnsi="宋体" w:eastAsia="宋体" w:cs="宋体"/>
          <w:color w:val="auto"/>
          <w:sz w:val="24"/>
          <w:szCs w:val="24"/>
          <w:highlight w:val="none"/>
        </w:rPr>
      </w:pPr>
    </w:p>
    <w:p w14:paraId="04AB7164">
      <w:pPr>
        <w:pStyle w:val="2"/>
        <w:rPr>
          <w:rFonts w:hint="eastAsia" w:ascii="宋体" w:hAnsi="宋体" w:eastAsia="宋体" w:cs="宋体"/>
          <w:color w:val="auto"/>
          <w:sz w:val="24"/>
          <w:szCs w:val="24"/>
          <w:highlight w:val="none"/>
        </w:rPr>
      </w:pPr>
    </w:p>
    <w:p w14:paraId="778BA813">
      <w:pPr>
        <w:pStyle w:val="2"/>
        <w:rPr>
          <w:rFonts w:hint="eastAsia" w:ascii="宋体" w:hAnsi="宋体" w:eastAsia="宋体" w:cs="宋体"/>
          <w:color w:val="auto"/>
          <w:sz w:val="24"/>
          <w:szCs w:val="24"/>
          <w:highlight w:val="none"/>
        </w:rPr>
      </w:pPr>
    </w:p>
    <w:p w14:paraId="5044AEA1">
      <w:pPr>
        <w:pStyle w:val="2"/>
        <w:rPr>
          <w:rFonts w:hint="eastAsia" w:ascii="宋体" w:hAnsi="宋体" w:eastAsia="宋体" w:cs="宋体"/>
          <w:color w:val="auto"/>
          <w:sz w:val="24"/>
          <w:szCs w:val="24"/>
          <w:highlight w:val="none"/>
        </w:rPr>
      </w:pPr>
    </w:p>
    <w:p w14:paraId="5526F0DC">
      <w:pPr>
        <w:pStyle w:val="2"/>
        <w:rPr>
          <w:rFonts w:hint="eastAsia" w:ascii="宋体" w:hAnsi="宋体" w:eastAsia="宋体" w:cs="宋体"/>
          <w:color w:val="auto"/>
          <w:sz w:val="24"/>
          <w:szCs w:val="24"/>
          <w:highlight w:val="none"/>
        </w:rPr>
      </w:pPr>
    </w:p>
    <w:p w14:paraId="0C4E9DE6">
      <w:pPr>
        <w:pStyle w:val="2"/>
        <w:rPr>
          <w:rFonts w:hint="eastAsia" w:ascii="宋体" w:hAnsi="宋体" w:eastAsia="宋体" w:cs="宋体"/>
          <w:color w:val="auto"/>
          <w:sz w:val="24"/>
          <w:szCs w:val="24"/>
          <w:highlight w:val="none"/>
        </w:rPr>
      </w:pPr>
    </w:p>
    <w:p w14:paraId="11C87DC6">
      <w:pPr>
        <w:pStyle w:val="2"/>
        <w:rPr>
          <w:rFonts w:hint="eastAsia" w:ascii="宋体" w:hAnsi="宋体" w:eastAsia="宋体" w:cs="宋体"/>
          <w:color w:val="auto"/>
          <w:sz w:val="24"/>
          <w:szCs w:val="24"/>
          <w:highlight w:val="none"/>
        </w:rPr>
      </w:pPr>
    </w:p>
    <w:p w14:paraId="7104DA97">
      <w:pPr>
        <w:pStyle w:val="2"/>
        <w:rPr>
          <w:rFonts w:hint="eastAsia" w:ascii="宋体" w:hAnsi="宋体" w:eastAsia="宋体" w:cs="宋体"/>
          <w:color w:val="auto"/>
          <w:sz w:val="24"/>
          <w:szCs w:val="24"/>
          <w:highlight w:val="none"/>
        </w:rPr>
      </w:pPr>
    </w:p>
    <w:p w14:paraId="45412753">
      <w:pPr>
        <w:widowControl/>
        <w:spacing w:line="360" w:lineRule="auto"/>
        <w:outlineLvl w:val="9"/>
        <w:rPr>
          <w:rFonts w:hint="eastAsia" w:ascii="宋体" w:hAnsi="宋体" w:eastAsia="宋体" w:cs="宋体"/>
          <w:b/>
          <w:bCs/>
          <w:color w:val="auto"/>
          <w:sz w:val="28"/>
          <w:szCs w:val="28"/>
          <w:highlight w:val="none"/>
        </w:rPr>
      </w:pPr>
    </w:p>
    <w:p w14:paraId="364834D0">
      <w:pPr>
        <w:widowControl/>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附件二：西安浐灞国际港园林绿化养护管理标准</w:t>
      </w:r>
    </w:p>
    <w:p w14:paraId="6BD0E94F">
      <w:pP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西安浐灞国际港园林绿化养护管理标准</w:t>
      </w:r>
    </w:p>
    <w:p w14:paraId="0638A8D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为巩固绿化建设成果，提高绿化养护质量，维护绿化养护市场的正常秩序，根据《国家园林城市标准》、《西安市城市绿化管理条例》和有关文件，结合绿化建设管理的实际情况，制订西安浐灞国际港绿化养护管理标准。</w:t>
      </w:r>
    </w:p>
    <w:p w14:paraId="5F7AB98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绿化养护管理标准中相关术语和定义：</w:t>
      </w:r>
    </w:p>
    <w:p w14:paraId="6584E57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1、乔木</w:t>
      </w:r>
    </w:p>
    <w:p w14:paraId="425DB8A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主干明显而直立，树体高大的木本植物。</w:t>
      </w:r>
    </w:p>
    <w:p w14:paraId="23D9D71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2、灌木</w:t>
      </w:r>
    </w:p>
    <w:p w14:paraId="394D327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树体矮小,无明显主干或枝干丛生的木本植物。</w:t>
      </w:r>
    </w:p>
    <w:p w14:paraId="6EF7C8C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3、藤本植物</w:t>
      </w:r>
    </w:p>
    <w:p w14:paraId="6C06CAF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依靠缠绕或攀附他物而向上生长的木本或草本植物。</w:t>
      </w:r>
    </w:p>
    <w:p w14:paraId="3C903BA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4、草坪</w:t>
      </w:r>
    </w:p>
    <w:p w14:paraId="25A96BE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草本植物经人工种植或改造后形成的具有观赏效果，并能供人适度活动。</w:t>
      </w:r>
    </w:p>
    <w:p w14:paraId="5CA1591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5、行道树</w:t>
      </w:r>
    </w:p>
    <w:p w14:paraId="3B54EE7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沿道路或公路旁种植的乔木。</w:t>
      </w:r>
    </w:p>
    <w:p w14:paraId="6233FC7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6、地被植物</w:t>
      </w:r>
    </w:p>
    <w:p w14:paraId="2CA2A19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株丛密集、低矮，用于覆盖地面的植物。</w:t>
      </w:r>
    </w:p>
    <w:p w14:paraId="251F182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7、绿篱</w:t>
      </w:r>
    </w:p>
    <w:p w14:paraId="56E0DA6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成行密植，作造型修剪而形成的植物墙。</w:t>
      </w:r>
    </w:p>
    <w:p w14:paraId="2EF3CEC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8、古树名木</w:t>
      </w:r>
    </w:p>
    <w:p w14:paraId="5E501A7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古树泛指树龄在百年以上的树木；名木泛指珍贵、稀有或具有历史、科学、文化价值以及有重要纪念意义的树木，也指历史和现代名人种植的树木，或具有历史事件、传说及神话故事的树木。</w:t>
      </w:r>
    </w:p>
    <w:p w14:paraId="0AF8980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9、修剪</w:t>
      </w:r>
    </w:p>
    <w:p w14:paraId="4C5EBC3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对苗木枝干和根系进行疏剪或短截。</w:t>
      </w:r>
    </w:p>
    <w:p w14:paraId="12BAA62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10、灌溉</w:t>
      </w:r>
    </w:p>
    <w:p w14:paraId="0F12663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为调节土壤温度和土壤水分，满足植物对水分的需要而采取的人工引水浇灌的措施。</w:t>
      </w:r>
    </w:p>
    <w:p w14:paraId="1B9FA6C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11、施肥</w:t>
      </w:r>
    </w:p>
    <w:p w14:paraId="3CE6A91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在植物生长和发育过程中，为补充所需的各种营养元素而施用肥料的措施。</w:t>
      </w:r>
    </w:p>
    <w:p w14:paraId="0D44CED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12、除草</w:t>
      </w:r>
    </w:p>
    <w:p w14:paraId="47EE331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植物生长期间人工或采用除草剂去除目的植物以外杂草的措施。</w:t>
      </w:r>
    </w:p>
    <w:p w14:paraId="2B845C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13、病虫害防治</w:t>
      </w:r>
    </w:p>
    <w:p w14:paraId="7F2742C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对各种植物病害、虫害进行预防和治疗。</w:t>
      </w:r>
    </w:p>
    <w:p w14:paraId="335C769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14、园林植物养护管理</w:t>
      </w:r>
    </w:p>
    <w:p w14:paraId="36E6212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对园林植物采取灌溉、排涝、修剪、防治病虫、防寒、支撑、除草、中耕、施肥等技术措施。</w:t>
      </w:r>
    </w:p>
    <w:p w14:paraId="5B2F9F0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15、黄土不裸露</w:t>
      </w:r>
    </w:p>
    <w:p w14:paraId="26C6630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利用草坪等地被植物或树皮等其它材料，对绿地内和树冠下的裸露土地进行覆盖，以期达到绿化、美化、抑尘和保墒的目的。</w:t>
      </w:r>
    </w:p>
    <w:p w14:paraId="7A37340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园区内各类绿地、树木、花卉、草坪养护管理中应遵循以下原则:</w:t>
      </w:r>
    </w:p>
    <w:p w14:paraId="0A7092A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1、符合植物的生长习性。</w:t>
      </w:r>
    </w:p>
    <w:p w14:paraId="035EEE1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2、符合不同类型绿地的功能和景观要求。</w:t>
      </w:r>
    </w:p>
    <w:p w14:paraId="3E42CF0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3、符合生态环境保护要求。</w:t>
      </w:r>
    </w:p>
    <w:p w14:paraId="5FFA80A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乔木及行道树管理标准：</w:t>
      </w:r>
    </w:p>
    <w:p w14:paraId="4505030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1、树形及观赏特性要求</w:t>
      </w:r>
    </w:p>
    <w:p w14:paraId="4654F15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（1）生长健壮，树冠丰满，主侧枝分布均匀、数量适宜，整型树木造型美观。</w:t>
      </w:r>
    </w:p>
    <w:p w14:paraId="3A95609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（2）树叶生长茂盛，一般条件下无黄叶、焦叶、卷叶。</w:t>
      </w:r>
    </w:p>
    <w:p w14:paraId="04F423D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（3）树干不得有钻蛀性害虫危害，叶上无虫粪、虫网、病斑及被啃食叶片每株低于5%。生长季节无枯黄叶株，落叶在 10%以下。</w:t>
      </w:r>
    </w:p>
    <w:p w14:paraId="5835941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（4）枝干健壮，无明显枯枝死杈。枝条粗壮，无明显的人为损坏。</w:t>
      </w:r>
    </w:p>
    <w:p w14:paraId="55796DE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（5）树木保存率99%以上；及时补栽成活率95%以上。</w:t>
      </w:r>
    </w:p>
    <w:p w14:paraId="344782C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（6）行道树无缺株；新补植树同原有树种、规格、定干高度一致，有支撑措施；行道树及林荫广场树池保持覆盖植物生长良好和硬质覆盖材料完整；树池内无垃圾及杂草。</w:t>
      </w:r>
    </w:p>
    <w:p w14:paraId="1B4E367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64E66A0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（1）大型景观乔木应每两年进行一次开挖深施肥工作，小型乔木应每年一次，肥料选取以有机肥为宜。施肥量应适宜，并且严格按照植物生长特性及需求制定施肥计划。</w:t>
      </w:r>
    </w:p>
    <w:p w14:paraId="08EC81B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（2）根据季节和生长情况适时灌溉排水，保持适当水分。不耐寒植物冬季必须浇灌防冻水，观花乔木加强春季浇水，促进植物开花长叶。对于喜水及浅根系植物、新栽植乔木，每年灌溉次数不得少于10次。</w:t>
      </w:r>
    </w:p>
    <w:p w14:paraId="68FD27E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3、修剪及日常管理</w:t>
      </w:r>
    </w:p>
    <w:p w14:paraId="602EA37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（1）修剪</w:t>
      </w:r>
    </w:p>
    <w:p w14:paraId="0C2AE34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全年修剪至少1次，主要以除枯枝、病虫枝、徒长枝；剪口平整，大型切口必须涂抹防腐药剂；根据植物种类习性制定修剪方法，严禁违规操作。</w:t>
      </w:r>
    </w:p>
    <w:p w14:paraId="680EF34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（2）支柱、扶正</w:t>
      </w:r>
    </w:p>
    <w:p w14:paraId="04B05AA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倾斜度超过10度的树木，须进行扶正，落叶树在休眠期进行，常绿树在萌芽前进行。扶正前应先疏剪部分枝桠或进行短截，确保扶正树木的成活。新栽大树和扶正后的树木应进行支柱。支柱材料在同一路段或区域内应当统一，支柱方式要规范、整齐。支柱着力点应超过树高的1/2以上，支柱材料在着力点与树干接触处应铺垫软质材料，以免损伤树皮。每年雨季前要对支柱进行一次全面检查，对松动的支柱要及时加固， 对嵌入树皮的捆扎物要及时解除。</w:t>
      </w:r>
    </w:p>
    <w:p w14:paraId="5A24888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灌木和花卉管理标准:</w:t>
      </w:r>
    </w:p>
    <w:p w14:paraId="16A46BF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1、观赏特性要求</w:t>
      </w:r>
    </w:p>
    <w:p w14:paraId="19FDF88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（1）灌木</w:t>
      </w:r>
    </w:p>
    <w:p w14:paraId="4D21734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长势良好，枝多叶茂，下部不光秃，无枯枝残叶，植株整齐一致。</w:t>
      </w:r>
    </w:p>
    <w:p w14:paraId="0E622A8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（2）绿地花卉</w:t>
      </w:r>
    </w:p>
    <w:p w14:paraId="7DD8737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时开花，花多色艳。花坛轮廓清晰，无残缺，灌木丛中无垃圾、无病枝枯枝和落叶堆积。花谢后及时将残花残枝剪去，常年开花植物要有目的地培养花枝，延长花期。灌木和花坛整形效果要与周围环境协调，增强园林美化效果。</w:t>
      </w:r>
    </w:p>
    <w:p w14:paraId="667B837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（3）绿篱、色块</w:t>
      </w:r>
    </w:p>
    <w:p w14:paraId="73D1769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植株生长健壮，枝叶繁茂；修剪及时，整齐一致，轮廓清晰，线条流畅，层次分明，无死株断垄现象。</w:t>
      </w:r>
    </w:p>
    <w:p w14:paraId="465254F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（4）露地花卉（街景花卉布置）</w:t>
      </w:r>
    </w:p>
    <w:p w14:paraId="5E0BE7B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生长健壮，整齐一致，无病虫害，无残花败叶。适时开花，适时更换，保证景观效果。</w:t>
      </w:r>
    </w:p>
    <w:p w14:paraId="3B13020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47F0B7D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（1）灌溉</w:t>
      </w:r>
    </w:p>
    <w:p w14:paraId="748B740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要根据植物的生长及开花特性进行合理灌溉。在雨水缺少的季节，适时灌溉。</w:t>
      </w:r>
    </w:p>
    <w:p w14:paraId="5F55D4B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（2）施肥</w:t>
      </w:r>
    </w:p>
    <w:p w14:paraId="494E6B6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一般在每年春、秋季结合除草松土重点施肥 2-3 次。促进花芽分化，花芽分化后要适当追施磷、钾肥，使花多色艳花期长。肥料不能裸露，可采用埋施或水施等不同方法。埋施可先挖穴或开沟，施肥后要回填土、踏实、淋足水，不能裸露。</w:t>
      </w:r>
    </w:p>
    <w:p w14:paraId="564D81C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3、修剪及除杂</w:t>
      </w:r>
    </w:p>
    <w:p w14:paraId="1FDB09A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（1）除杂、松土</w:t>
      </w:r>
    </w:p>
    <w:p w14:paraId="0FA611A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灌木丛周边无杂草，松土深度不小于10厘米，并低于周围表土5厘米。除杂松土时要保护根系，不能伤根及造成根系裸露，更不能造成黄土裸露。</w:t>
      </w:r>
    </w:p>
    <w:p w14:paraId="062D355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（2）修剪</w:t>
      </w:r>
    </w:p>
    <w:p w14:paraId="3A8B2C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灌木和花卉的修剪做到既造型美观又能适时开花，年修剪次数不得少于8次。花灌木和草本花卉在花芽分化前进行修剪，应避免把花芽剪掉；对于大型灌木应根据生长情况组织冬秋季修剪。</w:t>
      </w:r>
    </w:p>
    <w:p w14:paraId="15DD818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绿篱、色块不得出现失修现象，枝条冒顶高度不得高于10cm；灌木球应按照造型要求进行修剪，不得出现失修及冒顶现象其他植物根据不同生态习性及景观要求，及时去除不符合造型的枝条。</w:t>
      </w:r>
    </w:p>
    <w:p w14:paraId="001F535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（3）补植、更换</w:t>
      </w:r>
    </w:p>
    <w:p w14:paraId="21A6269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出现死苗，要在清理当天及时补植。补植回原来的种类并力求规格与原来植株接近，以保证优良的景观效果。补植按照种植规范进行，施足基肥并加强浇水等保养措施， 保证成活率达98％以上。对已呈老化或明显与周围环境不协调的灌木和花卉应及时进行更换，更换品种要事先征得绿化主管部门的批准。</w:t>
      </w:r>
    </w:p>
    <w:p w14:paraId="48281DA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草坪及地被植物管理标准：</w:t>
      </w:r>
    </w:p>
    <w:p w14:paraId="0D81245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1、观赏特性要求</w:t>
      </w:r>
    </w:p>
    <w:p w14:paraId="7A99104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势旺盛，叶片健壮，叶色浓绿，无枯黄叶。修剪及时，高度适宜，无病虫害。覆盖率不低于99%，无明显杂草。草坪绿色期：冷季型草不少于280天，暖季型草不少于260天。坪地平整，无坑洼积水，无秃斑，无板结现象。</w:t>
      </w:r>
    </w:p>
    <w:p w14:paraId="3239400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2、水肥及日常管理</w:t>
      </w:r>
    </w:p>
    <w:p w14:paraId="567A6C4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（1）灌溉</w:t>
      </w:r>
    </w:p>
    <w:p w14:paraId="0F5EF75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根据草坪植物的生长需要加强淋水和施肥，保证水肥充足，施用肥料的方法和用量要科学，防止过量或不均匀引起肥伤。在雨水缺少的季节，适时灌溉。景观草坪春秋季应在每周进行一次浇灌，夏季应在两天进行一次浇灌。保证土壤表层5～7cm范围内土壤墒情良好。在春季应对景观草坪浇灌返青水；冬季必须对景观草坪浇灌防冻水。</w:t>
      </w:r>
    </w:p>
    <w:p w14:paraId="0868EB3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（2）施肥</w:t>
      </w:r>
    </w:p>
    <w:p w14:paraId="2FC3C49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在植物休眠期及返青期间应增加淋水施肥，适当进行根外追肥，使草坪保持优良的长势。</w:t>
      </w:r>
    </w:p>
    <w:p w14:paraId="6EB512BD">
      <w:pPr>
        <w:widowControl/>
        <w:numPr>
          <w:ilvl w:val="0"/>
          <w:numId w:val="1"/>
        </w:num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除草、松土</w:t>
      </w:r>
    </w:p>
    <w:p w14:paraId="1B173BC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及时清除杂草，方法合理彻底。草坪纯度标准为每平方米不超过10株非目的草种。由于植物生长、受践踏、土壤板结等需要松土的，要采用打孔疏松、切割等措施，利于草坪生长，景观草坪每年不少于2 次。</w:t>
      </w:r>
    </w:p>
    <w:p w14:paraId="5E81EAC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（4）补植</w:t>
      </w:r>
    </w:p>
    <w:p w14:paraId="55F034D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对破坏或其它原因引起死亡的草坪植物应及时补植，使草坪保持完整，无裸露地。补植要补与原草坪相同的草种，适当密植，补植后加强保养，保证一个月内覆盖率达98％以上。</w:t>
      </w:r>
    </w:p>
    <w:p w14:paraId="0E259ED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3、植物修剪</w:t>
      </w:r>
    </w:p>
    <w:p w14:paraId="4ACE04B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观花地被植物，须在开花后适当压低，或者结合种子采收，适当修剪；草坪要考虑季节特点和草种的生长发育特性，使草的高度一致，边缘整齐，枯黄叶片要及时清理。草地与路(花)基、色块的分界宽度不超过8厘米；分车绿化带的草坪植物不得超出路基外缘；对于已经老化部分经予以更换。</w:t>
      </w:r>
    </w:p>
    <w:p w14:paraId="72BFE92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藤本、攀缘植物管理标准：</w:t>
      </w:r>
    </w:p>
    <w:p w14:paraId="3574AF3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w:t>
      </w:r>
    </w:p>
    <w:p w14:paraId="65C5F95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植株生长健壮，适时采取相应的牵引、设置网架等技术措施；视攀缘植物生长习性，覆盖率不低于90%；观花的攀缘植物适时开花，花繁色艳。</w:t>
      </w:r>
    </w:p>
    <w:p w14:paraId="10C7772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2、整形修剪</w:t>
      </w:r>
    </w:p>
    <w:p w14:paraId="4A0F309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植物生理特性进行牵引和翻蔓；严格按照自然生长规律对植物进行修剪整形；及时去除老化植株；藤本植物的修剪应以促进分枝为主，并剪除徒长枝和下垂枝；多年生的藤本植物应定期翻蔓，清除枯枝，疏删老弱藤蔓；每年常规修剪1次，每隔2-3年应理藤1次，理顺分布方向，使叶蔓分布均匀、厚度相等，并应依不同类型及生长状况及时牵引。</w:t>
      </w:r>
    </w:p>
    <w:p w14:paraId="116C6F5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3、水肥管理</w:t>
      </w:r>
    </w:p>
    <w:p w14:paraId="325CB75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（1）灌溉</w:t>
      </w:r>
    </w:p>
    <w:p w14:paraId="3B4C848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要根据植物的生长及开花特性进行合理灌溉。在雨水缺少的季节，适时灌溉。</w:t>
      </w:r>
    </w:p>
    <w:p w14:paraId="64B7968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（2）施肥</w:t>
      </w:r>
    </w:p>
    <w:p w14:paraId="386148E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春、秋季结合除草松土重点施肥2-3次。促进花芽分化，花芽分化后要适当追施磷、钾肥，使花多色艳花期长。肥料不能裸露，可采用埋施或水施等不同方法。埋施可先挖穴或开沟，施肥后要回填土、踏实、淋足水，不能裸露。</w:t>
      </w:r>
    </w:p>
    <w:p w14:paraId="3CE84AD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水生植物管理标准：</w:t>
      </w:r>
    </w:p>
    <w:p w14:paraId="3CC030F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w:t>
      </w:r>
    </w:p>
    <w:p w14:paraId="3A3223C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株生长正常，无大量缺失，植物造型优美，无病虫植物，对死亡植株清理及时，无倒伏现象。水面上水生植物的覆盖度应小于水域面积的30％，漂浮植物或浮水植物应进行围合，固定其位置和范围。因繁殖而密度过大时，应剔除部分老弱植株。</w:t>
      </w:r>
    </w:p>
    <w:p w14:paraId="7D1AFBE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3A18069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于冬季对栽植区进行有机肥料增施，严禁随意使用化肥。沿岸或挺水植物，每年至少应施肥1次。施肥应以腐熟的有机肥为主，应用可分解的纸袋装肥或用泥做成团施入泥中定期对水域进行换水，防止水质变差影响景观效果。在水生植物群落营造前期和幼苗期，应加强人工维护，去除该群落中生长的其他品种的水生植物和杂草。</w:t>
      </w:r>
    </w:p>
    <w:p w14:paraId="1500DD4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3、日常管理</w:t>
      </w:r>
    </w:p>
    <w:p w14:paraId="71B693B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水生植物应随着立叶或浮叶的生长调节水位。为避免蚊虫孳生或水质恶化，当用水发生混浊时，即必须换水，夏季则须增加换水次数。</w:t>
      </w:r>
    </w:p>
    <w:p w14:paraId="4BCEF89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竹类管理标准：</w:t>
      </w:r>
    </w:p>
    <w:p w14:paraId="6C8A364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1、景观特性</w:t>
      </w:r>
    </w:p>
    <w:p w14:paraId="0796431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生长正常，竹干疏密有间，无病虫害。</w:t>
      </w:r>
    </w:p>
    <w:p w14:paraId="41B36D1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33511D1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竹类浇水要抓住关键季节，春季出笋前要浇足催笋水，5、6月要浇拔节水，夏季雨水充沛可不浇或少浇，秋季浇孕笋水，冬季过于干旱的可适当喷水。施肥以有机肥为主，时间以11-12月为宜。</w:t>
      </w:r>
    </w:p>
    <w:p w14:paraId="5B7BBA5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3、日常管理及其他</w:t>
      </w:r>
    </w:p>
    <w:p w14:paraId="733841B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竹林要每年培土，厚度以5厘米为宜，时间利用冬季。及时做好病虫害的防治工作，加强抚育管理，合理砍伐，使林内通风透光，及早砍除病竹烧毁。</w:t>
      </w:r>
    </w:p>
    <w:p w14:paraId="0A28904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植物保护及其它工作：</w:t>
      </w:r>
    </w:p>
    <w:p w14:paraId="24755FF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1、工作原则</w:t>
      </w:r>
    </w:p>
    <w:p w14:paraId="56DD329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日常精心养护，增强植物抗病虫害能力。要及时做好病虫害的防治工作，坚持预防为主，防治结合的植保方针。早发现早处理，采取综合防治、化学防治、物理人工防治和生物防治等方法防止病虫害蔓延和影响植物生长。尽量采用生物防治的办法，以减少对环境的污染。用化学方法防治时，喷药一般要在晚上进行；药物品种、药剂用量及对环境的影响，要符合环保的要求和标准。同时严格按照工作流程进行， 严禁无防护措施进行化学防治操作。</w:t>
      </w:r>
    </w:p>
    <w:p w14:paraId="57990C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2、作业要求</w:t>
      </w:r>
    </w:p>
    <w:p w14:paraId="4D6632A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（1）植物枝、干、叶均无明显病虫害危害痕迹。</w:t>
      </w:r>
    </w:p>
    <w:p w14:paraId="6F6EB0A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（2）根据测报制定长期及短期防治方案。及时、准确、彻底防治病虫害发生。</w:t>
      </w:r>
    </w:p>
    <w:p w14:paraId="304EECC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（3）全年病虫发生率控制在5％以下；不得出现病虫害大规模爆发现象。</w:t>
      </w:r>
    </w:p>
    <w:p w14:paraId="4A6C823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（4）严禁出现因管理不善而造成的生理性病害（例如：缺水或受涝造成的植物枯死；缺肥或施肥不当造成的生理性黄叶、落叶、小叶等；农药药害造成的枯叶、黄叶、落叶）。</w:t>
      </w:r>
    </w:p>
    <w:p w14:paraId="5A15032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（5）对于不耐寒植物必须进行必要的防护措施。</w:t>
      </w:r>
    </w:p>
    <w:p w14:paraId="2E837F3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（6）禁止使用高毒农药，药剂配比必须符合规范。喷药时应该设立警示标志，道路绿地警示标志设立密度应在50米-100米范围为宜。</w:t>
      </w:r>
    </w:p>
    <w:p w14:paraId="174D1AA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（7）冬季对于植物上积雪应立即清除；对于倒伏树木应加以支撑。</w:t>
      </w:r>
    </w:p>
    <w:p w14:paraId="7A7D515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（8）日常养护人员必须身着工装，并且严格按安全生产规范进行操作。日常养护操作过程中，应按照安全操作要求配备警示及安全防护设备。</w:t>
      </w:r>
    </w:p>
    <w:p w14:paraId="3BADFEE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（9）园内各单位应有科学合理的养护计划，并于每周的周五；每月的28号；每年12月5号前；向主管单位报送详细的养护工作计划及总结。</w:t>
      </w:r>
    </w:p>
    <w:p w14:paraId="15F8BE2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（10）出现因为外力造成的植物损伤、倒伏等现象，管护单位应及时发现， 及时处理，不得拖延。</w:t>
      </w:r>
    </w:p>
    <w:p w14:paraId="2F3E7C9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绿地设施维护要求：</w:t>
      </w:r>
    </w:p>
    <w:p w14:paraId="0D3AA73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绿地设施包括喷灌、照明、音响系统和园路、护栏、坐凳、喷泉、雕塑、移动花钵等景观设施。</w:t>
      </w:r>
    </w:p>
    <w:p w14:paraId="3624500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1、喷灌设施</w:t>
      </w:r>
    </w:p>
    <w:p w14:paraId="10EE56B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保护绿化供水设施，保持喷洒正常、开关灵活、管道无漏水。</w:t>
      </w:r>
    </w:p>
    <w:p w14:paraId="477DBFF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2、园林照明、音响设施</w:t>
      </w:r>
    </w:p>
    <w:p w14:paraId="7F3E366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绿地上的灯光、音响，要经常进行检修，发现线路破损、灯泡烧毁、灯罩破损、音箱损坏的要及时进行修复、更换，保持设备正常运作。</w:t>
      </w:r>
    </w:p>
    <w:p w14:paraId="54D72C1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3、水池喷泉</w:t>
      </w:r>
    </w:p>
    <w:p w14:paraId="345AEF0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保持水面及水池内外清洁，水质良好，水量适度，喷泉运作正常。池壁美观，不漏水，设施完好无损；要求及时清除杂物，定时清洗水池。</w:t>
      </w:r>
    </w:p>
    <w:p w14:paraId="7361CED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4、护栏</w:t>
      </w:r>
    </w:p>
    <w:p w14:paraId="3F4F400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护栏要保持整洁完整,定期清理，不能有倾斜的现象，被</w:t>
      </w:r>
      <w:r>
        <w:rPr>
          <w:rFonts w:hint="eastAsia" w:ascii="宋体" w:hAnsi="宋体" w:eastAsia="宋体" w:cs="宋体"/>
          <w:color w:val="auto"/>
          <w:sz w:val="24"/>
          <w:szCs w:val="24"/>
          <w:highlight w:val="none"/>
          <w:lang w:val="en-US" w:eastAsia="zh-CN"/>
        </w:rPr>
        <w:t>损坏</w:t>
      </w:r>
      <w:r>
        <w:rPr>
          <w:rFonts w:hint="eastAsia" w:ascii="宋体" w:hAnsi="宋体" w:eastAsia="宋体" w:cs="宋体"/>
          <w:color w:val="auto"/>
          <w:sz w:val="24"/>
          <w:szCs w:val="24"/>
          <w:highlight w:val="none"/>
        </w:rPr>
        <w:t>的要及时修补。遇到节日庆典和大型活动应派专人定时定点进行清洗和维护.</w:t>
      </w:r>
    </w:p>
    <w:p w14:paraId="7887AE8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5、园路</w:t>
      </w:r>
    </w:p>
    <w:p w14:paraId="4069C94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绿地内园路要保持清洁、美观，完好无损。要及时清除路面垃圾杂物，修补破损并保持完好。</w:t>
      </w:r>
    </w:p>
    <w:p w14:paraId="7D29EBC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6、园林雕塑</w:t>
      </w:r>
    </w:p>
    <w:p w14:paraId="0D12983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园林雕塑要保持整洁、美观，完好无损，对其上的乱涂、乱画、乱张贴要及时清理干净，以增强园林美化效果。</w:t>
      </w:r>
    </w:p>
    <w:p w14:paraId="0953120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7、移动花钵</w:t>
      </w:r>
    </w:p>
    <w:p w14:paraId="0CEA298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花钵内的植物生长旺盛，株形优美，叶片、叶色正常，无病虫害，开花植物要及时清理残花和残枝。花钵表面整洁无垃圾和杂物，钵体无乱划、乱画等现象。</w:t>
      </w:r>
    </w:p>
    <w:p w14:paraId="4BD510F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第十二条 绿地保护工作要求：</w:t>
      </w:r>
    </w:p>
    <w:p w14:paraId="0596187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依法严格执行绿化管理条例，加强人员巡查，规划线内绿地不被侵占，绿地完整。保护绿地内的花草树木不受损害，对任何侵占和破坏行为要加以制止并及时报告绿化管理部门。</w:t>
      </w:r>
    </w:p>
    <w:p w14:paraId="1D99D1D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十三、西安浐灞国际港绿化养护工作打分标准：</w:t>
      </w:r>
    </w:p>
    <w:p w14:paraId="2C507A2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西安浐灞国际港绿地养护管理工作月度考核标准表》进行打分，绿化养护管理考核由考核评分小组按月以100分为满分进行计扣，对全部考核组成员评分按照加权平均后计算最终平均分值。得分95以上属于合理扣分范围，不扣除当月绿化养护费用；95-90分之间，每1分扣除当月绿化养护费用金额100元；90-85分之间，每1分扣除当月绿化养护费用金额200元；85-75分之间，每1分扣除当月绿化养护费用金额300元；低于75分以下将按违约考虑，按所签订绿化养护合同总金额的10%予以扣除并处以警告。各绿化养护单位得分情况每月定期以通知形式公布，每季度进行汇总评比。</w:t>
      </w:r>
    </w:p>
    <w:p w14:paraId="1C0434BA">
      <w:pPr>
        <w:widowControl/>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附件三：本项目的人员配置情况表</w:t>
      </w:r>
    </w:p>
    <w:tbl>
      <w:tblPr>
        <w:tblStyle w:val="5"/>
        <w:tblW w:w="9285" w:type="dxa"/>
        <w:tblInd w:w="65" w:type="dxa"/>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13"/>
        <w:gridCol w:w="1086"/>
        <w:gridCol w:w="748"/>
        <w:gridCol w:w="750"/>
        <w:gridCol w:w="748"/>
        <w:gridCol w:w="750"/>
        <w:gridCol w:w="1488"/>
        <w:gridCol w:w="1671"/>
        <w:gridCol w:w="1131"/>
      </w:tblGrid>
      <w:tr w14:paraId="1FCB4C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913" w:type="dxa"/>
            <w:noWrap w:val="0"/>
            <w:vAlign w:val="center"/>
          </w:tcPr>
          <w:p w14:paraId="642A9BC7">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086" w:type="dxa"/>
            <w:noWrap w:val="0"/>
            <w:vAlign w:val="center"/>
          </w:tcPr>
          <w:p w14:paraId="33F491BF">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姓名</w:t>
            </w:r>
          </w:p>
        </w:tc>
        <w:tc>
          <w:tcPr>
            <w:tcW w:w="748" w:type="dxa"/>
            <w:noWrap w:val="0"/>
            <w:vAlign w:val="center"/>
          </w:tcPr>
          <w:p w14:paraId="71ADA083">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年龄</w:t>
            </w:r>
          </w:p>
        </w:tc>
        <w:tc>
          <w:tcPr>
            <w:tcW w:w="750" w:type="dxa"/>
            <w:noWrap w:val="0"/>
            <w:vAlign w:val="center"/>
          </w:tcPr>
          <w:p w14:paraId="46811C47">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性别</w:t>
            </w:r>
          </w:p>
        </w:tc>
        <w:tc>
          <w:tcPr>
            <w:tcW w:w="748" w:type="dxa"/>
            <w:noWrap w:val="0"/>
            <w:vAlign w:val="center"/>
          </w:tcPr>
          <w:p w14:paraId="19E12EAF">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学历</w:t>
            </w:r>
          </w:p>
        </w:tc>
        <w:tc>
          <w:tcPr>
            <w:tcW w:w="750" w:type="dxa"/>
            <w:noWrap w:val="0"/>
            <w:vAlign w:val="center"/>
          </w:tcPr>
          <w:p w14:paraId="6F676079">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专业</w:t>
            </w:r>
          </w:p>
        </w:tc>
        <w:tc>
          <w:tcPr>
            <w:tcW w:w="1488" w:type="dxa"/>
            <w:noWrap w:val="0"/>
            <w:vAlign w:val="center"/>
          </w:tcPr>
          <w:p w14:paraId="7ED4E277">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职称 /职务</w:t>
            </w:r>
          </w:p>
        </w:tc>
        <w:tc>
          <w:tcPr>
            <w:tcW w:w="1671" w:type="dxa"/>
            <w:noWrap w:val="0"/>
            <w:vAlign w:val="center"/>
          </w:tcPr>
          <w:p w14:paraId="193CD1B6">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拟承担职务</w:t>
            </w:r>
          </w:p>
        </w:tc>
        <w:tc>
          <w:tcPr>
            <w:tcW w:w="1131" w:type="dxa"/>
            <w:noWrap w:val="0"/>
            <w:vAlign w:val="center"/>
          </w:tcPr>
          <w:p w14:paraId="4A57185E">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5DB032E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5D0EFDC8">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1D194D8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07802A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16FC77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C9D1008">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FB6BA6C">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653DE0D">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B8403F2">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75C2993">
            <w:pPr>
              <w:spacing w:line="360" w:lineRule="auto"/>
              <w:jc w:val="center"/>
              <w:outlineLvl w:val="9"/>
              <w:rPr>
                <w:rFonts w:hint="eastAsia" w:ascii="宋体" w:hAnsi="宋体" w:eastAsia="宋体" w:cs="宋体"/>
                <w:color w:val="auto"/>
                <w:sz w:val="24"/>
                <w:szCs w:val="24"/>
                <w:highlight w:val="none"/>
              </w:rPr>
            </w:pPr>
          </w:p>
        </w:tc>
      </w:tr>
      <w:tr w14:paraId="5499616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913" w:type="dxa"/>
            <w:noWrap w:val="0"/>
            <w:vAlign w:val="center"/>
          </w:tcPr>
          <w:p w14:paraId="07809EEB">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42E95ECC">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8EF615F">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23FC3C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3784AB5">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13B7AE4">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422A6DC7">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75BD8310">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0411E2D5">
            <w:pPr>
              <w:spacing w:line="360" w:lineRule="auto"/>
              <w:jc w:val="center"/>
              <w:outlineLvl w:val="9"/>
              <w:rPr>
                <w:rFonts w:hint="eastAsia" w:ascii="宋体" w:hAnsi="宋体" w:eastAsia="宋体" w:cs="宋体"/>
                <w:color w:val="auto"/>
                <w:sz w:val="24"/>
                <w:szCs w:val="24"/>
                <w:highlight w:val="none"/>
              </w:rPr>
            </w:pPr>
          </w:p>
        </w:tc>
      </w:tr>
      <w:tr w14:paraId="52F4E7B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3" w:type="dxa"/>
            <w:noWrap w:val="0"/>
            <w:vAlign w:val="center"/>
          </w:tcPr>
          <w:p w14:paraId="4B43AB3B">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F8D10BA">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141D592">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0408F45">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78935A0">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17A415A">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7D3973E">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86BAA29">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0672D5BA">
            <w:pPr>
              <w:spacing w:line="360" w:lineRule="auto"/>
              <w:jc w:val="center"/>
              <w:outlineLvl w:val="9"/>
              <w:rPr>
                <w:rFonts w:hint="eastAsia" w:ascii="宋体" w:hAnsi="宋体" w:eastAsia="宋体" w:cs="宋体"/>
                <w:color w:val="auto"/>
                <w:sz w:val="24"/>
                <w:szCs w:val="24"/>
                <w:highlight w:val="none"/>
              </w:rPr>
            </w:pPr>
          </w:p>
        </w:tc>
      </w:tr>
      <w:tr w14:paraId="4CCD8D4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14C3AC50">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420761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CC814DC">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476198E">
            <w:pP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8D7639D">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1DB813C">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78DE6178">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B43E724">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67FE28F">
            <w:pPr>
              <w:spacing w:line="360" w:lineRule="auto"/>
              <w:jc w:val="center"/>
              <w:outlineLvl w:val="9"/>
              <w:rPr>
                <w:rFonts w:hint="eastAsia" w:ascii="宋体" w:hAnsi="宋体" w:eastAsia="宋体" w:cs="宋体"/>
                <w:color w:val="auto"/>
                <w:sz w:val="24"/>
                <w:szCs w:val="24"/>
                <w:highlight w:val="none"/>
              </w:rPr>
            </w:pPr>
          </w:p>
        </w:tc>
      </w:tr>
      <w:tr w14:paraId="2A64CA9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33F75FA6">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1454EED3">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6D868AE">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D04EA68">
            <w:pP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A255C0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3DEBC47">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36F6A872">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8207A2A">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395B5CE">
            <w:pPr>
              <w:spacing w:line="360" w:lineRule="auto"/>
              <w:jc w:val="center"/>
              <w:outlineLvl w:val="9"/>
              <w:rPr>
                <w:rFonts w:hint="eastAsia" w:ascii="宋体" w:hAnsi="宋体" w:eastAsia="宋体" w:cs="宋体"/>
                <w:color w:val="auto"/>
                <w:sz w:val="24"/>
                <w:szCs w:val="24"/>
                <w:highlight w:val="none"/>
              </w:rPr>
            </w:pPr>
          </w:p>
        </w:tc>
      </w:tr>
      <w:tr w14:paraId="0656982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4DF51FE5">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08B7CA52">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D660E3D">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78D72B9">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9E6AFED">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BC8434C">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655162F0">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E7098F8">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1743345">
            <w:pPr>
              <w:spacing w:line="360" w:lineRule="auto"/>
              <w:jc w:val="center"/>
              <w:outlineLvl w:val="9"/>
              <w:rPr>
                <w:rFonts w:hint="eastAsia" w:ascii="宋体" w:hAnsi="宋体" w:eastAsia="宋体" w:cs="宋体"/>
                <w:color w:val="auto"/>
                <w:sz w:val="24"/>
                <w:szCs w:val="24"/>
                <w:highlight w:val="none"/>
              </w:rPr>
            </w:pPr>
          </w:p>
        </w:tc>
      </w:tr>
      <w:tr w14:paraId="0C88C8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3FFC43EF">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A20A3E3">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498363D">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6EE8B15">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342320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EAE4C21">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2483C58">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645D10BD">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45A89C79">
            <w:pPr>
              <w:spacing w:line="360" w:lineRule="auto"/>
              <w:jc w:val="center"/>
              <w:outlineLvl w:val="9"/>
              <w:rPr>
                <w:rFonts w:hint="eastAsia" w:ascii="宋体" w:hAnsi="宋体" w:eastAsia="宋体" w:cs="宋体"/>
                <w:color w:val="auto"/>
                <w:sz w:val="24"/>
                <w:szCs w:val="24"/>
                <w:highlight w:val="none"/>
              </w:rPr>
            </w:pPr>
          </w:p>
        </w:tc>
      </w:tr>
      <w:tr w14:paraId="446E23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3627A60D">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1F66DBF">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1E2AC06">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E295A62">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CEDE95F">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755A4DE">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3F12434">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78083E3">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24525C3E">
            <w:pPr>
              <w:spacing w:line="360" w:lineRule="auto"/>
              <w:jc w:val="center"/>
              <w:outlineLvl w:val="9"/>
              <w:rPr>
                <w:rFonts w:hint="eastAsia" w:ascii="宋体" w:hAnsi="宋体" w:eastAsia="宋体" w:cs="宋体"/>
                <w:color w:val="auto"/>
                <w:sz w:val="24"/>
                <w:szCs w:val="24"/>
                <w:highlight w:val="none"/>
              </w:rPr>
            </w:pPr>
          </w:p>
        </w:tc>
      </w:tr>
      <w:tr w14:paraId="62A57F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53757AE9">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D09666E">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B2BF772">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8D9CC66">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37F4F45">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6BF46EA">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4F3DA6A">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F8558DB">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6EC68C8">
            <w:pPr>
              <w:spacing w:line="360" w:lineRule="auto"/>
              <w:jc w:val="center"/>
              <w:outlineLvl w:val="9"/>
              <w:rPr>
                <w:rFonts w:hint="eastAsia" w:ascii="宋体" w:hAnsi="宋体" w:eastAsia="宋体" w:cs="宋体"/>
                <w:color w:val="auto"/>
                <w:sz w:val="24"/>
                <w:szCs w:val="24"/>
                <w:highlight w:val="none"/>
              </w:rPr>
            </w:pPr>
          </w:p>
        </w:tc>
      </w:tr>
    </w:tbl>
    <w:p w14:paraId="68EE26A6">
      <w:pPr>
        <w:widowControl/>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附件四：投入机械设备情况表</w:t>
      </w:r>
    </w:p>
    <w:tbl>
      <w:tblPr>
        <w:tblStyle w:val="5"/>
        <w:tblW w:w="9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943"/>
        <w:gridCol w:w="1276"/>
        <w:gridCol w:w="850"/>
        <w:gridCol w:w="1841"/>
        <w:gridCol w:w="1136"/>
        <w:gridCol w:w="1686"/>
      </w:tblGrid>
      <w:tr w14:paraId="1AD8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449" w:type="dxa"/>
            <w:gridSpan w:val="7"/>
            <w:noWrap w:val="0"/>
            <w:vAlign w:val="center"/>
          </w:tcPr>
          <w:p w14:paraId="21A699E9">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1.拟投入本项目的洒水车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清洗车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2D82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17" w:type="dxa"/>
            <w:noWrap w:val="0"/>
            <w:vAlign w:val="center"/>
          </w:tcPr>
          <w:p w14:paraId="2D7B8AF2">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5716EDC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5D631A4B">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13BF318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6DA8D495">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4A4A478C">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5AE7F12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B776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17" w:type="dxa"/>
            <w:noWrap w:val="0"/>
            <w:vAlign w:val="center"/>
          </w:tcPr>
          <w:p w14:paraId="76748EA3">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12F8C76F">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2B0F6D1E">
            <w:pPr>
              <w:spacing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6ABEF971">
            <w:pPr>
              <w:spacing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50A79F5">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4FF664C5">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20D02B3">
            <w:pPr>
              <w:spacing w:line="360" w:lineRule="auto"/>
              <w:outlineLvl w:val="9"/>
              <w:rPr>
                <w:rFonts w:hint="eastAsia" w:ascii="宋体" w:hAnsi="宋体" w:eastAsia="宋体" w:cs="宋体"/>
                <w:color w:val="auto"/>
                <w:sz w:val="24"/>
                <w:szCs w:val="24"/>
                <w:highlight w:val="none"/>
              </w:rPr>
            </w:pPr>
          </w:p>
        </w:tc>
      </w:tr>
      <w:tr w14:paraId="2568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17" w:type="dxa"/>
            <w:noWrap w:val="0"/>
            <w:vAlign w:val="center"/>
          </w:tcPr>
          <w:p w14:paraId="04EAD89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171E31B9">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4425CC38">
            <w:pPr>
              <w:spacing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5F8746A7">
            <w:pPr>
              <w:spacing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2F71A33">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4D1A7998">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75155A79">
            <w:pPr>
              <w:spacing w:line="360" w:lineRule="auto"/>
              <w:outlineLvl w:val="9"/>
              <w:rPr>
                <w:rFonts w:hint="eastAsia" w:ascii="宋体" w:hAnsi="宋体" w:eastAsia="宋体" w:cs="宋体"/>
                <w:color w:val="auto"/>
                <w:sz w:val="24"/>
                <w:szCs w:val="24"/>
                <w:highlight w:val="none"/>
              </w:rPr>
            </w:pPr>
          </w:p>
        </w:tc>
      </w:tr>
      <w:tr w14:paraId="7151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449" w:type="dxa"/>
            <w:gridSpan w:val="7"/>
            <w:noWrap w:val="0"/>
            <w:vAlign w:val="center"/>
          </w:tcPr>
          <w:p w14:paraId="1AAC4BB8">
            <w:pPr>
              <w:numPr>
                <w:ilvl w:val="0"/>
                <w:numId w:val="0"/>
              </w:numPr>
              <w:spacing w:line="360" w:lineRule="auto"/>
              <w:outlineLvl w:val="9"/>
              <w:rPr>
                <w:rFonts w:hint="eastAsia"/>
                <w:highlight w:val="none"/>
              </w:rPr>
            </w:pPr>
            <w:r>
              <w:rPr>
                <w:rFonts w:hint="eastAsia" w:ascii="宋体" w:hAnsi="宋体" w:eastAsia="宋体" w:cs="宋体"/>
                <w:color w:val="auto"/>
                <w:sz w:val="24"/>
                <w:szCs w:val="24"/>
                <w:highlight w:val="none"/>
                <w:shd w:val="clear" w:fill="FFFFFF"/>
                <w:lang w:val="en-US" w:eastAsia="zh-CN" w:bidi="ar-SA"/>
              </w:rPr>
              <w:t>2.</w:t>
            </w:r>
            <w:r>
              <w:rPr>
                <w:rFonts w:hint="eastAsia" w:ascii="宋体" w:hAnsi="宋体" w:eastAsia="宋体" w:cs="宋体"/>
                <w:color w:val="auto"/>
                <w:sz w:val="24"/>
                <w:szCs w:val="24"/>
                <w:highlight w:val="none"/>
              </w:rPr>
              <w:t>拟投入本项目的</w:t>
            </w:r>
            <w:r>
              <w:rPr>
                <w:rFonts w:hint="eastAsia" w:ascii="宋体" w:hAnsi="宋体" w:eastAsia="宋体" w:cs="宋体"/>
                <w:color w:val="auto"/>
                <w:sz w:val="24"/>
                <w:szCs w:val="24"/>
                <w:highlight w:val="none"/>
                <w:lang w:val="en-US" w:eastAsia="zh-CN"/>
              </w:rPr>
              <w:t>病虫害打药机具、</w:t>
            </w:r>
            <w:r>
              <w:rPr>
                <w:rFonts w:hint="eastAsia" w:ascii="宋体" w:hAnsi="宋体" w:eastAsia="宋体" w:cs="宋体"/>
                <w:color w:val="auto"/>
                <w:sz w:val="24"/>
                <w:szCs w:val="24"/>
                <w:highlight w:val="none"/>
              </w:rPr>
              <w:t>绿篱机、</w:t>
            </w:r>
            <w:r>
              <w:rPr>
                <w:rFonts w:hint="eastAsia" w:ascii="宋体" w:hAnsi="宋体" w:eastAsia="宋体" w:cs="宋体"/>
                <w:color w:val="auto"/>
                <w:sz w:val="24"/>
                <w:szCs w:val="24"/>
                <w:highlight w:val="none"/>
                <w:shd w:val="clear" w:color="auto" w:fill="FFFFFF"/>
              </w:rPr>
              <w:t>油锯、打药机、</w:t>
            </w:r>
            <w:r>
              <w:rPr>
                <w:rFonts w:hint="eastAsia" w:ascii="宋体" w:hAnsi="宋体" w:eastAsia="宋体" w:cs="宋体"/>
                <w:color w:val="auto"/>
                <w:sz w:val="24"/>
                <w:szCs w:val="24"/>
                <w:highlight w:val="none"/>
                <w:shd w:val="clear" w:color="auto" w:fill="FFFFFF"/>
                <w:lang w:val="en-US" w:eastAsia="zh-CN"/>
              </w:rPr>
              <w:t>树枝粉碎机、</w:t>
            </w:r>
            <w:r>
              <w:rPr>
                <w:rFonts w:hint="eastAsia" w:ascii="宋体" w:hAnsi="宋体" w:eastAsia="宋体" w:cs="宋体"/>
                <w:spacing w:val="0"/>
                <w:sz w:val="24"/>
                <w:szCs w:val="24"/>
                <w:highlight w:val="none"/>
                <w:lang w:val="en-US" w:eastAsia="zh-CN" w:bidi="ar-SA"/>
              </w:rPr>
              <w:t>割草机、高枝剪/高枝锯、落叶吹风机、</w:t>
            </w:r>
            <w:r>
              <w:rPr>
                <w:rFonts w:hint="eastAsia" w:ascii="宋体" w:hAnsi="宋体" w:eastAsia="宋体" w:cs="宋体"/>
                <w:color w:val="auto"/>
                <w:sz w:val="24"/>
                <w:szCs w:val="24"/>
                <w:highlight w:val="none"/>
                <w:shd w:val="clear" w:color="auto" w:fill="FFFFFF"/>
              </w:rPr>
              <w:t>割灌机</w:t>
            </w:r>
            <w:r>
              <w:rPr>
                <w:rFonts w:hint="eastAsia" w:ascii="宋体" w:hAnsi="宋体" w:eastAsia="宋体" w:cs="宋体"/>
                <w:color w:val="auto"/>
                <w:sz w:val="24"/>
                <w:szCs w:val="24"/>
                <w:highlight w:val="none"/>
                <w:shd w:val="clear" w:color="auto" w:fill="FFFFFF"/>
                <w:lang w:val="en-US" w:eastAsia="zh-CN"/>
              </w:rPr>
              <w:t>等</w:t>
            </w:r>
            <w:r>
              <w:rPr>
                <w:rFonts w:hint="eastAsia" w:ascii="宋体" w:hAnsi="宋体" w:eastAsia="宋体" w:cs="宋体"/>
                <w:color w:val="auto"/>
                <w:sz w:val="24"/>
                <w:szCs w:val="24"/>
                <w:highlight w:val="none"/>
                <w:shd w:val="clear" w:color="auto" w:fill="FFFFFF"/>
              </w:rPr>
              <w:t>；</w:t>
            </w:r>
          </w:p>
        </w:tc>
      </w:tr>
      <w:tr w14:paraId="4DE5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17" w:type="dxa"/>
            <w:noWrap w:val="0"/>
            <w:vAlign w:val="center"/>
          </w:tcPr>
          <w:p w14:paraId="7773930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3E11DA6F">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719F92F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54C7A708">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7F18A0D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601A0CDF">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7C159B07">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48B9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3196CE48">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71F11969">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0E30E4BE">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336BE8CE">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0B03A1C4">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1F26B335">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5EDF4981">
            <w:pPr>
              <w:spacing w:line="360" w:lineRule="auto"/>
              <w:jc w:val="center"/>
              <w:outlineLvl w:val="9"/>
              <w:rPr>
                <w:rFonts w:hint="eastAsia" w:ascii="宋体" w:hAnsi="宋体" w:eastAsia="宋体" w:cs="宋体"/>
                <w:color w:val="auto"/>
                <w:sz w:val="24"/>
                <w:szCs w:val="24"/>
                <w:highlight w:val="none"/>
              </w:rPr>
            </w:pPr>
          </w:p>
        </w:tc>
      </w:tr>
      <w:tr w14:paraId="68A4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44CF0C7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3EF341F5">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74A8A7BF">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39A9CB5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3E98D37">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626CB99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17498669">
            <w:pPr>
              <w:spacing w:line="360" w:lineRule="auto"/>
              <w:jc w:val="center"/>
              <w:outlineLvl w:val="9"/>
              <w:rPr>
                <w:rFonts w:hint="eastAsia" w:ascii="宋体" w:hAnsi="宋体" w:eastAsia="宋体" w:cs="宋体"/>
                <w:color w:val="auto"/>
                <w:sz w:val="24"/>
                <w:szCs w:val="24"/>
                <w:highlight w:val="none"/>
              </w:rPr>
            </w:pPr>
          </w:p>
        </w:tc>
      </w:tr>
      <w:tr w14:paraId="0632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17" w:type="dxa"/>
            <w:noWrap w:val="0"/>
            <w:vAlign w:val="center"/>
          </w:tcPr>
          <w:p w14:paraId="7BE9356D">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943" w:type="dxa"/>
            <w:noWrap w:val="0"/>
            <w:vAlign w:val="center"/>
          </w:tcPr>
          <w:p w14:paraId="0B790669">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79E5A7C0">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027FA06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589EE46">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5DDC1D35">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2D74A71">
            <w:pPr>
              <w:spacing w:line="360" w:lineRule="auto"/>
              <w:jc w:val="center"/>
              <w:outlineLvl w:val="9"/>
              <w:rPr>
                <w:rFonts w:hint="eastAsia" w:ascii="宋体" w:hAnsi="宋体" w:eastAsia="宋体" w:cs="宋体"/>
                <w:color w:val="auto"/>
                <w:sz w:val="24"/>
                <w:szCs w:val="24"/>
                <w:highlight w:val="none"/>
              </w:rPr>
            </w:pPr>
          </w:p>
        </w:tc>
      </w:tr>
      <w:tr w14:paraId="01CE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17" w:type="dxa"/>
            <w:noWrap w:val="0"/>
            <w:vAlign w:val="center"/>
          </w:tcPr>
          <w:p w14:paraId="5857E81F">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943" w:type="dxa"/>
            <w:noWrap w:val="0"/>
            <w:vAlign w:val="center"/>
          </w:tcPr>
          <w:p w14:paraId="00ED5E6D">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73EAC2D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7ED24FB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A4E1CE5">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3B2DF36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F936E39">
            <w:pPr>
              <w:spacing w:line="360" w:lineRule="auto"/>
              <w:jc w:val="center"/>
              <w:outlineLvl w:val="9"/>
              <w:rPr>
                <w:rFonts w:hint="eastAsia" w:ascii="宋体" w:hAnsi="宋体" w:eastAsia="宋体" w:cs="宋体"/>
                <w:color w:val="auto"/>
                <w:sz w:val="24"/>
                <w:szCs w:val="24"/>
                <w:highlight w:val="none"/>
              </w:rPr>
            </w:pPr>
          </w:p>
        </w:tc>
      </w:tr>
      <w:tr w14:paraId="0372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17" w:type="dxa"/>
            <w:noWrap w:val="0"/>
            <w:vAlign w:val="center"/>
          </w:tcPr>
          <w:p w14:paraId="473D557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943" w:type="dxa"/>
            <w:noWrap w:val="0"/>
            <w:vAlign w:val="center"/>
          </w:tcPr>
          <w:p w14:paraId="148E6CB2">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46836E6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48AF48BC">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2DD1A1B3">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239669AC">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044694C8">
            <w:pPr>
              <w:spacing w:line="360" w:lineRule="auto"/>
              <w:jc w:val="center"/>
              <w:outlineLvl w:val="9"/>
              <w:rPr>
                <w:rFonts w:hint="eastAsia" w:ascii="宋体" w:hAnsi="宋体" w:eastAsia="宋体" w:cs="宋体"/>
                <w:color w:val="auto"/>
                <w:sz w:val="24"/>
                <w:szCs w:val="24"/>
                <w:highlight w:val="none"/>
              </w:rPr>
            </w:pPr>
          </w:p>
        </w:tc>
      </w:tr>
      <w:tr w14:paraId="6987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9449" w:type="dxa"/>
            <w:gridSpan w:val="7"/>
            <w:noWrap w:val="0"/>
            <w:vAlign w:val="center"/>
          </w:tcPr>
          <w:p w14:paraId="5DB958E5">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shd w:val="clear" w:color="auto" w:fill="FFFFFF"/>
              </w:rPr>
              <w:t>拟投入本项目的垃圾运输车</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lang w:val="en-US" w:eastAsia="zh-CN"/>
              </w:rPr>
              <w:t>新能源巡查车</w:t>
            </w:r>
            <w:r>
              <w:rPr>
                <w:rFonts w:hint="eastAsia" w:ascii="宋体" w:hAnsi="宋体" w:eastAsia="宋体" w:cs="宋体"/>
                <w:color w:val="auto"/>
                <w:sz w:val="24"/>
                <w:szCs w:val="24"/>
                <w:highlight w:val="none"/>
                <w:shd w:val="clear" w:color="auto" w:fill="FFFFFF"/>
              </w:rPr>
              <w:t>；</w:t>
            </w:r>
          </w:p>
        </w:tc>
      </w:tr>
      <w:tr w14:paraId="740F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72390A6A">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4E302D2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5C73A5E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0EB1603D">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18A8A8B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0F3AE2CF">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1717914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DFA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060CAEFC">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6253AE6C">
            <w:pPr>
              <w:spacing w:line="360" w:lineRule="auto"/>
              <w:outlineLvl w:val="9"/>
              <w:rPr>
                <w:rFonts w:hint="eastAsia" w:ascii="宋体" w:hAnsi="宋体" w:eastAsia="宋体" w:cs="宋体"/>
                <w:color w:val="auto"/>
                <w:sz w:val="24"/>
                <w:szCs w:val="24"/>
                <w:highlight w:val="none"/>
              </w:rPr>
            </w:pPr>
          </w:p>
        </w:tc>
        <w:tc>
          <w:tcPr>
            <w:tcW w:w="1276" w:type="dxa"/>
            <w:noWrap w:val="0"/>
            <w:vAlign w:val="center"/>
          </w:tcPr>
          <w:p w14:paraId="159A19B1">
            <w:pPr>
              <w:spacing w:line="360" w:lineRule="auto"/>
              <w:outlineLvl w:val="9"/>
              <w:rPr>
                <w:rFonts w:hint="eastAsia" w:ascii="宋体" w:hAnsi="宋体" w:eastAsia="宋体" w:cs="宋体"/>
                <w:color w:val="auto"/>
                <w:sz w:val="24"/>
                <w:szCs w:val="24"/>
                <w:highlight w:val="none"/>
              </w:rPr>
            </w:pPr>
          </w:p>
        </w:tc>
        <w:tc>
          <w:tcPr>
            <w:tcW w:w="850" w:type="dxa"/>
            <w:noWrap w:val="0"/>
            <w:vAlign w:val="center"/>
          </w:tcPr>
          <w:p w14:paraId="0ADE122E">
            <w:pPr>
              <w:spacing w:line="360" w:lineRule="auto"/>
              <w:outlineLvl w:val="9"/>
              <w:rPr>
                <w:rFonts w:hint="eastAsia" w:ascii="宋体" w:hAnsi="宋体" w:eastAsia="宋体" w:cs="宋体"/>
                <w:color w:val="auto"/>
                <w:sz w:val="24"/>
                <w:szCs w:val="24"/>
                <w:highlight w:val="none"/>
              </w:rPr>
            </w:pPr>
          </w:p>
        </w:tc>
        <w:tc>
          <w:tcPr>
            <w:tcW w:w="1841" w:type="dxa"/>
            <w:noWrap w:val="0"/>
            <w:vAlign w:val="center"/>
          </w:tcPr>
          <w:p w14:paraId="7A338C07">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55E0BB9F">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D5A475C">
            <w:pPr>
              <w:spacing w:line="360" w:lineRule="auto"/>
              <w:outlineLvl w:val="9"/>
              <w:rPr>
                <w:rFonts w:hint="eastAsia" w:ascii="宋体" w:hAnsi="宋体" w:eastAsia="宋体" w:cs="宋体"/>
                <w:color w:val="auto"/>
                <w:sz w:val="24"/>
                <w:szCs w:val="24"/>
                <w:highlight w:val="none"/>
              </w:rPr>
            </w:pPr>
          </w:p>
        </w:tc>
      </w:tr>
      <w:tr w14:paraId="1C01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13B811F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101ABCC4">
            <w:pPr>
              <w:spacing w:line="360" w:lineRule="auto"/>
              <w:outlineLvl w:val="9"/>
              <w:rPr>
                <w:rFonts w:hint="eastAsia" w:ascii="宋体" w:hAnsi="宋体" w:eastAsia="宋体" w:cs="宋体"/>
                <w:color w:val="auto"/>
                <w:sz w:val="24"/>
                <w:szCs w:val="24"/>
                <w:highlight w:val="none"/>
              </w:rPr>
            </w:pPr>
          </w:p>
        </w:tc>
        <w:tc>
          <w:tcPr>
            <w:tcW w:w="1276" w:type="dxa"/>
            <w:noWrap w:val="0"/>
            <w:vAlign w:val="center"/>
          </w:tcPr>
          <w:p w14:paraId="51457A29">
            <w:pPr>
              <w:spacing w:line="360" w:lineRule="auto"/>
              <w:outlineLvl w:val="9"/>
              <w:rPr>
                <w:rFonts w:hint="eastAsia" w:ascii="宋体" w:hAnsi="宋体" w:eastAsia="宋体" w:cs="宋体"/>
                <w:color w:val="auto"/>
                <w:sz w:val="24"/>
                <w:szCs w:val="24"/>
                <w:highlight w:val="none"/>
              </w:rPr>
            </w:pPr>
          </w:p>
        </w:tc>
        <w:tc>
          <w:tcPr>
            <w:tcW w:w="850" w:type="dxa"/>
            <w:noWrap w:val="0"/>
            <w:vAlign w:val="center"/>
          </w:tcPr>
          <w:p w14:paraId="6B0E3C1F">
            <w:pPr>
              <w:spacing w:line="360" w:lineRule="auto"/>
              <w:outlineLvl w:val="9"/>
              <w:rPr>
                <w:rFonts w:hint="eastAsia" w:ascii="宋体" w:hAnsi="宋体" w:eastAsia="宋体" w:cs="宋体"/>
                <w:color w:val="auto"/>
                <w:sz w:val="24"/>
                <w:szCs w:val="24"/>
                <w:highlight w:val="none"/>
              </w:rPr>
            </w:pPr>
          </w:p>
        </w:tc>
        <w:tc>
          <w:tcPr>
            <w:tcW w:w="1841" w:type="dxa"/>
            <w:noWrap w:val="0"/>
            <w:vAlign w:val="center"/>
          </w:tcPr>
          <w:p w14:paraId="1B2483E1">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2D26B137">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5EC700B8">
            <w:pPr>
              <w:spacing w:line="360" w:lineRule="auto"/>
              <w:outlineLvl w:val="9"/>
              <w:rPr>
                <w:rFonts w:hint="eastAsia" w:ascii="宋体" w:hAnsi="宋体" w:eastAsia="宋体" w:cs="宋体"/>
                <w:color w:val="auto"/>
                <w:sz w:val="24"/>
                <w:szCs w:val="24"/>
                <w:highlight w:val="none"/>
              </w:rPr>
            </w:pPr>
          </w:p>
        </w:tc>
      </w:tr>
      <w:tr w14:paraId="7A61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449" w:type="dxa"/>
            <w:gridSpan w:val="7"/>
            <w:noWrap w:val="0"/>
            <w:vAlign w:val="center"/>
          </w:tcPr>
          <w:p w14:paraId="5D56A0FA">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4.拟投入的与养护有关的其余设备、器材、工具如(发电机、随车吊、乔木修剪车、打药车)等；</w:t>
            </w:r>
          </w:p>
        </w:tc>
      </w:tr>
      <w:tr w14:paraId="62A0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705A8BDE">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1F907FFB">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73209E6F">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394E5F5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5264CD8A">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785D1F9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1462156D">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18D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7103065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470C2528">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20FDCF12">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000FF6D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553C071F">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2F3ECA84">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5435C626">
            <w:pPr>
              <w:spacing w:line="360" w:lineRule="auto"/>
              <w:jc w:val="center"/>
              <w:outlineLvl w:val="9"/>
              <w:rPr>
                <w:rFonts w:hint="eastAsia" w:ascii="宋体" w:hAnsi="宋体" w:eastAsia="宋体" w:cs="宋体"/>
                <w:color w:val="auto"/>
                <w:sz w:val="24"/>
                <w:szCs w:val="24"/>
                <w:highlight w:val="none"/>
              </w:rPr>
            </w:pPr>
          </w:p>
        </w:tc>
      </w:tr>
      <w:tr w14:paraId="5E92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342255B2">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3C21CCC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53B916A3">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3B5F221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7709FCD2">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1FAA0A79">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E4D4CB9">
            <w:pPr>
              <w:spacing w:line="360" w:lineRule="auto"/>
              <w:jc w:val="center"/>
              <w:outlineLvl w:val="9"/>
              <w:rPr>
                <w:rFonts w:hint="eastAsia" w:ascii="宋体" w:hAnsi="宋体" w:eastAsia="宋体" w:cs="宋体"/>
                <w:color w:val="auto"/>
                <w:sz w:val="24"/>
                <w:szCs w:val="24"/>
                <w:highlight w:val="none"/>
              </w:rPr>
            </w:pPr>
          </w:p>
        </w:tc>
      </w:tr>
      <w:tr w14:paraId="1077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336D8878">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943" w:type="dxa"/>
            <w:noWrap w:val="0"/>
            <w:vAlign w:val="center"/>
          </w:tcPr>
          <w:p w14:paraId="0225DA36">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5911B5E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10A104C0">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4ECB15B5">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5E8B896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654A9634">
            <w:pPr>
              <w:spacing w:line="360" w:lineRule="auto"/>
              <w:jc w:val="center"/>
              <w:outlineLvl w:val="9"/>
              <w:rPr>
                <w:rFonts w:hint="eastAsia" w:ascii="宋体" w:hAnsi="宋体" w:eastAsia="宋体" w:cs="宋体"/>
                <w:color w:val="auto"/>
                <w:sz w:val="24"/>
                <w:szCs w:val="24"/>
                <w:highlight w:val="none"/>
              </w:rPr>
            </w:pPr>
          </w:p>
        </w:tc>
      </w:tr>
      <w:tr w14:paraId="56EC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237564E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943" w:type="dxa"/>
            <w:noWrap w:val="0"/>
            <w:vAlign w:val="center"/>
          </w:tcPr>
          <w:p w14:paraId="43AF0D41">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19EF7ACC">
            <w:pPr>
              <w:spacing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275EF2E5">
            <w:pPr>
              <w:spacing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03BF827D">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35A8554D">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42850746">
            <w:pPr>
              <w:spacing w:line="360" w:lineRule="auto"/>
              <w:jc w:val="center"/>
              <w:outlineLvl w:val="9"/>
              <w:rPr>
                <w:rFonts w:hint="eastAsia" w:ascii="宋体" w:hAnsi="宋体" w:eastAsia="宋体" w:cs="宋体"/>
                <w:color w:val="auto"/>
                <w:sz w:val="24"/>
                <w:szCs w:val="24"/>
                <w:highlight w:val="none"/>
              </w:rPr>
            </w:pPr>
          </w:p>
        </w:tc>
      </w:tr>
    </w:tbl>
    <w:p w14:paraId="07998B65">
      <w:pPr>
        <w:widowControl/>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附件五：西安浐灞国际港绿地管护工作考评办法</w:t>
      </w:r>
    </w:p>
    <w:p w14:paraId="6CBC3FD3">
      <w:pP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西安浐灞国际港绿地管护工作考评办法</w:t>
      </w:r>
    </w:p>
    <w:p w14:paraId="5F18C2C3">
      <w:pPr>
        <w:spacing w:line="360" w:lineRule="auto"/>
        <w:ind w:firstLine="480" w:firstLineChars="200"/>
        <w:outlineLvl w:val="9"/>
        <w:rPr>
          <w:rFonts w:hint="eastAsia" w:ascii="宋体" w:hAnsi="宋体" w:eastAsia="宋体" w:cs="宋体"/>
          <w:color w:val="auto"/>
          <w:sz w:val="24"/>
          <w:szCs w:val="24"/>
          <w:highlight w:val="none"/>
        </w:rPr>
      </w:pPr>
    </w:p>
    <w:p w14:paraId="55FC016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为了进一步规范绿化管理工作，促进全区养护管理工作规范化、科学化、长效化管理水平不断提高， 全面、客观考评各单位园林绿化管理工作开展情况，特制定本暂行办法。</w:t>
      </w:r>
    </w:p>
    <w:p w14:paraId="5195FB7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一、考评对象</w:t>
      </w:r>
    </w:p>
    <w:p w14:paraId="23FD702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园区绿化养护标段。</w:t>
      </w:r>
    </w:p>
    <w:p w14:paraId="6D77B32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二、考评范围</w:t>
      </w:r>
    </w:p>
    <w:p w14:paraId="6CC45DD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西安浐灞国际港内建成绿地养护管理工作。</w:t>
      </w:r>
    </w:p>
    <w:p w14:paraId="514657B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三、考评机构</w:t>
      </w:r>
    </w:p>
    <w:p w14:paraId="4B358D8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考评工作的组织领导，西安浐灞国际港生态环境局成立专项工作领导小组，负责统筹有关工作的组织协调、实施推进和督促检查。领导小组组长由西安浐灞国际港生态环境局副局长担任，副组长由负责养护管理业务干部担任，成员由绿化养护监理人员、各养护单位项目管理人员担任。副组长与各成员为考评工作人员，为确保考核工作公正考评组人数需在三人以上，具体负责日常检查考评评分工作。组长对考评工作进行督查，确保考评及时、客观、公正。</w:t>
      </w:r>
    </w:p>
    <w:p w14:paraId="64EA1E0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四、考评方式</w:t>
      </w:r>
    </w:p>
    <w:p w14:paraId="418CEC0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（一）月度考评</w:t>
      </w:r>
    </w:p>
    <w:p w14:paraId="768992F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月下旬实地到每个绿化标段进行检查，并按照月度考评打分及处罚标准（详见附件）考核。每月月初考评小组需对各单位的月度检查考评及处罚情况进行汇总，对养护单元养护情况给出优、良、差的评价等级，并报西安浐灞国际港生态环境局审核，审核通过后，进行通报。</w:t>
      </w:r>
    </w:p>
    <w:p w14:paraId="4C293D1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年度考评</w:t>
      </w:r>
    </w:p>
    <w:p w14:paraId="5A2334B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西安浐灞国际港生态环境局年底综合全年管理工作的总体情况，对各单位进行年度评分和排名。年度评分内容包括管理工作得分、上级考核工作得分、额外奖励加分。</w:t>
      </w:r>
    </w:p>
    <w:p w14:paraId="20CDC07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工作得分是指考评小组依据月度考评情况，评出的各单位园林绿化管理工作年度总分。上级检查得分是指考评小组依据市级领导及相关部门、市局检查考核情况，评出的各单位管护项目园林绿化管理年度总分。额外奖励加分是指考评小组在确定各单位管理工作得分和上级考核工作得分后，对在养护管理、工作措施、技术应用方面创新工作取得显著成效的、某项工作具有全区示范意义或落实临时重大任务成绩突出的单位酌情予以额外加分。</w:t>
      </w:r>
    </w:p>
    <w:p w14:paraId="1AF102A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度考评总分为100分，一般情况由管理工作分值和上级考核工作得分组成，管理工作分值占年度考评分值的比例为80%，上级考核工作得分分值占年度考评分值的比例为20%。无上级检查得分者则以管理工作分值为考评总分。</w:t>
      </w:r>
    </w:p>
    <w:p w14:paraId="668AE7C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五、结果运用</w:t>
      </w:r>
    </w:p>
    <w:p w14:paraId="6099819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月度考核：每月对各养护标段，根据《西安浐灞国际港园林绿化管理工作月度考评及处罚标准》（见附表）进行打分、考核、排名和处罚工作，对结果进行通报，处罚费用在当季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3DC73EE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年度考核：年度内月度考核评价累计三次为差的标段，扣除养护单位年度护质保金，对各养护标段园林绿化管理工作的考评结果，做如下运用:一是根据考核分值按月统计，按照考核结果支付养护费用；二是作为园区养护管理单位的评价推选依据；三是作为向管委会领导通告有关企业管理水平优劣的基础和依据；四是作为进行各类责任追究的基础性依据。</w:t>
      </w:r>
    </w:p>
    <w:p w14:paraId="1933E3D0">
      <w:pPr>
        <w:spacing w:line="360" w:lineRule="auto"/>
        <w:outlineLvl w:val="9"/>
        <w:rPr>
          <w:rFonts w:hint="eastAsia" w:ascii="宋体" w:hAnsi="宋体" w:eastAsia="宋体" w:cs="宋体"/>
          <w:color w:val="auto"/>
          <w:sz w:val="24"/>
          <w:szCs w:val="24"/>
          <w:highlight w:val="none"/>
        </w:rPr>
        <w:sectPr>
          <w:footerReference r:id="rId7" w:type="first"/>
          <w:footerReference r:id="rId5" w:type="default"/>
          <w:footerReference r:id="rId6" w:type="even"/>
          <w:pgSz w:w="11905" w:h="16838"/>
          <w:pgMar w:top="1304" w:right="1134" w:bottom="1304" w:left="1247" w:header="850" w:footer="992" w:gutter="0"/>
          <w:pgNumType w:fmt="numberInDash" w:start="1"/>
          <w:cols w:space="720" w:num="1"/>
          <w:titlePg/>
          <w:docGrid w:linePitch="323" w:charSpace="0"/>
        </w:sectPr>
      </w:pPr>
    </w:p>
    <w:p w14:paraId="6B575745">
      <w:pP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附件一：西安浐灞国际港园林绿化工作考核标准表（西安浐灞国际港绿地养护管理工作月度考核标准表）</w:t>
      </w:r>
    </w:p>
    <w:tbl>
      <w:tblPr>
        <w:tblStyle w:val="5"/>
        <w:tblW w:w="5009"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8"/>
        <w:gridCol w:w="1267"/>
        <w:gridCol w:w="1850"/>
        <w:gridCol w:w="6160"/>
        <w:gridCol w:w="3402"/>
        <w:gridCol w:w="719"/>
      </w:tblGrid>
      <w:tr w14:paraId="5130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noWrap w:val="0"/>
            <w:vAlign w:val="center"/>
          </w:tcPr>
          <w:p w14:paraId="6493C92C">
            <w:pPr>
              <w:jc w:val="center"/>
              <w:rPr>
                <w:rFonts w:ascii="仿宋" w:hAnsi="仿宋" w:eastAsia="仿宋"/>
                <w:sz w:val="24"/>
                <w:szCs w:val="24"/>
                <w:highlight w:val="none"/>
              </w:rPr>
            </w:pPr>
            <w:r>
              <w:rPr>
                <w:rFonts w:ascii="仿宋" w:hAnsi="仿宋" w:eastAsia="仿宋"/>
                <w:sz w:val="24"/>
                <w:szCs w:val="24"/>
                <w:highlight w:val="none"/>
              </w:rPr>
              <w:t>序号</w:t>
            </w:r>
          </w:p>
        </w:tc>
        <w:tc>
          <w:tcPr>
            <w:tcW w:w="444" w:type="pct"/>
            <w:noWrap w:val="0"/>
            <w:vAlign w:val="center"/>
          </w:tcPr>
          <w:p w14:paraId="09CEF174">
            <w:pPr>
              <w:jc w:val="center"/>
              <w:rPr>
                <w:rFonts w:ascii="仿宋" w:hAnsi="仿宋" w:eastAsia="仿宋"/>
                <w:sz w:val="24"/>
                <w:szCs w:val="24"/>
                <w:highlight w:val="none"/>
              </w:rPr>
            </w:pPr>
            <w:r>
              <w:rPr>
                <w:rFonts w:ascii="仿宋" w:hAnsi="仿宋" w:eastAsia="仿宋"/>
                <w:sz w:val="24"/>
                <w:szCs w:val="24"/>
                <w:highlight w:val="none"/>
              </w:rPr>
              <w:t>类别</w:t>
            </w:r>
          </w:p>
        </w:tc>
        <w:tc>
          <w:tcPr>
            <w:tcW w:w="648" w:type="pct"/>
            <w:noWrap w:val="0"/>
            <w:vAlign w:val="center"/>
          </w:tcPr>
          <w:p w14:paraId="32782159">
            <w:pPr>
              <w:jc w:val="center"/>
              <w:rPr>
                <w:rFonts w:ascii="仿宋" w:hAnsi="仿宋" w:eastAsia="仿宋"/>
                <w:sz w:val="24"/>
                <w:szCs w:val="24"/>
                <w:highlight w:val="none"/>
              </w:rPr>
            </w:pPr>
            <w:r>
              <w:rPr>
                <w:rFonts w:ascii="仿宋" w:hAnsi="仿宋" w:eastAsia="仿宋"/>
                <w:sz w:val="24"/>
                <w:szCs w:val="24"/>
                <w:highlight w:val="none"/>
              </w:rPr>
              <w:t>考核项目</w:t>
            </w:r>
          </w:p>
        </w:tc>
        <w:tc>
          <w:tcPr>
            <w:tcW w:w="2158" w:type="pct"/>
            <w:noWrap w:val="0"/>
            <w:vAlign w:val="center"/>
          </w:tcPr>
          <w:p w14:paraId="05E659EB">
            <w:pPr>
              <w:jc w:val="center"/>
              <w:rPr>
                <w:rFonts w:ascii="仿宋" w:hAnsi="仿宋" w:eastAsia="仿宋"/>
                <w:sz w:val="24"/>
                <w:szCs w:val="24"/>
                <w:highlight w:val="none"/>
              </w:rPr>
            </w:pPr>
            <w:r>
              <w:rPr>
                <w:rFonts w:ascii="仿宋" w:hAnsi="仿宋" w:eastAsia="仿宋"/>
                <w:sz w:val="24"/>
                <w:szCs w:val="24"/>
                <w:highlight w:val="none"/>
              </w:rPr>
              <w:t>扣分标准</w:t>
            </w:r>
          </w:p>
        </w:tc>
        <w:tc>
          <w:tcPr>
            <w:tcW w:w="1192" w:type="pct"/>
            <w:noWrap w:val="0"/>
            <w:vAlign w:val="center"/>
          </w:tcPr>
          <w:p w14:paraId="52E3423A">
            <w:pPr>
              <w:jc w:val="center"/>
              <w:rPr>
                <w:rFonts w:ascii="仿宋" w:hAnsi="仿宋" w:eastAsia="仿宋"/>
                <w:sz w:val="24"/>
                <w:szCs w:val="24"/>
                <w:highlight w:val="none"/>
              </w:rPr>
            </w:pPr>
            <w:r>
              <w:rPr>
                <w:rFonts w:ascii="仿宋" w:hAnsi="仿宋" w:eastAsia="仿宋"/>
                <w:sz w:val="24"/>
                <w:szCs w:val="24"/>
                <w:highlight w:val="none"/>
              </w:rPr>
              <w:t>扣款标准</w:t>
            </w:r>
          </w:p>
        </w:tc>
        <w:tc>
          <w:tcPr>
            <w:tcW w:w="252" w:type="pct"/>
            <w:noWrap w:val="0"/>
            <w:vAlign w:val="center"/>
          </w:tcPr>
          <w:p w14:paraId="636339C5">
            <w:pPr>
              <w:jc w:val="center"/>
              <w:rPr>
                <w:rFonts w:ascii="仿宋" w:hAnsi="仿宋" w:eastAsia="仿宋"/>
                <w:sz w:val="24"/>
                <w:szCs w:val="24"/>
                <w:highlight w:val="none"/>
              </w:rPr>
            </w:pPr>
            <w:r>
              <w:rPr>
                <w:rFonts w:ascii="仿宋" w:hAnsi="仿宋" w:eastAsia="仿宋"/>
                <w:sz w:val="24"/>
                <w:szCs w:val="24"/>
                <w:highlight w:val="none"/>
              </w:rPr>
              <w:t>备注</w:t>
            </w:r>
          </w:p>
        </w:tc>
      </w:tr>
      <w:tr w14:paraId="56B4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7E74158F">
            <w:pPr>
              <w:rPr>
                <w:rFonts w:ascii="仿宋" w:hAnsi="仿宋" w:eastAsia="仿宋"/>
                <w:sz w:val="24"/>
                <w:szCs w:val="24"/>
                <w:highlight w:val="none"/>
              </w:rPr>
            </w:pPr>
            <w:r>
              <w:rPr>
                <w:rFonts w:ascii="仿宋" w:hAnsi="仿宋" w:eastAsia="仿宋"/>
                <w:sz w:val="24"/>
                <w:szCs w:val="24"/>
                <w:highlight w:val="none"/>
              </w:rPr>
              <w:t>1</w:t>
            </w:r>
          </w:p>
        </w:tc>
        <w:tc>
          <w:tcPr>
            <w:tcW w:w="444" w:type="pct"/>
            <w:vMerge w:val="restart"/>
            <w:noWrap w:val="0"/>
            <w:vAlign w:val="center"/>
          </w:tcPr>
          <w:p w14:paraId="3E443252">
            <w:pPr>
              <w:rPr>
                <w:rFonts w:ascii="仿宋" w:hAnsi="仿宋" w:eastAsia="仿宋"/>
                <w:sz w:val="24"/>
                <w:szCs w:val="24"/>
                <w:highlight w:val="none"/>
              </w:rPr>
            </w:pPr>
            <w:r>
              <w:rPr>
                <w:rFonts w:ascii="仿宋" w:hAnsi="仿宋" w:eastAsia="仿宋"/>
                <w:sz w:val="24"/>
                <w:szCs w:val="24"/>
                <w:highlight w:val="none"/>
              </w:rPr>
              <w:t>绿化养护（50分）</w:t>
            </w:r>
          </w:p>
        </w:tc>
        <w:tc>
          <w:tcPr>
            <w:tcW w:w="648" w:type="pct"/>
            <w:noWrap w:val="0"/>
            <w:vAlign w:val="center"/>
          </w:tcPr>
          <w:p w14:paraId="555CF72E">
            <w:pPr>
              <w:rPr>
                <w:rFonts w:ascii="仿宋" w:hAnsi="仿宋" w:eastAsia="仿宋"/>
                <w:sz w:val="24"/>
                <w:szCs w:val="24"/>
                <w:highlight w:val="none"/>
              </w:rPr>
            </w:pPr>
            <w:r>
              <w:rPr>
                <w:rFonts w:ascii="仿宋" w:hAnsi="仿宋" w:eastAsia="仿宋"/>
                <w:sz w:val="24"/>
                <w:szCs w:val="24"/>
                <w:highlight w:val="none"/>
              </w:rPr>
              <w:t>足额配备现场管理人员绿化养护工</w:t>
            </w:r>
          </w:p>
        </w:tc>
        <w:tc>
          <w:tcPr>
            <w:tcW w:w="2158" w:type="pct"/>
            <w:noWrap w:val="0"/>
            <w:vAlign w:val="top"/>
          </w:tcPr>
          <w:p w14:paraId="302847C5">
            <w:pPr>
              <w:rPr>
                <w:rFonts w:ascii="仿宋" w:hAnsi="仿宋" w:eastAsia="仿宋"/>
                <w:sz w:val="24"/>
                <w:szCs w:val="24"/>
                <w:highlight w:val="none"/>
              </w:rPr>
            </w:pPr>
            <w:r>
              <w:rPr>
                <w:rFonts w:ascii="仿宋" w:hAnsi="仿宋" w:eastAsia="仿宋"/>
                <w:sz w:val="24"/>
                <w:szCs w:val="24"/>
                <w:highlight w:val="none"/>
              </w:rPr>
              <w:t>1、养护工配置标准为现场工人公园、</w:t>
            </w:r>
            <w:r>
              <w:rPr>
                <w:rFonts w:hint="eastAsia" w:ascii="仿宋" w:hAnsi="仿宋" w:eastAsia="仿宋"/>
                <w:sz w:val="24"/>
                <w:szCs w:val="24"/>
                <w:highlight w:val="none"/>
              </w:rPr>
              <w:t>一级养护绿地</w:t>
            </w:r>
            <w:r>
              <w:rPr>
                <w:rFonts w:hint="eastAsia" w:ascii="仿宋" w:hAnsi="仿宋" w:eastAsia="仿宋"/>
                <w:sz w:val="24"/>
                <w:szCs w:val="24"/>
                <w:highlight w:val="none"/>
                <w:lang w:val="en-US" w:eastAsia="zh-CN"/>
              </w:rPr>
              <w:t>10000</w:t>
            </w:r>
            <w:r>
              <w:rPr>
                <w:rFonts w:hint="eastAsia" w:ascii="仿宋" w:hAnsi="仿宋" w:eastAsia="仿宋"/>
                <w:sz w:val="24"/>
                <w:szCs w:val="24"/>
                <w:highlight w:val="none"/>
              </w:rPr>
              <w:t>㎡/人，二级养护绿地1</w:t>
            </w: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000㎡/人，防护林带20000㎡/人，</w:t>
            </w:r>
            <w:r>
              <w:rPr>
                <w:rFonts w:ascii="仿宋" w:hAnsi="仿宋" w:eastAsia="仿宋"/>
                <w:sz w:val="24"/>
                <w:szCs w:val="24"/>
                <w:highlight w:val="none"/>
              </w:rPr>
              <w:t>未按规定足额配备每少1人扣2分；</w:t>
            </w:r>
          </w:p>
          <w:p w14:paraId="0979789C">
            <w:pPr>
              <w:rPr>
                <w:rFonts w:ascii="仿宋" w:hAnsi="仿宋" w:eastAsia="仿宋"/>
                <w:sz w:val="24"/>
                <w:szCs w:val="24"/>
                <w:highlight w:val="none"/>
              </w:rPr>
            </w:pPr>
            <w:r>
              <w:rPr>
                <w:rFonts w:ascii="仿宋" w:hAnsi="仿宋" w:eastAsia="仿宋"/>
                <w:sz w:val="24"/>
                <w:szCs w:val="24"/>
                <w:highlight w:val="none"/>
              </w:rPr>
              <w:t>2、养护人员未按规定着装每人扣1分；</w:t>
            </w:r>
          </w:p>
          <w:p w14:paraId="72EE89D8">
            <w:pPr>
              <w:rPr>
                <w:rFonts w:ascii="仿宋" w:hAnsi="仿宋" w:eastAsia="仿宋"/>
                <w:sz w:val="24"/>
                <w:szCs w:val="24"/>
                <w:highlight w:val="none"/>
              </w:rPr>
            </w:pPr>
            <w:r>
              <w:rPr>
                <w:rFonts w:ascii="仿宋" w:hAnsi="仿宋" w:eastAsia="仿宋"/>
                <w:sz w:val="24"/>
                <w:szCs w:val="24"/>
                <w:highlight w:val="none"/>
              </w:rPr>
              <w:t>3、养护单位现场负责人员管理人员要求园林绿化相关专业大专以上文凭，具有3年从事绿化工作经验</w:t>
            </w:r>
            <w:r>
              <w:rPr>
                <w:rFonts w:hint="eastAsia" w:ascii="仿宋" w:hAnsi="仿宋" w:eastAsia="仿宋"/>
                <w:sz w:val="24"/>
                <w:szCs w:val="24"/>
                <w:highlight w:val="none"/>
              </w:rPr>
              <w:t>。</w:t>
            </w:r>
            <w:r>
              <w:rPr>
                <w:rFonts w:ascii="仿宋" w:hAnsi="仿宋" w:eastAsia="仿宋"/>
                <w:sz w:val="24"/>
                <w:szCs w:val="24"/>
                <w:highlight w:val="none"/>
              </w:rPr>
              <w:t>养护标段现场技术负责人需具有绿化养护高级工应具备的相关要求、知识、技能及3年以上工作经验，现场标段负责人及技术负责人缺岗</w:t>
            </w:r>
            <w:r>
              <w:rPr>
                <w:rFonts w:hint="eastAsia" w:ascii="仿宋" w:hAnsi="仿宋" w:eastAsia="仿宋"/>
                <w:sz w:val="24"/>
                <w:szCs w:val="24"/>
                <w:highlight w:val="none"/>
              </w:rPr>
              <w:t>，</w:t>
            </w:r>
            <w:r>
              <w:rPr>
                <w:rFonts w:ascii="仿宋" w:hAnsi="仿宋" w:eastAsia="仿宋"/>
                <w:sz w:val="24"/>
                <w:szCs w:val="24"/>
                <w:highlight w:val="none"/>
              </w:rPr>
              <w:t>每次扣5分，资质不达标每次扣3分。</w:t>
            </w:r>
          </w:p>
          <w:p w14:paraId="4C3262F9">
            <w:pPr>
              <w:rPr>
                <w:rFonts w:hint="eastAsia" w:ascii="仿宋" w:hAnsi="仿宋" w:eastAsia="仿宋"/>
                <w:sz w:val="24"/>
                <w:szCs w:val="24"/>
                <w:highlight w:val="none"/>
                <w:lang w:eastAsia="zh-CN"/>
              </w:rPr>
            </w:pPr>
            <w:r>
              <w:rPr>
                <w:rFonts w:ascii="仿宋" w:hAnsi="仿宋" w:eastAsia="仿宋"/>
                <w:sz w:val="24"/>
                <w:szCs w:val="24"/>
                <w:highlight w:val="none"/>
              </w:rPr>
              <w:t>4、技术工人需有5年以上养护工作经验，养护工人中技术工的占比为总人数的30%。按规定未足额配备每少1人扣5分。</w:t>
            </w:r>
          </w:p>
          <w:p w14:paraId="6EBC2EE9">
            <w:pPr>
              <w:rPr>
                <w:rFonts w:ascii="仿宋" w:hAnsi="仿宋" w:eastAsia="仿宋"/>
                <w:sz w:val="24"/>
                <w:szCs w:val="24"/>
                <w:highlight w:val="none"/>
              </w:rPr>
            </w:pPr>
            <w:r>
              <w:rPr>
                <w:rFonts w:ascii="仿宋" w:hAnsi="仿宋" w:eastAsia="仿宋"/>
                <w:sz w:val="24"/>
                <w:szCs w:val="24"/>
                <w:highlight w:val="none"/>
              </w:rPr>
              <w:t>5、强化人员专业培训提升，</w:t>
            </w:r>
            <w:r>
              <w:rPr>
                <w:rFonts w:hint="eastAsia" w:ascii="仿宋" w:hAnsi="仿宋" w:eastAsia="仿宋"/>
                <w:sz w:val="24"/>
                <w:szCs w:val="24"/>
                <w:highlight w:val="none"/>
                <w:lang w:val="en-US" w:eastAsia="zh-CN"/>
              </w:rPr>
              <w:t>定期进行</w:t>
            </w:r>
            <w:r>
              <w:rPr>
                <w:rFonts w:ascii="仿宋" w:hAnsi="仿宋" w:eastAsia="仿宋"/>
                <w:sz w:val="24"/>
                <w:szCs w:val="24"/>
                <w:highlight w:val="none"/>
              </w:rPr>
              <w:t>每周一课</w:t>
            </w:r>
            <w:r>
              <w:rPr>
                <w:rFonts w:hint="eastAsia" w:ascii="仿宋" w:hAnsi="仿宋" w:eastAsia="仿宋"/>
                <w:sz w:val="24"/>
                <w:szCs w:val="24"/>
                <w:highlight w:val="none"/>
                <w:lang w:val="en-US" w:eastAsia="zh-CN"/>
              </w:rPr>
              <w:t>及</w:t>
            </w:r>
            <w:r>
              <w:rPr>
                <w:rFonts w:ascii="仿宋" w:hAnsi="仿宋" w:eastAsia="仿宋"/>
                <w:sz w:val="24"/>
                <w:szCs w:val="24"/>
                <w:highlight w:val="none"/>
              </w:rPr>
              <w:t>月度培训</w:t>
            </w:r>
            <w:r>
              <w:rPr>
                <w:rFonts w:hint="eastAsia" w:ascii="仿宋" w:hAnsi="仿宋" w:eastAsia="仿宋"/>
                <w:sz w:val="24"/>
                <w:szCs w:val="24"/>
                <w:highlight w:val="none"/>
                <w:lang w:val="en-US" w:eastAsia="zh-CN"/>
              </w:rPr>
              <w:t>活动，其中每周一课年度不少于20次，月度培训年度不少于5次</w:t>
            </w:r>
            <w:r>
              <w:rPr>
                <w:rFonts w:ascii="仿宋" w:hAnsi="仿宋" w:eastAsia="仿宋"/>
                <w:sz w:val="24"/>
                <w:szCs w:val="24"/>
                <w:highlight w:val="none"/>
              </w:rPr>
              <w:t>。</w:t>
            </w:r>
          </w:p>
        </w:tc>
        <w:tc>
          <w:tcPr>
            <w:tcW w:w="1192" w:type="pct"/>
            <w:noWrap w:val="0"/>
            <w:vAlign w:val="top"/>
          </w:tcPr>
          <w:p w14:paraId="25AB6598">
            <w:pPr>
              <w:rPr>
                <w:rFonts w:ascii="仿宋" w:hAnsi="仿宋" w:eastAsia="仿宋"/>
                <w:sz w:val="24"/>
                <w:szCs w:val="24"/>
                <w:highlight w:val="none"/>
              </w:rPr>
            </w:pPr>
          </w:p>
          <w:p w14:paraId="4E3445A0">
            <w:pPr>
              <w:rPr>
                <w:rFonts w:hint="default" w:ascii="仿宋" w:hAnsi="仿宋" w:eastAsia="仿宋"/>
                <w:sz w:val="24"/>
                <w:szCs w:val="24"/>
                <w:highlight w:val="none"/>
                <w:lang w:val="en-US" w:eastAsia="zh-CN"/>
              </w:rPr>
            </w:pPr>
            <w:r>
              <w:rPr>
                <w:rFonts w:ascii="仿宋" w:hAnsi="仿宋" w:eastAsia="仿宋"/>
                <w:sz w:val="24"/>
                <w:szCs w:val="24"/>
                <w:highlight w:val="none"/>
              </w:rPr>
              <w:t>工人缺人1次</w:t>
            </w:r>
            <w:r>
              <w:rPr>
                <w:rFonts w:hint="eastAsia" w:ascii="仿宋" w:hAnsi="仿宋" w:eastAsia="仿宋"/>
                <w:sz w:val="24"/>
                <w:szCs w:val="24"/>
                <w:highlight w:val="none"/>
              </w:rPr>
              <w:t>按日工资3倍处罚，每月</w:t>
            </w:r>
            <w:r>
              <w:rPr>
                <w:rFonts w:hint="eastAsia" w:ascii="仿宋" w:hAnsi="仿宋" w:eastAsia="仿宋"/>
                <w:sz w:val="24"/>
                <w:szCs w:val="24"/>
                <w:highlight w:val="none"/>
                <w:lang w:val="en-US" w:eastAsia="zh-CN"/>
              </w:rPr>
              <w:t>累计出现</w:t>
            </w:r>
            <w:r>
              <w:rPr>
                <w:rFonts w:hint="eastAsia" w:ascii="仿宋" w:hAnsi="仿宋" w:eastAsia="仿宋"/>
                <w:sz w:val="24"/>
                <w:szCs w:val="24"/>
                <w:highlight w:val="none"/>
              </w:rPr>
              <w:t>三次以上缺人</w:t>
            </w:r>
            <w:r>
              <w:rPr>
                <w:rFonts w:hint="eastAsia" w:ascii="仿宋" w:hAnsi="仿宋" w:eastAsia="仿宋"/>
                <w:sz w:val="24"/>
                <w:szCs w:val="24"/>
                <w:highlight w:val="none"/>
                <w:lang w:val="en-US" w:eastAsia="zh-CN"/>
              </w:rPr>
              <w:t>问题按照6</w:t>
            </w:r>
            <w:r>
              <w:rPr>
                <w:rFonts w:hint="eastAsia" w:ascii="仿宋" w:hAnsi="仿宋" w:eastAsia="仿宋"/>
                <w:sz w:val="24"/>
                <w:szCs w:val="24"/>
                <w:highlight w:val="none"/>
              </w:rPr>
              <w:t>000元</w:t>
            </w:r>
            <w:r>
              <w:rPr>
                <w:rFonts w:hint="eastAsia" w:ascii="仿宋" w:hAnsi="仿宋" w:eastAsia="仿宋"/>
                <w:sz w:val="24"/>
                <w:szCs w:val="24"/>
                <w:highlight w:val="none"/>
                <w:lang w:val="en-US" w:eastAsia="zh-CN"/>
              </w:rPr>
              <w:t>/人/月标准进行处罚</w:t>
            </w:r>
            <w:r>
              <w:rPr>
                <w:rFonts w:ascii="仿宋" w:hAnsi="仿宋" w:eastAsia="仿宋"/>
                <w:sz w:val="24"/>
                <w:szCs w:val="24"/>
                <w:highlight w:val="none"/>
              </w:rPr>
              <w:t>（如有请假、调岗需提前报备），</w:t>
            </w:r>
            <w:r>
              <w:rPr>
                <w:rFonts w:hint="eastAsia" w:ascii="仿宋" w:hAnsi="仿宋" w:eastAsia="仿宋"/>
                <w:sz w:val="24"/>
                <w:szCs w:val="24"/>
                <w:highlight w:val="none"/>
                <w:lang w:val="en-US" w:eastAsia="zh-CN"/>
              </w:rPr>
              <w:t>对</w:t>
            </w:r>
            <w:r>
              <w:rPr>
                <w:rFonts w:ascii="仿宋" w:hAnsi="仿宋" w:eastAsia="仿宋"/>
                <w:sz w:val="24"/>
                <w:szCs w:val="24"/>
                <w:highlight w:val="none"/>
              </w:rPr>
              <w:t>资质不达标</w:t>
            </w:r>
            <w:r>
              <w:rPr>
                <w:rFonts w:hint="eastAsia" w:ascii="仿宋" w:hAnsi="仿宋" w:eastAsia="仿宋"/>
                <w:sz w:val="24"/>
                <w:szCs w:val="24"/>
                <w:highlight w:val="none"/>
                <w:lang w:val="en-US" w:eastAsia="zh-CN"/>
              </w:rPr>
              <w:t>按照</w:t>
            </w:r>
            <w:r>
              <w:rPr>
                <w:rFonts w:hint="eastAsia" w:ascii="仿宋" w:hAnsi="仿宋" w:eastAsia="仿宋"/>
                <w:sz w:val="24"/>
                <w:szCs w:val="24"/>
                <w:highlight w:val="none"/>
              </w:rPr>
              <w:t>15</w:t>
            </w:r>
            <w:r>
              <w:rPr>
                <w:rFonts w:ascii="仿宋" w:hAnsi="仿宋" w:eastAsia="仿宋"/>
                <w:sz w:val="24"/>
                <w:szCs w:val="24"/>
                <w:highlight w:val="none"/>
              </w:rPr>
              <w:t>00元</w:t>
            </w:r>
            <w:r>
              <w:rPr>
                <w:rFonts w:hint="eastAsia" w:ascii="仿宋" w:hAnsi="仿宋" w:eastAsia="仿宋"/>
                <w:sz w:val="24"/>
                <w:szCs w:val="24"/>
                <w:highlight w:val="none"/>
                <w:lang w:val="en-US" w:eastAsia="zh-CN"/>
              </w:rPr>
              <w:t>/人/月标准进行处罚</w:t>
            </w:r>
            <w:r>
              <w:rPr>
                <w:rFonts w:ascii="仿宋" w:hAnsi="仿宋" w:eastAsia="仿宋"/>
                <w:sz w:val="24"/>
                <w:szCs w:val="24"/>
                <w:highlight w:val="none"/>
              </w:rPr>
              <w:t>；脱岗</w:t>
            </w:r>
            <w:r>
              <w:rPr>
                <w:rFonts w:hint="eastAsia" w:ascii="仿宋" w:hAnsi="仿宋" w:eastAsia="仿宋"/>
                <w:sz w:val="24"/>
                <w:szCs w:val="24"/>
                <w:highlight w:val="none"/>
                <w:lang w:val="en-US" w:eastAsia="zh-CN"/>
              </w:rPr>
              <w:t>问题按照</w:t>
            </w:r>
            <w:r>
              <w:rPr>
                <w:rFonts w:hint="eastAsia" w:ascii="仿宋" w:hAnsi="仿宋" w:eastAsia="仿宋"/>
                <w:sz w:val="24"/>
                <w:szCs w:val="24"/>
                <w:highlight w:val="none"/>
              </w:rPr>
              <w:t>5</w:t>
            </w:r>
            <w:r>
              <w:rPr>
                <w:rFonts w:ascii="仿宋" w:hAnsi="仿宋" w:eastAsia="仿宋"/>
                <w:sz w:val="24"/>
                <w:szCs w:val="24"/>
                <w:highlight w:val="none"/>
              </w:rPr>
              <w:t>00元</w:t>
            </w:r>
            <w:r>
              <w:rPr>
                <w:rFonts w:hint="eastAsia" w:ascii="仿宋" w:hAnsi="仿宋" w:eastAsia="仿宋"/>
                <w:sz w:val="24"/>
                <w:szCs w:val="24"/>
                <w:highlight w:val="none"/>
                <w:lang w:val="en-US" w:eastAsia="zh-CN"/>
              </w:rPr>
              <w:t>/人/次标准进行处罚</w:t>
            </w:r>
            <w:r>
              <w:rPr>
                <w:rFonts w:ascii="仿宋" w:hAnsi="仿宋" w:eastAsia="仿宋"/>
                <w:sz w:val="24"/>
                <w:szCs w:val="24"/>
                <w:highlight w:val="none"/>
              </w:rPr>
              <w:t>，管理人员要求不达标的</w:t>
            </w:r>
            <w:r>
              <w:rPr>
                <w:rFonts w:hint="eastAsia" w:ascii="仿宋" w:hAnsi="仿宋" w:eastAsia="仿宋"/>
                <w:sz w:val="24"/>
                <w:szCs w:val="24"/>
                <w:highlight w:val="none"/>
                <w:lang w:val="en-US" w:eastAsia="zh-CN"/>
              </w:rPr>
              <w:t>按照</w:t>
            </w:r>
            <w:r>
              <w:rPr>
                <w:rFonts w:hint="eastAsia" w:ascii="仿宋" w:hAnsi="仿宋" w:eastAsia="仿宋"/>
                <w:color w:val="FF0000"/>
                <w:sz w:val="24"/>
                <w:szCs w:val="24"/>
                <w:highlight w:val="none"/>
                <w:lang w:val="en-US" w:eastAsia="zh-CN"/>
              </w:rPr>
              <w:t>10</w:t>
            </w:r>
            <w:r>
              <w:rPr>
                <w:rFonts w:hint="eastAsia" w:ascii="仿宋" w:hAnsi="仿宋" w:eastAsia="仿宋"/>
                <w:color w:val="FF0000"/>
                <w:sz w:val="24"/>
                <w:szCs w:val="24"/>
                <w:highlight w:val="none"/>
              </w:rPr>
              <w:t>0</w:t>
            </w:r>
            <w:r>
              <w:rPr>
                <w:rFonts w:ascii="仿宋" w:hAnsi="仿宋" w:eastAsia="仿宋"/>
                <w:color w:val="FF0000"/>
                <w:sz w:val="24"/>
                <w:szCs w:val="24"/>
                <w:highlight w:val="none"/>
              </w:rPr>
              <w:t>00</w:t>
            </w:r>
            <w:r>
              <w:rPr>
                <w:rFonts w:ascii="仿宋" w:hAnsi="仿宋" w:eastAsia="仿宋"/>
                <w:sz w:val="24"/>
                <w:szCs w:val="24"/>
                <w:highlight w:val="none"/>
              </w:rPr>
              <w:t>元</w:t>
            </w:r>
            <w:r>
              <w:rPr>
                <w:rFonts w:hint="eastAsia" w:ascii="仿宋" w:hAnsi="仿宋" w:eastAsia="仿宋"/>
                <w:sz w:val="24"/>
                <w:szCs w:val="24"/>
                <w:highlight w:val="none"/>
                <w:lang w:val="en-US" w:eastAsia="zh-CN"/>
              </w:rPr>
              <w:t>/人/月标准进行处罚</w:t>
            </w:r>
            <w:r>
              <w:rPr>
                <w:rFonts w:ascii="仿宋" w:hAnsi="仿宋" w:eastAsia="仿宋"/>
                <w:sz w:val="24"/>
                <w:szCs w:val="24"/>
                <w:highlight w:val="none"/>
              </w:rPr>
              <w:t>，未按要求</w:t>
            </w:r>
            <w:r>
              <w:rPr>
                <w:rFonts w:hint="eastAsia" w:ascii="仿宋" w:hAnsi="仿宋" w:eastAsia="仿宋"/>
                <w:sz w:val="24"/>
                <w:szCs w:val="24"/>
                <w:highlight w:val="none"/>
                <w:lang w:val="en-US" w:eastAsia="zh-CN"/>
              </w:rPr>
              <w:t>足额配备</w:t>
            </w:r>
            <w:r>
              <w:rPr>
                <w:rFonts w:ascii="仿宋" w:hAnsi="仿宋" w:eastAsia="仿宋"/>
                <w:sz w:val="24"/>
                <w:szCs w:val="24"/>
                <w:highlight w:val="none"/>
              </w:rPr>
              <w:t>管理人员的</w:t>
            </w:r>
            <w:r>
              <w:rPr>
                <w:rFonts w:hint="eastAsia" w:ascii="仿宋" w:hAnsi="仿宋" w:eastAsia="仿宋"/>
                <w:sz w:val="24"/>
                <w:szCs w:val="24"/>
                <w:highlight w:val="none"/>
                <w:lang w:val="en-US" w:eastAsia="zh-CN"/>
              </w:rPr>
              <w:t>按照</w:t>
            </w:r>
            <w:r>
              <w:rPr>
                <w:rFonts w:hint="eastAsia" w:ascii="仿宋" w:hAnsi="仿宋" w:eastAsia="仿宋"/>
                <w:sz w:val="24"/>
                <w:szCs w:val="24"/>
                <w:highlight w:val="none"/>
              </w:rPr>
              <w:t>15000</w:t>
            </w:r>
            <w:r>
              <w:rPr>
                <w:rFonts w:ascii="仿宋" w:hAnsi="仿宋" w:eastAsia="仿宋"/>
                <w:sz w:val="24"/>
                <w:szCs w:val="24"/>
                <w:highlight w:val="none"/>
              </w:rPr>
              <w:t>元</w:t>
            </w:r>
            <w:r>
              <w:rPr>
                <w:rFonts w:hint="eastAsia" w:ascii="仿宋" w:hAnsi="仿宋" w:eastAsia="仿宋"/>
                <w:sz w:val="24"/>
                <w:szCs w:val="24"/>
                <w:highlight w:val="none"/>
                <w:lang w:val="en-US" w:eastAsia="zh-CN"/>
              </w:rPr>
              <w:t>/人/月进行处罚</w:t>
            </w:r>
            <w:r>
              <w:rPr>
                <w:rFonts w:ascii="仿宋" w:hAnsi="仿宋" w:eastAsia="仿宋"/>
                <w:sz w:val="24"/>
                <w:szCs w:val="24"/>
                <w:highlight w:val="none"/>
              </w:rPr>
              <w:t>，未按要求开展培训的</w:t>
            </w:r>
            <w:r>
              <w:rPr>
                <w:rFonts w:hint="eastAsia" w:ascii="仿宋" w:hAnsi="仿宋" w:eastAsia="仿宋"/>
                <w:sz w:val="24"/>
                <w:szCs w:val="24"/>
                <w:highlight w:val="none"/>
                <w:lang w:val="en-US" w:eastAsia="zh-CN"/>
              </w:rPr>
              <w:t>按照</w:t>
            </w:r>
            <w:r>
              <w:rPr>
                <w:rFonts w:ascii="仿宋" w:hAnsi="仿宋" w:eastAsia="仿宋"/>
                <w:sz w:val="24"/>
                <w:szCs w:val="24"/>
                <w:highlight w:val="none"/>
              </w:rPr>
              <w:t>1万元</w:t>
            </w:r>
            <w:r>
              <w:rPr>
                <w:rFonts w:hint="eastAsia" w:ascii="仿宋" w:hAnsi="仿宋" w:eastAsia="仿宋"/>
                <w:sz w:val="24"/>
                <w:szCs w:val="24"/>
                <w:highlight w:val="none"/>
                <w:lang w:val="en-US" w:eastAsia="zh-CN"/>
              </w:rPr>
              <w:t>/次标准进行处罚</w:t>
            </w:r>
          </w:p>
        </w:tc>
        <w:tc>
          <w:tcPr>
            <w:tcW w:w="252" w:type="pct"/>
            <w:noWrap w:val="0"/>
            <w:vAlign w:val="top"/>
          </w:tcPr>
          <w:p w14:paraId="536D2738">
            <w:pPr>
              <w:rPr>
                <w:rFonts w:ascii="仿宋" w:hAnsi="仿宋" w:eastAsia="仿宋"/>
                <w:sz w:val="24"/>
                <w:szCs w:val="24"/>
                <w:highlight w:val="none"/>
              </w:rPr>
            </w:pPr>
          </w:p>
        </w:tc>
      </w:tr>
      <w:tr w14:paraId="70CB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304" w:type="pct"/>
            <w:vMerge w:val="continue"/>
            <w:noWrap w:val="0"/>
            <w:vAlign w:val="top"/>
          </w:tcPr>
          <w:p w14:paraId="07AC6E2A">
            <w:pPr>
              <w:rPr>
                <w:rFonts w:ascii="仿宋" w:hAnsi="仿宋" w:eastAsia="仿宋"/>
                <w:sz w:val="24"/>
                <w:szCs w:val="24"/>
                <w:highlight w:val="none"/>
              </w:rPr>
            </w:pPr>
          </w:p>
        </w:tc>
        <w:tc>
          <w:tcPr>
            <w:tcW w:w="444" w:type="pct"/>
            <w:vMerge w:val="continue"/>
            <w:noWrap w:val="0"/>
            <w:vAlign w:val="top"/>
          </w:tcPr>
          <w:p w14:paraId="16E72F91">
            <w:pPr>
              <w:rPr>
                <w:rFonts w:ascii="仿宋" w:hAnsi="仿宋" w:eastAsia="仿宋"/>
                <w:sz w:val="24"/>
                <w:szCs w:val="24"/>
                <w:highlight w:val="none"/>
              </w:rPr>
            </w:pPr>
          </w:p>
        </w:tc>
        <w:tc>
          <w:tcPr>
            <w:tcW w:w="648" w:type="pct"/>
            <w:noWrap w:val="0"/>
            <w:vAlign w:val="center"/>
          </w:tcPr>
          <w:p w14:paraId="0F0ACD02">
            <w:pPr>
              <w:rPr>
                <w:rFonts w:hint="default" w:ascii="仿宋" w:hAnsi="仿宋" w:eastAsia="仿宋"/>
                <w:sz w:val="24"/>
                <w:szCs w:val="24"/>
                <w:highlight w:val="none"/>
                <w:lang w:val="en-US" w:eastAsia="zh-CN"/>
              </w:rPr>
            </w:pPr>
            <w:r>
              <w:rPr>
                <w:rFonts w:ascii="仿宋" w:hAnsi="仿宋" w:eastAsia="仿宋"/>
                <w:sz w:val="24"/>
                <w:szCs w:val="24"/>
                <w:highlight w:val="none"/>
              </w:rPr>
              <w:t>绿</w:t>
            </w:r>
            <w:r>
              <w:rPr>
                <w:rFonts w:hint="eastAsia" w:ascii="仿宋" w:hAnsi="仿宋" w:eastAsia="仿宋"/>
                <w:sz w:val="24"/>
                <w:szCs w:val="24"/>
                <w:highlight w:val="none"/>
                <w:lang w:val="en-US" w:eastAsia="zh-CN"/>
              </w:rPr>
              <w:t>化带</w:t>
            </w:r>
            <w:r>
              <w:rPr>
                <w:rFonts w:ascii="仿宋" w:hAnsi="仿宋" w:eastAsia="仿宋"/>
                <w:sz w:val="24"/>
                <w:szCs w:val="24"/>
                <w:highlight w:val="none"/>
              </w:rPr>
              <w:t>清掏</w:t>
            </w:r>
            <w:r>
              <w:rPr>
                <w:rFonts w:hint="eastAsia" w:ascii="仿宋" w:hAnsi="仿宋" w:eastAsia="仿宋"/>
                <w:sz w:val="24"/>
                <w:szCs w:val="24"/>
                <w:highlight w:val="none"/>
                <w:lang w:val="en-US" w:eastAsia="zh-CN"/>
              </w:rPr>
              <w:t>及绿地、园路、广场、游乐场等区域的保洁</w:t>
            </w:r>
          </w:p>
        </w:tc>
        <w:tc>
          <w:tcPr>
            <w:tcW w:w="2158" w:type="pct"/>
            <w:noWrap w:val="0"/>
            <w:vAlign w:val="top"/>
          </w:tcPr>
          <w:p w14:paraId="27C3A64A">
            <w:pPr>
              <w:rPr>
                <w:rFonts w:ascii="仿宋" w:hAnsi="仿宋" w:eastAsia="仿宋"/>
                <w:sz w:val="24"/>
                <w:szCs w:val="24"/>
                <w:highlight w:val="none"/>
              </w:rPr>
            </w:pPr>
            <w:r>
              <w:rPr>
                <w:rFonts w:ascii="仿宋" w:hAnsi="仿宋" w:eastAsia="仿宋"/>
                <w:sz w:val="24"/>
                <w:szCs w:val="24"/>
                <w:highlight w:val="none"/>
              </w:rPr>
              <w:t>1、绿化带内有白色垃圾或杂草的，垃圾每处扣1分，绿地杂草按照每平米扣1分；</w:t>
            </w:r>
          </w:p>
          <w:p w14:paraId="012B0548">
            <w:pPr>
              <w:rPr>
                <w:rFonts w:ascii="仿宋" w:hAnsi="仿宋" w:eastAsia="仿宋"/>
                <w:sz w:val="24"/>
                <w:szCs w:val="24"/>
                <w:highlight w:val="none"/>
              </w:rPr>
            </w:pPr>
            <w:r>
              <w:rPr>
                <w:rFonts w:ascii="仿宋" w:hAnsi="仿宋" w:eastAsia="仿宋"/>
                <w:sz w:val="24"/>
                <w:szCs w:val="24"/>
                <w:highlight w:val="none"/>
              </w:rPr>
              <w:t>2、绿化带清理、清掏出的垃圾要求人走垃圾清，沿途堆积的，每处扣2分。</w:t>
            </w:r>
          </w:p>
          <w:p w14:paraId="59272919">
            <w:pPr>
              <w:rPr>
                <w:rFonts w:ascii="仿宋" w:hAnsi="仿宋" w:eastAsia="仿宋"/>
                <w:sz w:val="24"/>
                <w:szCs w:val="24"/>
                <w:highlight w:val="none"/>
              </w:rPr>
            </w:pPr>
            <w:r>
              <w:rPr>
                <w:rFonts w:ascii="仿宋" w:hAnsi="仿宋" w:eastAsia="仿宋"/>
                <w:sz w:val="24"/>
                <w:szCs w:val="24"/>
                <w:highlight w:val="none"/>
              </w:rPr>
              <w:t>3、建立绿篱清掏常效化管理机制，每年早春与秋冬交替之际，组织两次彻底的清掏工作，确保绿化带土层低于道沿10公分（特殊情况除外），清掏工作不达标的，每㎡扣0.5分。</w:t>
            </w:r>
          </w:p>
          <w:p w14:paraId="60C327AA">
            <w:pPr>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lang w:val="en-US" w:eastAsia="zh-CN"/>
              </w:rPr>
              <w:t>4、园路、广场、绿地等区域及时清扫，垃圾杂物及时捡拾，未开展清扫工作扣5分，未及时捡拾垃圾杂物的发现一处扣0.5分。</w:t>
            </w:r>
          </w:p>
          <w:p w14:paraId="7E2A6234">
            <w:pPr>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lang w:val="en-US" w:eastAsia="zh-CN"/>
              </w:rPr>
              <w:t>5、公园广场内垃圾桶、果皮箱内垃圾及时清掏，无堆积垃圾，无恶臭异味，一处不达标扣1分。</w:t>
            </w:r>
          </w:p>
          <w:p w14:paraId="1C0B6CD5">
            <w:pPr>
              <w:rPr>
                <w:highlight w:val="none"/>
              </w:rPr>
            </w:pPr>
            <w:r>
              <w:rPr>
                <w:rFonts w:hint="eastAsia" w:ascii="仿宋" w:hAnsi="仿宋" w:eastAsia="仿宋" w:cs="Times New Roman"/>
                <w:sz w:val="24"/>
                <w:szCs w:val="24"/>
                <w:highlight w:val="none"/>
                <w:lang w:val="en-US" w:eastAsia="zh-CN"/>
              </w:rPr>
              <w:t>6、绿地区域内无乱贴乱画，乱打乱盖，擅自占用和堆放杂物现象，一次不达标标扣1分。                        7、绿地内护栏、座椅、垃圾桶等设施定期擦洗，干净整洁，未及时擦洗的每处扣0.5分。</w:t>
            </w:r>
          </w:p>
        </w:tc>
        <w:tc>
          <w:tcPr>
            <w:tcW w:w="1192" w:type="pct"/>
            <w:noWrap w:val="0"/>
            <w:vAlign w:val="top"/>
          </w:tcPr>
          <w:p w14:paraId="5F01532F">
            <w:pPr>
              <w:rPr>
                <w:rFonts w:ascii="仿宋" w:hAnsi="仿宋" w:eastAsia="仿宋"/>
                <w:sz w:val="24"/>
                <w:szCs w:val="24"/>
                <w:highlight w:val="none"/>
              </w:rPr>
            </w:pPr>
            <w:r>
              <w:rPr>
                <w:rFonts w:ascii="仿宋" w:hAnsi="仿宋" w:eastAsia="仿宋"/>
                <w:sz w:val="24"/>
                <w:szCs w:val="24"/>
                <w:highlight w:val="none"/>
              </w:rPr>
              <w:t>无保洁方案或方案不合格或未按照方案实施的按照1万元处罚，垃圾杂物每次检查5000㎡范围内超过5处的按照100元/处罚款；出现现场垃圾堆积，未及时清理（工完场清）的按照</w:t>
            </w:r>
            <w:r>
              <w:rPr>
                <w:rFonts w:hint="eastAsia" w:ascii="仿宋" w:hAnsi="仿宋" w:eastAsia="仿宋"/>
                <w:sz w:val="24"/>
                <w:szCs w:val="24"/>
                <w:highlight w:val="none"/>
              </w:rPr>
              <w:t>5</w:t>
            </w:r>
            <w:r>
              <w:rPr>
                <w:rFonts w:ascii="仿宋" w:hAnsi="仿宋" w:eastAsia="仿宋"/>
                <w:sz w:val="24"/>
                <w:szCs w:val="24"/>
                <w:highlight w:val="none"/>
              </w:rPr>
              <w:t>00元/堆进行处罚</w:t>
            </w:r>
          </w:p>
        </w:tc>
        <w:tc>
          <w:tcPr>
            <w:tcW w:w="252" w:type="pct"/>
            <w:noWrap w:val="0"/>
            <w:vAlign w:val="top"/>
          </w:tcPr>
          <w:p w14:paraId="6487AE68">
            <w:pPr>
              <w:rPr>
                <w:rFonts w:ascii="仿宋" w:hAnsi="仿宋" w:eastAsia="仿宋"/>
                <w:sz w:val="24"/>
                <w:szCs w:val="24"/>
                <w:highlight w:val="none"/>
              </w:rPr>
            </w:pPr>
          </w:p>
        </w:tc>
      </w:tr>
      <w:tr w14:paraId="61C9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5F9F82">
            <w:pPr>
              <w:rPr>
                <w:rFonts w:ascii="仿宋" w:hAnsi="仿宋" w:eastAsia="仿宋"/>
                <w:sz w:val="24"/>
                <w:szCs w:val="24"/>
                <w:highlight w:val="none"/>
              </w:rPr>
            </w:pPr>
          </w:p>
        </w:tc>
        <w:tc>
          <w:tcPr>
            <w:tcW w:w="444" w:type="pct"/>
            <w:vMerge w:val="continue"/>
            <w:noWrap w:val="0"/>
            <w:vAlign w:val="top"/>
          </w:tcPr>
          <w:p w14:paraId="1141C8ED">
            <w:pPr>
              <w:rPr>
                <w:rFonts w:ascii="仿宋" w:hAnsi="仿宋" w:eastAsia="仿宋"/>
                <w:sz w:val="24"/>
                <w:szCs w:val="24"/>
                <w:highlight w:val="none"/>
              </w:rPr>
            </w:pPr>
          </w:p>
        </w:tc>
        <w:tc>
          <w:tcPr>
            <w:tcW w:w="648" w:type="pct"/>
            <w:noWrap w:val="0"/>
            <w:vAlign w:val="center"/>
          </w:tcPr>
          <w:p w14:paraId="6051D267">
            <w:pPr>
              <w:rPr>
                <w:rFonts w:ascii="仿宋" w:hAnsi="仿宋" w:eastAsia="仿宋"/>
                <w:sz w:val="24"/>
                <w:szCs w:val="24"/>
                <w:highlight w:val="none"/>
              </w:rPr>
            </w:pPr>
            <w:r>
              <w:rPr>
                <w:rFonts w:ascii="仿宋" w:hAnsi="仿宋" w:eastAsia="仿宋"/>
                <w:sz w:val="24"/>
                <w:szCs w:val="24"/>
                <w:highlight w:val="none"/>
              </w:rPr>
              <w:t>绿化带灌溉工作</w:t>
            </w:r>
          </w:p>
        </w:tc>
        <w:tc>
          <w:tcPr>
            <w:tcW w:w="2158" w:type="pct"/>
            <w:noWrap w:val="0"/>
            <w:vAlign w:val="top"/>
          </w:tcPr>
          <w:p w14:paraId="43468C65">
            <w:pPr>
              <w:rPr>
                <w:rFonts w:ascii="仿宋" w:hAnsi="仿宋" w:eastAsia="仿宋"/>
                <w:sz w:val="24"/>
                <w:szCs w:val="24"/>
                <w:highlight w:val="none"/>
              </w:rPr>
            </w:pPr>
            <w:r>
              <w:rPr>
                <w:rFonts w:ascii="仿宋" w:hAnsi="仿宋" w:eastAsia="仿宋"/>
                <w:sz w:val="24"/>
                <w:szCs w:val="24"/>
                <w:highlight w:val="none"/>
              </w:rPr>
              <w:t>1、无浇灌台账、无浇灌实施方案扣10分；</w:t>
            </w:r>
          </w:p>
          <w:p w14:paraId="0349D996">
            <w:pPr>
              <w:rPr>
                <w:rFonts w:ascii="仿宋" w:hAnsi="仿宋" w:eastAsia="仿宋"/>
                <w:sz w:val="24"/>
                <w:szCs w:val="24"/>
                <w:highlight w:val="none"/>
              </w:rPr>
            </w:pPr>
            <w:r>
              <w:rPr>
                <w:rFonts w:ascii="仿宋" w:hAnsi="仿宋" w:eastAsia="仿宋"/>
                <w:sz w:val="24"/>
                <w:szCs w:val="24"/>
                <w:highlight w:val="none"/>
              </w:rPr>
              <w:t>2、绿地要求每年在入冬和开春两季分开开展冬灌和返青两次灌溉工作，同时全年浇灌次数不少于12次。在连续半个月无有效降水的情况下，要开展抗旱工作。因苗木浇水次数不达标而造成苗木死亡每处扣5分；</w:t>
            </w:r>
          </w:p>
          <w:p w14:paraId="2D425CC0">
            <w:pPr>
              <w:rPr>
                <w:rFonts w:ascii="仿宋" w:hAnsi="仿宋" w:eastAsia="仿宋"/>
                <w:sz w:val="24"/>
                <w:szCs w:val="24"/>
                <w:highlight w:val="none"/>
              </w:rPr>
            </w:pPr>
            <w:r>
              <w:rPr>
                <w:rFonts w:ascii="仿宋" w:hAnsi="仿宋" w:eastAsia="仿宋"/>
                <w:sz w:val="24"/>
                <w:szCs w:val="24"/>
                <w:highlight w:val="none"/>
              </w:rPr>
              <w:t>3、灌溉车辆在交通高峰期作业的，每车次扣2分。</w:t>
            </w:r>
          </w:p>
          <w:p w14:paraId="5F0FA989">
            <w:pPr>
              <w:rPr>
                <w:rFonts w:ascii="仿宋" w:hAnsi="仿宋" w:eastAsia="仿宋"/>
                <w:sz w:val="24"/>
                <w:szCs w:val="24"/>
                <w:highlight w:val="none"/>
              </w:rPr>
            </w:pPr>
            <w:r>
              <w:rPr>
                <w:rFonts w:ascii="仿宋" w:hAnsi="仿宋" w:eastAsia="仿宋"/>
                <w:sz w:val="24"/>
                <w:szCs w:val="24"/>
                <w:highlight w:val="none"/>
              </w:rPr>
              <w:t>4、道路绿地每半月对绿植进行一次冲洗，未实施每次扣5分。</w:t>
            </w:r>
          </w:p>
        </w:tc>
        <w:tc>
          <w:tcPr>
            <w:tcW w:w="1192" w:type="pct"/>
            <w:noWrap w:val="0"/>
            <w:vAlign w:val="top"/>
          </w:tcPr>
          <w:p w14:paraId="00107075">
            <w:pPr>
              <w:rPr>
                <w:rFonts w:ascii="仿宋" w:hAnsi="仿宋" w:eastAsia="仿宋"/>
                <w:sz w:val="24"/>
                <w:szCs w:val="24"/>
                <w:highlight w:val="none"/>
              </w:rPr>
            </w:pPr>
            <w:r>
              <w:rPr>
                <w:rFonts w:ascii="仿宋" w:hAnsi="仿宋" w:eastAsia="仿宋"/>
                <w:sz w:val="24"/>
                <w:szCs w:val="24"/>
                <w:highlight w:val="none"/>
              </w:rPr>
              <w:t>无浇灌方案或方案不合格的按照1万元扣除，未实施或绿地干旱验收不合格的绿地按照</w:t>
            </w:r>
            <w:r>
              <w:rPr>
                <w:rFonts w:hint="eastAsia" w:ascii="仿宋" w:hAnsi="仿宋" w:eastAsia="仿宋"/>
                <w:sz w:val="24"/>
                <w:szCs w:val="24"/>
                <w:highlight w:val="none"/>
              </w:rPr>
              <w:t>0.3</w:t>
            </w:r>
            <w:r>
              <w:rPr>
                <w:rFonts w:ascii="仿宋" w:hAnsi="仿宋" w:eastAsia="仿宋"/>
                <w:sz w:val="24"/>
                <w:szCs w:val="24"/>
                <w:highlight w:val="none"/>
              </w:rPr>
              <w:t>元/㎡/次进行扣款</w:t>
            </w:r>
          </w:p>
        </w:tc>
        <w:tc>
          <w:tcPr>
            <w:tcW w:w="252" w:type="pct"/>
            <w:noWrap w:val="0"/>
            <w:vAlign w:val="top"/>
          </w:tcPr>
          <w:p w14:paraId="675053AE">
            <w:pPr>
              <w:rPr>
                <w:rFonts w:ascii="仿宋" w:hAnsi="仿宋" w:eastAsia="仿宋"/>
                <w:sz w:val="24"/>
                <w:szCs w:val="24"/>
                <w:highlight w:val="none"/>
              </w:rPr>
            </w:pPr>
          </w:p>
        </w:tc>
      </w:tr>
      <w:tr w14:paraId="1E54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2A1926D3">
            <w:pPr>
              <w:rPr>
                <w:rFonts w:ascii="仿宋" w:hAnsi="仿宋" w:eastAsia="仿宋"/>
                <w:sz w:val="24"/>
                <w:szCs w:val="24"/>
                <w:highlight w:val="none"/>
              </w:rPr>
            </w:pPr>
          </w:p>
        </w:tc>
        <w:tc>
          <w:tcPr>
            <w:tcW w:w="444" w:type="pct"/>
            <w:vMerge w:val="continue"/>
            <w:noWrap w:val="0"/>
            <w:vAlign w:val="top"/>
          </w:tcPr>
          <w:p w14:paraId="4A88B4EE">
            <w:pPr>
              <w:rPr>
                <w:rFonts w:ascii="仿宋" w:hAnsi="仿宋" w:eastAsia="仿宋"/>
                <w:sz w:val="24"/>
                <w:szCs w:val="24"/>
                <w:highlight w:val="none"/>
              </w:rPr>
            </w:pPr>
          </w:p>
        </w:tc>
        <w:tc>
          <w:tcPr>
            <w:tcW w:w="648" w:type="pct"/>
            <w:noWrap w:val="0"/>
            <w:vAlign w:val="center"/>
          </w:tcPr>
          <w:p w14:paraId="3BC42E1D">
            <w:pPr>
              <w:rPr>
                <w:rFonts w:ascii="仿宋" w:hAnsi="仿宋" w:eastAsia="仿宋"/>
                <w:sz w:val="24"/>
                <w:szCs w:val="24"/>
                <w:highlight w:val="none"/>
              </w:rPr>
            </w:pPr>
            <w:r>
              <w:rPr>
                <w:rFonts w:ascii="仿宋" w:hAnsi="仿宋" w:eastAsia="仿宋"/>
                <w:sz w:val="24"/>
                <w:szCs w:val="24"/>
                <w:highlight w:val="none"/>
              </w:rPr>
              <w:t>苗木整形修剪、绿地乔木及行道树管理</w:t>
            </w:r>
          </w:p>
        </w:tc>
        <w:tc>
          <w:tcPr>
            <w:tcW w:w="2158" w:type="pct"/>
            <w:noWrap w:val="0"/>
            <w:vAlign w:val="top"/>
          </w:tcPr>
          <w:p w14:paraId="5FF7749D">
            <w:pPr>
              <w:rPr>
                <w:rFonts w:ascii="仿宋" w:hAnsi="仿宋" w:eastAsia="仿宋"/>
                <w:sz w:val="24"/>
                <w:szCs w:val="24"/>
                <w:highlight w:val="none"/>
              </w:rPr>
            </w:pPr>
            <w:r>
              <w:rPr>
                <w:rFonts w:ascii="仿宋" w:hAnsi="仿宋" w:eastAsia="仿宋"/>
                <w:sz w:val="24"/>
                <w:szCs w:val="24"/>
                <w:highlight w:val="none"/>
              </w:rPr>
              <w:t>1、无修剪实施方案、无修剪台账扣10分；</w:t>
            </w:r>
          </w:p>
          <w:p w14:paraId="73691FCC">
            <w:pPr>
              <w:rPr>
                <w:rFonts w:ascii="仿宋" w:hAnsi="仿宋" w:eastAsia="仿宋"/>
                <w:sz w:val="24"/>
                <w:szCs w:val="24"/>
                <w:highlight w:val="none"/>
              </w:rPr>
            </w:pPr>
            <w:r>
              <w:rPr>
                <w:rFonts w:ascii="仿宋" w:hAnsi="仿宋" w:eastAsia="仿宋"/>
                <w:sz w:val="24"/>
                <w:szCs w:val="24"/>
                <w:highlight w:val="none"/>
              </w:rPr>
              <w:t>2、草坪、绿篱春冬季每月修剪一次，夏秋季每半月修剪一次，草坪高度冷季型不得超过8㎝（暖季型不得超过</w:t>
            </w:r>
            <w:r>
              <w:rPr>
                <w:rFonts w:hint="eastAsia" w:ascii="仿宋" w:hAnsi="仿宋" w:eastAsia="仿宋"/>
                <w:sz w:val="24"/>
                <w:szCs w:val="24"/>
                <w:highlight w:val="none"/>
              </w:rPr>
              <w:t>5</w:t>
            </w:r>
            <w:r>
              <w:rPr>
                <w:rFonts w:ascii="仿宋" w:hAnsi="仿宋" w:eastAsia="仿宋"/>
                <w:sz w:val="24"/>
                <w:szCs w:val="24"/>
                <w:highlight w:val="none"/>
              </w:rPr>
              <w:t>㎝），绿篱不得高前期修剪高度5㎝；落叶乔木每两个月修剪一次；常绿乔木每半年修剪一次；花灌木春冬季每季度修剪一次、夏秋季每季度修剪二次；未按以上规定作业的，每平米（每株）扣1分；</w:t>
            </w:r>
          </w:p>
          <w:p w14:paraId="56924185">
            <w:pPr>
              <w:rPr>
                <w:rFonts w:ascii="仿宋" w:hAnsi="仿宋" w:eastAsia="仿宋"/>
                <w:sz w:val="24"/>
                <w:szCs w:val="24"/>
                <w:highlight w:val="none"/>
              </w:rPr>
            </w:pPr>
            <w:r>
              <w:rPr>
                <w:rFonts w:ascii="仿宋" w:hAnsi="仿宋" w:eastAsia="仿宋"/>
                <w:sz w:val="24"/>
                <w:szCs w:val="24"/>
                <w:highlight w:val="none"/>
              </w:rPr>
              <w:t>3、乔木枝叶疯长、灌木杂生乱长、造型无形，导致视线不通透、植物外形不美甚至制约苗木正常生长的每处扣2分。遮挡交通信号灯与交通标识牌的苗木未及时修剪的，每处扣2分；</w:t>
            </w:r>
          </w:p>
          <w:p w14:paraId="6A0467CD">
            <w:pPr>
              <w:rPr>
                <w:rFonts w:ascii="仿宋" w:hAnsi="仿宋" w:eastAsia="仿宋"/>
                <w:sz w:val="24"/>
                <w:szCs w:val="24"/>
                <w:highlight w:val="none"/>
              </w:rPr>
            </w:pPr>
            <w:r>
              <w:rPr>
                <w:rFonts w:ascii="仿宋" w:hAnsi="仿宋" w:eastAsia="仿宋"/>
                <w:sz w:val="24"/>
                <w:szCs w:val="24"/>
                <w:highlight w:val="none"/>
              </w:rPr>
              <w:t>4、行道树乱贴乱挂，新栽行道树上草绳、保护被、塑料膜去除不及时，每处扣1分；</w:t>
            </w:r>
          </w:p>
          <w:p w14:paraId="02675E33">
            <w:pPr>
              <w:rPr>
                <w:highlight w:val="none"/>
              </w:rPr>
            </w:pPr>
            <w:r>
              <w:rPr>
                <w:rFonts w:ascii="仿宋" w:hAnsi="仿宋" w:eastAsia="仿宋"/>
                <w:sz w:val="24"/>
                <w:szCs w:val="24"/>
                <w:highlight w:val="none"/>
              </w:rPr>
              <w:t>5、支撑设施杂乱无章，不够规范统一的每处扣1分；</w:t>
            </w:r>
          </w:p>
        </w:tc>
        <w:tc>
          <w:tcPr>
            <w:tcW w:w="1192" w:type="pct"/>
            <w:noWrap w:val="0"/>
            <w:vAlign w:val="top"/>
          </w:tcPr>
          <w:p w14:paraId="6A16081F">
            <w:pPr>
              <w:rPr>
                <w:rFonts w:ascii="仿宋" w:hAnsi="仿宋" w:eastAsia="仿宋"/>
                <w:sz w:val="24"/>
                <w:szCs w:val="24"/>
                <w:highlight w:val="none"/>
              </w:rPr>
            </w:pPr>
          </w:p>
          <w:p w14:paraId="73E17579">
            <w:pPr>
              <w:rPr>
                <w:rFonts w:ascii="仿宋" w:hAnsi="仿宋" w:eastAsia="仿宋"/>
                <w:sz w:val="24"/>
                <w:szCs w:val="24"/>
                <w:highlight w:val="none"/>
              </w:rPr>
            </w:pPr>
          </w:p>
          <w:p w14:paraId="42207885">
            <w:pPr>
              <w:rPr>
                <w:rFonts w:ascii="仿宋" w:hAnsi="仿宋" w:eastAsia="仿宋"/>
                <w:sz w:val="24"/>
                <w:szCs w:val="24"/>
                <w:highlight w:val="none"/>
              </w:rPr>
            </w:pPr>
            <w:r>
              <w:rPr>
                <w:rFonts w:ascii="仿宋" w:hAnsi="仿宋" w:eastAsia="仿宋"/>
                <w:sz w:val="24"/>
                <w:szCs w:val="24"/>
                <w:highlight w:val="none"/>
              </w:rPr>
              <w:t>无修剪方案或方案不合格的按照1万元处罚，草坪、绿篱修剪不及时或不合格，每平米扣除</w:t>
            </w:r>
            <w:r>
              <w:rPr>
                <w:rFonts w:hint="eastAsia" w:ascii="仿宋" w:hAnsi="仿宋" w:eastAsia="仿宋"/>
                <w:sz w:val="24"/>
                <w:szCs w:val="24"/>
                <w:highlight w:val="none"/>
                <w:lang w:val="en-US" w:eastAsia="zh-CN"/>
              </w:rPr>
              <w:t>2</w:t>
            </w:r>
            <w:r>
              <w:rPr>
                <w:rFonts w:ascii="仿宋" w:hAnsi="仿宋" w:eastAsia="仿宋"/>
                <w:sz w:val="24"/>
                <w:szCs w:val="24"/>
                <w:highlight w:val="none"/>
              </w:rPr>
              <w:t>元/㎡；乔木、灌木修剪不及时或不合格，按照</w:t>
            </w:r>
            <w:r>
              <w:rPr>
                <w:rFonts w:hint="eastAsia" w:ascii="仿宋" w:hAnsi="仿宋" w:eastAsia="仿宋"/>
                <w:sz w:val="24"/>
                <w:szCs w:val="24"/>
                <w:highlight w:val="none"/>
                <w:lang w:val="en-US" w:eastAsia="zh-CN"/>
              </w:rPr>
              <w:t>200</w:t>
            </w:r>
            <w:r>
              <w:rPr>
                <w:rFonts w:ascii="仿宋" w:hAnsi="仿宋" w:eastAsia="仿宋"/>
                <w:sz w:val="24"/>
                <w:szCs w:val="24"/>
                <w:highlight w:val="none"/>
              </w:rPr>
              <w:t>元/株进行处罚。</w:t>
            </w:r>
          </w:p>
        </w:tc>
        <w:tc>
          <w:tcPr>
            <w:tcW w:w="252" w:type="pct"/>
            <w:noWrap w:val="0"/>
            <w:vAlign w:val="top"/>
          </w:tcPr>
          <w:p w14:paraId="5C8262C1">
            <w:pPr>
              <w:rPr>
                <w:rFonts w:ascii="仿宋" w:hAnsi="仿宋" w:eastAsia="仿宋"/>
                <w:sz w:val="24"/>
                <w:szCs w:val="24"/>
                <w:highlight w:val="none"/>
              </w:rPr>
            </w:pPr>
          </w:p>
        </w:tc>
      </w:tr>
      <w:tr w14:paraId="7456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D04EE10">
            <w:pPr>
              <w:rPr>
                <w:rFonts w:ascii="仿宋" w:hAnsi="仿宋" w:eastAsia="仿宋"/>
                <w:sz w:val="24"/>
                <w:szCs w:val="24"/>
                <w:highlight w:val="none"/>
              </w:rPr>
            </w:pPr>
          </w:p>
        </w:tc>
        <w:tc>
          <w:tcPr>
            <w:tcW w:w="444" w:type="pct"/>
            <w:vMerge w:val="continue"/>
            <w:noWrap w:val="0"/>
            <w:vAlign w:val="top"/>
          </w:tcPr>
          <w:p w14:paraId="1631E56B">
            <w:pPr>
              <w:rPr>
                <w:rFonts w:ascii="仿宋" w:hAnsi="仿宋" w:eastAsia="仿宋"/>
                <w:sz w:val="24"/>
                <w:szCs w:val="24"/>
                <w:highlight w:val="none"/>
              </w:rPr>
            </w:pPr>
          </w:p>
        </w:tc>
        <w:tc>
          <w:tcPr>
            <w:tcW w:w="648" w:type="pct"/>
            <w:noWrap w:val="0"/>
            <w:vAlign w:val="center"/>
          </w:tcPr>
          <w:p w14:paraId="30B55EE1">
            <w:pPr>
              <w:rPr>
                <w:rFonts w:ascii="仿宋" w:hAnsi="仿宋" w:eastAsia="仿宋"/>
                <w:sz w:val="24"/>
                <w:szCs w:val="24"/>
                <w:highlight w:val="none"/>
              </w:rPr>
            </w:pPr>
            <w:r>
              <w:rPr>
                <w:rFonts w:ascii="仿宋" w:hAnsi="仿宋" w:eastAsia="仿宋"/>
                <w:sz w:val="24"/>
                <w:szCs w:val="24"/>
                <w:highlight w:val="none"/>
              </w:rPr>
              <w:t>树木扶正</w:t>
            </w:r>
          </w:p>
        </w:tc>
        <w:tc>
          <w:tcPr>
            <w:tcW w:w="2158" w:type="pct"/>
            <w:noWrap w:val="0"/>
            <w:vAlign w:val="top"/>
          </w:tcPr>
          <w:p w14:paraId="0BD773A4">
            <w:pPr>
              <w:rPr>
                <w:rFonts w:ascii="仿宋" w:hAnsi="仿宋" w:eastAsia="仿宋"/>
                <w:sz w:val="24"/>
                <w:szCs w:val="24"/>
                <w:highlight w:val="none"/>
              </w:rPr>
            </w:pPr>
            <w:r>
              <w:rPr>
                <w:rFonts w:ascii="仿宋" w:hAnsi="仿宋" w:eastAsia="仿宋"/>
                <w:sz w:val="24"/>
                <w:szCs w:val="24"/>
                <w:highlight w:val="none"/>
              </w:rPr>
              <w:t>树木歪斜未及时扶正的扣2分</w:t>
            </w:r>
          </w:p>
        </w:tc>
        <w:tc>
          <w:tcPr>
            <w:tcW w:w="1192" w:type="pct"/>
            <w:noWrap w:val="0"/>
            <w:vAlign w:val="top"/>
          </w:tcPr>
          <w:p w14:paraId="2B1F140F">
            <w:pPr>
              <w:rPr>
                <w:rFonts w:ascii="仿宋" w:hAnsi="仿宋" w:eastAsia="仿宋"/>
                <w:sz w:val="24"/>
                <w:szCs w:val="24"/>
                <w:highlight w:val="none"/>
              </w:rPr>
            </w:pPr>
            <w:r>
              <w:rPr>
                <w:rFonts w:ascii="仿宋" w:hAnsi="仿宋" w:eastAsia="仿宋"/>
                <w:sz w:val="24"/>
                <w:szCs w:val="24"/>
                <w:highlight w:val="none"/>
              </w:rPr>
              <w:t>无方案或方案不合格的按照</w:t>
            </w:r>
            <w:r>
              <w:rPr>
                <w:rFonts w:hint="eastAsia" w:ascii="仿宋" w:hAnsi="仿宋" w:eastAsia="仿宋"/>
                <w:sz w:val="24"/>
                <w:szCs w:val="24"/>
                <w:highlight w:val="none"/>
              </w:rPr>
              <w:t>1</w:t>
            </w:r>
            <w:r>
              <w:rPr>
                <w:rFonts w:ascii="仿宋" w:hAnsi="仿宋" w:eastAsia="仿宋"/>
                <w:sz w:val="24"/>
                <w:szCs w:val="24"/>
                <w:highlight w:val="none"/>
              </w:rPr>
              <w:t>万元/次扣除，苗木不正未在上一个绿化季扶正的</w:t>
            </w:r>
            <w:r>
              <w:rPr>
                <w:rFonts w:hint="eastAsia" w:ascii="仿宋" w:hAnsi="仿宋" w:eastAsia="仿宋"/>
                <w:color w:val="FF0000"/>
                <w:sz w:val="24"/>
                <w:szCs w:val="24"/>
                <w:highlight w:val="none"/>
                <w:lang w:val="en-US" w:eastAsia="zh-CN"/>
              </w:rPr>
              <w:t>10</w:t>
            </w:r>
            <w:r>
              <w:rPr>
                <w:rFonts w:ascii="仿宋" w:hAnsi="仿宋" w:eastAsia="仿宋"/>
                <w:color w:val="FF0000"/>
                <w:sz w:val="24"/>
                <w:szCs w:val="24"/>
                <w:highlight w:val="none"/>
              </w:rPr>
              <w:t>00元/株</w:t>
            </w:r>
            <w:r>
              <w:rPr>
                <w:rFonts w:ascii="仿宋" w:hAnsi="仿宋" w:eastAsia="仿宋"/>
                <w:sz w:val="24"/>
                <w:szCs w:val="24"/>
                <w:highlight w:val="none"/>
              </w:rPr>
              <w:t>进行扣除；遇极端天气或应急需要未按时限扶正的</w:t>
            </w:r>
            <w:r>
              <w:rPr>
                <w:rFonts w:hint="eastAsia" w:ascii="仿宋" w:hAnsi="仿宋" w:eastAsia="仿宋"/>
                <w:sz w:val="24"/>
                <w:szCs w:val="24"/>
                <w:highlight w:val="none"/>
              </w:rPr>
              <w:t>3</w:t>
            </w:r>
            <w:r>
              <w:rPr>
                <w:rFonts w:ascii="仿宋" w:hAnsi="仿宋" w:eastAsia="仿宋"/>
                <w:sz w:val="24"/>
                <w:szCs w:val="24"/>
                <w:highlight w:val="none"/>
              </w:rPr>
              <w:t>000元/次扣除</w:t>
            </w:r>
          </w:p>
        </w:tc>
        <w:tc>
          <w:tcPr>
            <w:tcW w:w="252" w:type="pct"/>
            <w:noWrap w:val="0"/>
            <w:vAlign w:val="top"/>
          </w:tcPr>
          <w:p w14:paraId="5A987A46">
            <w:pPr>
              <w:rPr>
                <w:rFonts w:ascii="仿宋" w:hAnsi="仿宋" w:eastAsia="仿宋"/>
                <w:sz w:val="24"/>
                <w:szCs w:val="24"/>
                <w:highlight w:val="none"/>
              </w:rPr>
            </w:pPr>
          </w:p>
        </w:tc>
      </w:tr>
      <w:tr w14:paraId="208E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6075473">
            <w:pPr>
              <w:rPr>
                <w:rFonts w:ascii="仿宋" w:hAnsi="仿宋" w:eastAsia="仿宋"/>
                <w:sz w:val="24"/>
                <w:szCs w:val="24"/>
                <w:highlight w:val="none"/>
              </w:rPr>
            </w:pPr>
          </w:p>
        </w:tc>
        <w:tc>
          <w:tcPr>
            <w:tcW w:w="444" w:type="pct"/>
            <w:vMerge w:val="continue"/>
            <w:noWrap w:val="0"/>
            <w:vAlign w:val="top"/>
          </w:tcPr>
          <w:p w14:paraId="67CFE826">
            <w:pPr>
              <w:rPr>
                <w:rFonts w:ascii="仿宋" w:hAnsi="仿宋" w:eastAsia="仿宋"/>
                <w:sz w:val="24"/>
                <w:szCs w:val="24"/>
                <w:highlight w:val="none"/>
              </w:rPr>
            </w:pPr>
          </w:p>
        </w:tc>
        <w:tc>
          <w:tcPr>
            <w:tcW w:w="648" w:type="pct"/>
            <w:noWrap w:val="0"/>
            <w:vAlign w:val="center"/>
          </w:tcPr>
          <w:p w14:paraId="5534E010">
            <w:pPr>
              <w:rPr>
                <w:rFonts w:ascii="仿宋" w:hAnsi="仿宋" w:eastAsia="仿宋"/>
                <w:sz w:val="24"/>
                <w:szCs w:val="24"/>
                <w:highlight w:val="none"/>
              </w:rPr>
            </w:pPr>
            <w:r>
              <w:rPr>
                <w:rFonts w:ascii="仿宋" w:hAnsi="仿宋" w:eastAsia="仿宋"/>
                <w:sz w:val="24"/>
                <w:szCs w:val="24"/>
                <w:highlight w:val="none"/>
              </w:rPr>
              <w:t>苗木补栽</w:t>
            </w:r>
          </w:p>
        </w:tc>
        <w:tc>
          <w:tcPr>
            <w:tcW w:w="2158" w:type="pct"/>
            <w:noWrap w:val="0"/>
            <w:vAlign w:val="top"/>
          </w:tcPr>
          <w:p w14:paraId="2D4ACD24">
            <w:pPr>
              <w:rPr>
                <w:rFonts w:ascii="仿宋" w:hAnsi="仿宋" w:eastAsia="仿宋"/>
                <w:sz w:val="24"/>
                <w:szCs w:val="24"/>
                <w:highlight w:val="none"/>
              </w:rPr>
            </w:pPr>
            <w:r>
              <w:rPr>
                <w:rFonts w:ascii="仿宋" w:hAnsi="仿宋" w:eastAsia="仿宋"/>
                <w:sz w:val="24"/>
                <w:szCs w:val="24"/>
                <w:highlight w:val="none"/>
              </w:rPr>
              <w:t>1、每年的春、秋两季组织两次苗木补栽工作，确保行道树无缺株，绿篱无断垄及斑秃现象。行道树和绿篱有缺株或断垄的，每处扣1分。</w:t>
            </w:r>
          </w:p>
          <w:p w14:paraId="583DE588">
            <w:pPr>
              <w:rPr>
                <w:rFonts w:ascii="仿宋" w:hAnsi="仿宋" w:eastAsia="仿宋"/>
                <w:sz w:val="24"/>
                <w:szCs w:val="24"/>
                <w:highlight w:val="none"/>
              </w:rPr>
            </w:pPr>
            <w:r>
              <w:rPr>
                <w:rFonts w:ascii="仿宋" w:hAnsi="仿宋" w:eastAsia="仿宋"/>
                <w:sz w:val="24"/>
                <w:szCs w:val="24"/>
                <w:highlight w:val="none"/>
              </w:rPr>
              <w:t>2、草坪管理维护不精细，造成斑秃的每㎡扣2分。</w:t>
            </w:r>
          </w:p>
          <w:p w14:paraId="7F9D57CA">
            <w:pPr>
              <w:rPr>
                <w:rFonts w:ascii="仿宋" w:hAnsi="仿宋" w:eastAsia="仿宋"/>
                <w:sz w:val="24"/>
                <w:szCs w:val="24"/>
                <w:highlight w:val="none"/>
              </w:rPr>
            </w:pPr>
            <w:r>
              <w:rPr>
                <w:rFonts w:ascii="仿宋" w:hAnsi="仿宋" w:eastAsia="仿宋"/>
                <w:sz w:val="24"/>
                <w:szCs w:val="24"/>
                <w:highlight w:val="none"/>
              </w:rPr>
              <w:t>3、无修剪台账、无修剪实施方案扣10分；</w:t>
            </w:r>
          </w:p>
        </w:tc>
        <w:tc>
          <w:tcPr>
            <w:tcW w:w="1192" w:type="pct"/>
            <w:noWrap w:val="0"/>
            <w:vAlign w:val="top"/>
          </w:tcPr>
          <w:p w14:paraId="0C72A82A">
            <w:pPr>
              <w:rPr>
                <w:rFonts w:ascii="仿宋" w:hAnsi="仿宋" w:eastAsia="仿宋"/>
                <w:sz w:val="24"/>
                <w:szCs w:val="24"/>
                <w:highlight w:val="none"/>
              </w:rPr>
            </w:pPr>
            <w:r>
              <w:rPr>
                <w:rFonts w:ascii="仿宋" w:hAnsi="仿宋" w:eastAsia="仿宋"/>
                <w:sz w:val="24"/>
                <w:szCs w:val="24"/>
                <w:highlight w:val="none"/>
              </w:rPr>
              <w:t>无方案的或方案不合格的按照1万元/次扣除，乔木、灌木按照</w:t>
            </w:r>
            <w:r>
              <w:rPr>
                <w:rFonts w:hint="eastAsia" w:ascii="仿宋" w:hAnsi="仿宋" w:eastAsia="仿宋"/>
                <w:sz w:val="24"/>
                <w:szCs w:val="24"/>
                <w:highlight w:val="none"/>
              </w:rPr>
              <w:t>3</w:t>
            </w:r>
            <w:r>
              <w:rPr>
                <w:rFonts w:ascii="仿宋" w:hAnsi="仿宋" w:eastAsia="仿宋"/>
                <w:sz w:val="24"/>
                <w:szCs w:val="24"/>
                <w:highlight w:val="none"/>
              </w:rPr>
              <w:t>000元/株进行扣款，绿篱按照</w:t>
            </w:r>
            <w:r>
              <w:rPr>
                <w:rFonts w:hint="eastAsia" w:ascii="仿宋" w:hAnsi="仿宋" w:eastAsia="仿宋"/>
                <w:sz w:val="24"/>
                <w:szCs w:val="24"/>
                <w:highlight w:val="none"/>
              </w:rPr>
              <w:t>3</w:t>
            </w:r>
            <w:r>
              <w:rPr>
                <w:rFonts w:ascii="仿宋" w:hAnsi="仿宋" w:eastAsia="仿宋"/>
                <w:sz w:val="24"/>
                <w:szCs w:val="24"/>
                <w:highlight w:val="none"/>
              </w:rPr>
              <w:t>000元/㎡进行扣款，地被</w:t>
            </w:r>
            <w:r>
              <w:rPr>
                <w:rFonts w:hint="eastAsia" w:ascii="仿宋" w:hAnsi="仿宋" w:eastAsia="仿宋"/>
                <w:sz w:val="24"/>
                <w:szCs w:val="24"/>
                <w:highlight w:val="none"/>
              </w:rPr>
              <w:t>、</w:t>
            </w:r>
            <w:r>
              <w:rPr>
                <w:rFonts w:ascii="仿宋" w:hAnsi="仿宋" w:eastAsia="仿宋"/>
                <w:sz w:val="24"/>
                <w:szCs w:val="24"/>
                <w:highlight w:val="none"/>
              </w:rPr>
              <w:t>草坪按照</w:t>
            </w:r>
            <w:r>
              <w:rPr>
                <w:rFonts w:hint="eastAsia" w:ascii="仿宋" w:hAnsi="仿宋" w:eastAsia="仿宋"/>
                <w:sz w:val="24"/>
                <w:szCs w:val="24"/>
                <w:highlight w:val="none"/>
              </w:rPr>
              <w:t>5</w:t>
            </w:r>
            <w:r>
              <w:rPr>
                <w:rFonts w:ascii="仿宋" w:hAnsi="仿宋" w:eastAsia="仿宋"/>
                <w:sz w:val="24"/>
                <w:szCs w:val="24"/>
                <w:highlight w:val="none"/>
              </w:rPr>
              <w:t>00元/㎡进行扣款</w:t>
            </w:r>
          </w:p>
        </w:tc>
        <w:tc>
          <w:tcPr>
            <w:tcW w:w="252" w:type="pct"/>
            <w:noWrap w:val="0"/>
            <w:vAlign w:val="top"/>
          </w:tcPr>
          <w:p w14:paraId="7A7721A7">
            <w:pPr>
              <w:rPr>
                <w:rFonts w:ascii="仿宋" w:hAnsi="仿宋" w:eastAsia="仿宋"/>
                <w:sz w:val="24"/>
                <w:szCs w:val="24"/>
                <w:highlight w:val="none"/>
              </w:rPr>
            </w:pPr>
          </w:p>
        </w:tc>
      </w:tr>
      <w:tr w14:paraId="5141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176CA34">
            <w:pPr>
              <w:rPr>
                <w:rFonts w:ascii="仿宋" w:hAnsi="仿宋" w:eastAsia="仿宋"/>
                <w:sz w:val="24"/>
                <w:szCs w:val="24"/>
                <w:highlight w:val="none"/>
              </w:rPr>
            </w:pPr>
          </w:p>
        </w:tc>
        <w:tc>
          <w:tcPr>
            <w:tcW w:w="444" w:type="pct"/>
            <w:vMerge w:val="continue"/>
            <w:noWrap w:val="0"/>
            <w:vAlign w:val="top"/>
          </w:tcPr>
          <w:p w14:paraId="110D8B43">
            <w:pPr>
              <w:rPr>
                <w:rFonts w:ascii="仿宋" w:hAnsi="仿宋" w:eastAsia="仿宋"/>
                <w:sz w:val="24"/>
                <w:szCs w:val="24"/>
                <w:highlight w:val="none"/>
              </w:rPr>
            </w:pPr>
          </w:p>
        </w:tc>
        <w:tc>
          <w:tcPr>
            <w:tcW w:w="648" w:type="pct"/>
            <w:noWrap w:val="0"/>
            <w:vAlign w:val="center"/>
          </w:tcPr>
          <w:p w14:paraId="137DE481">
            <w:pPr>
              <w:rPr>
                <w:rFonts w:ascii="仿宋" w:hAnsi="仿宋" w:eastAsia="仿宋"/>
                <w:sz w:val="24"/>
                <w:szCs w:val="24"/>
                <w:highlight w:val="none"/>
              </w:rPr>
            </w:pPr>
            <w:r>
              <w:rPr>
                <w:rFonts w:ascii="仿宋" w:hAnsi="仿宋" w:eastAsia="仿宋"/>
                <w:sz w:val="24"/>
                <w:szCs w:val="24"/>
                <w:highlight w:val="none"/>
              </w:rPr>
              <w:t>施肥</w:t>
            </w:r>
          </w:p>
        </w:tc>
        <w:tc>
          <w:tcPr>
            <w:tcW w:w="2158" w:type="pct"/>
            <w:noWrap w:val="0"/>
            <w:vAlign w:val="top"/>
          </w:tcPr>
          <w:p w14:paraId="3C0F679A">
            <w:pPr>
              <w:rPr>
                <w:rFonts w:ascii="仿宋" w:hAnsi="仿宋" w:eastAsia="仿宋"/>
                <w:sz w:val="24"/>
                <w:szCs w:val="24"/>
                <w:highlight w:val="none"/>
              </w:rPr>
            </w:pPr>
            <w:r>
              <w:rPr>
                <w:rFonts w:ascii="仿宋" w:hAnsi="仿宋" w:eastAsia="仿宋"/>
                <w:sz w:val="24"/>
                <w:szCs w:val="24"/>
                <w:highlight w:val="none"/>
              </w:rPr>
              <w:t>无施肥方案、无完整台账扣5分；未按照方案实施扣5分；未及时组织人员施肥每次扣3分；无台账扣3分；</w:t>
            </w:r>
          </w:p>
        </w:tc>
        <w:tc>
          <w:tcPr>
            <w:tcW w:w="1192" w:type="pct"/>
            <w:noWrap w:val="0"/>
            <w:vAlign w:val="top"/>
          </w:tcPr>
          <w:p w14:paraId="46E48CF0">
            <w:pPr>
              <w:rPr>
                <w:rFonts w:ascii="仿宋" w:hAnsi="仿宋" w:eastAsia="仿宋"/>
                <w:sz w:val="24"/>
                <w:szCs w:val="24"/>
                <w:highlight w:val="none"/>
              </w:rPr>
            </w:pPr>
            <w:r>
              <w:rPr>
                <w:rFonts w:ascii="仿宋" w:hAnsi="仿宋" w:eastAsia="仿宋"/>
                <w:sz w:val="24"/>
                <w:szCs w:val="24"/>
                <w:highlight w:val="none"/>
              </w:rPr>
              <w:t>无方案或方案不合格的按照1万元扣除，未实施或验收不合格的乔木、灌木等按照</w:t>
            </w:r>
            <w:r>
              <w:rPr>
                <w:rFonts w:hint="eastAsia" w:ascii="仿宋" w:hAnsi="仿宋" w:eastAsia="仿宋"/>
                <w:sz w:val="24"/>
                <w:szCs w:val="24"/>
                <w:highlight w:val="none"/>
                <w:lang w:val="en-US" w:eastAsia="zh-CN"/>
              </w:rPr>
              <w:t>100</w:t>
            </w:r>
            <w:r>
              <w:rPr>
                <w:rFonts w:ascii="仿宋" w:hAnsi="仿宋" w:eastAsia="仿宋"/>
                <w:sz w:val="24"/>
                <w:szCs w:val="24"/>
                <w:highlight w:val="none"/>
              </w:rPr>
              <w:t>元/株进行扣款</w:t>
            </w:r>
          </w:p>
        </w:tc>
        <w:tc>
          <w:tcPr>
            <w:tcW w:w="252" w:type="pct"/>
            <w:noWrap w:val="0"/>
            <w:vAlign w:val="top"/>
          </w:tcPr>
          <w:p w14:paraId="43A3AB5D">
            <w:pPr>
              <w:rPr>
                <w:rFonts w:ascii="仿宋" w:hAnsi="仿宋" w:eastAsia="仿宋"/>
                <w:sz w:val="24"/>
                <w:szCs w:val="24"/>
                <w:highlight w:val="none"/>
              </w:rPr>
            </w:pPr>
          </w:p>
        </w:tc>
      </w:tr>
      <w:tr w14:paraId="4C5E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E711A03">
            <w:pPr>
              <w:rPr>
                <w:rFonts w:ascii="仿宋" w:hAnsi="仿宋" w:eastAsia="仿宋"/>
                <w:sz w:val="24"/>
                <w:szCs w:val="24"/>
                <w:highlight w:val="none"/>
              </w:rPr>
            </w:pPr>
          </w:p>
        </w:tc>
        <w:tc>
          <w:tcPr>
            <w:tcW w:w="444" w:type="pct"/>
            <w:vMerge w:val="continue"/>
            <w:noWrap w:val="0"/>
            <w:vAlign w:val="top"/>
          </w:tcPr>
          <w:p w14:paraId="41046A1F">
            <w:pPr>
              <w:rPr>
                <w:rFonts w:ascii="仿宋" w:hAnsi="仿宋" w:eastAsia="仿宋"/>
                <w:sz w:val="24"/>
                <w:szCs w:val="24"/>
                <w:highlight w:val="none"/>
              </w:rPr>
            </w:pPr>
          </w:p>
        </w:tc>
        <w:tc>
          <w:tcPr>
            <w:tcW w:w="648" w:type="pct"/>
            <w:noWrap w:val="0"/>
            <w:vAlign w:val="center"/>
          </w:tcPr>
          <w:p w14:paraId="25717AEF">
            <w:pPr>
              <w:rPr>
                <w:rFonts w:ascii="仿宋" w:hAnsi="仿宋" w:eastAsia="仿宋"/>
                <w:sz w:val="24"/>
                <w:szCs w:val="24"/>
                <w:highlight w:val="none"/>
              </w:rPr>
            </w:pPr>
            <w:r>
              <w:rPr>
                <w:rFonts w:ascii="仿宋" w:hAnsi="仿宋" w:eastAsia="仿宋"/>
                <w:sz w:val="24"/>
                <w:szCs w:val="24"/>
                <w:highlight w:val="none"/>
              </w:rPr>
              <w:t>病虫害防治</w:t>
            </w:r>
          </w:p>
        </w:tc>
        <w:tc>
          <w:tcPr>
            <w:tcW w:w="2158" w:type="pct"/>
            <w:noWrap w:val="0"/>
            <w:vAlign w:val="top"/>
          </w:tcPr>
          <w:p w14:paraId="6B0D1BB1">
            <w:pPr>
              <w:rPr>
                <w:rFonts w:ascii="仿宋" w:hAnsi="仿宋" w:eastAsia="仿宋"/>
                <w:sz w:val="24"/>
                <w:szCs w:val="24"/>
                <w:highlight w:val="none"/>
              </w:rPr>
            </w:pPr>
            <w:r>
              <w:rPr>
                <w:rFonts w:ascii="仿宋" w:hAnsi="仿宋" w:eastAsia="仿宋"/>
                <w:sz w:val="24"/>
                <w:szCs w:val="24"/>
                <w:highlight w:val="none"/>
              </w:rPr>
              <w:t>1、根据园林植物病虫害预测、预报信息，做好预案，以防为主、防治结合，做好病虫害的防治工作。没有病虫害防治预案的扣5分，未按照方案实施扣5分；无台账扣3分；</w:t>
            </w:r>
          </w:p>
          <w:p w14:paraId="7845827A">
            <w:pPr>
              <w:rPr>
                <w:rFonts w:ascii="仿宋" w:hAnsi="仿宋" w:eastAsia="仿宋"/>
                <w:sz w:val="24"/>
                <w:szCs w:val="24"/>
                <w:highlight w:val="none"/>
              </w:rPr>
            </w:pPr>
            <w:r>
              <w:rPr>
                <w:rFonts w:ascii="仿宋" w:hAnsi="仿宋" w:eastAsia="仿宋"/>
                <w:sz w:val="24"/>
                <w:szCs w:val="24"/>
                <w:highlight w:val="none"/>
              </w:rPr>
              <w:t>2、出现病虫害未及时处理的扣10分。</w:t>
            </w:r>
          </w:p>
        </w:tc>
        <w:tc>
          <w:tcPr>
            <w:tcW w:w="1192" w:type="pct"/>
            <w:noWrap w:val="0"/>
            <w:vAlign w:val="top"/>
          </w:tcPr>
          <w:p w14:paraId="2DAB8109">
            <w:pPr>
              <w:rPr>
                <w:rFonts w:ascii="仿宋" w:hAnsi="仿宋" w:eastAsia="仿宋"/>
                <w:sz w:val="24"/>
                <w:szCs w:val="24"/>
                <w:highlight w:val="none"/>
              </w:rPr>
            </w:pPr>
            <w:r>
              <w:rPr>
                <w:rFonts w:ascii="仿宋" w:hAnsi="仿宋" w:eastAsia="仿宋"/>
                <w:sz w:val="24"/>
                <w:szCs w:val="24"/>
                <w:highlight w:val="none"/>
              </w:rPr>
              <w:t>无方案的或方案不合格的按照1万元扣除，防治不到位或未实施的，乔木、灌木按照</w:t>
            </w:r>
            <w:r>
              <w:rPr>
                <w:rFonts w:hint="eastAsia" w:ascii="仿宋" w:hAnsi="仿宋" w:eastAsia="仿宋"/>
                <w:sz w:val="24"/>
                <w:szCs w:val="24"/>
                <w:highlight w:val="none"/>
              </w:rPr>
              <w:t>3</w:t>
            </w:r>
            <w:r>
              <w:rPr>
                <w:rFonts w:ascii="仿宋" w:hAnsi="仿宋" w:eastAsia="仿宋"/>
                <w:sz w:val="24"/>
                <w:szCs w:val="24"/>
                <w:highlight w:val="none"/>
              </w:rPr>
              <w:t>元/株进行扣款，绿篱、地被、草坪按照</w:t>
            </w:r>
            <w:r>
              <w:rPr>
                <w:rFonts w:hint="eastAsia" w:ascii="仿宋" w:hAnsi="仿宋" w:eastAsia="仿宋"/>
                <w:sz w:val="24"/>
                <w:szCs w:val="24"/>
                <w:highlight w:val="none"/>
              </w:rPr>
              <w:t>0.3</w:t>
            </w:r>
            <w:r>
              <w:rPr>
                <w:rFonts w:ascii="仿宋" w:hAnsi="仿宋" w:eastAsia="仿宋"/>
                <w:sz w:val="24"/>
                <w:szCs w:val="24"/>
                <w:highlight w:val="none"/>
              </w:rPr>
              <w:t>元/㎡进行扣款</w:t>
            </w:r>
          </w:p>
        </w:tc>
        <w:tc>
          <w:tcPr>
            <w:tcW w:w="252" w:type="pct"/>
            <w:noWrap w:val="0"/>
            <w:vAlign w:val="top"/>
          </w:tcPr>
          <w:p w14:paraId="5FD87B11">
            <w:pPr>
              <w:rPr>
                <w:rFonts w:ascii="仿宋" w:hAnsi="仿宋" w:eastAsia="仿宋"/>
                <w:sz w:val="24"/>
                <w:szCs w:val="24"/>
                <w:highlight w:val="none"/>
              </w:rPr>
            </w:pPr>
          </w:p>
        </w:tc>
      </w:tr>
      <w:tr w14:paraId="1191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A415177">
            <w:pPr>
              <w:rPr>
                <w:rFonts w:ascii="仿宋" w:hAnsi="仿宋" w:eastAsia="仿宋"/>
                <w:sz w:val="24"/>
                <w:szCs w:val="24"/>
                <w:highlight w:val="none"/>
              </w:rPr>
            </w:pPr>
          </w:p>
        </w:tc>
        <w:tc>
          <w:tcPr>
            <w:tcW w:w="444" w:type="pct"/>
            <w:vMerge w:val="continue"/>
            <w:noWrap w:val="0"/>
            <w:vAlign w:val="top"/>
          </w:tcPr>
          <w:p w14:paraId="0066C1AD">
            <w:pPr>
              <w:rPr>
                <w:rFonts w:ascii="仿宋" w:hAnsi="仿宋" w:eastAsia="仿宋"/>
                <w:sz w:val="24"/>
                <w:szCs w:val="24"/>
                <w:highlight w:val="none"/>
              </w:rPr>
            </w:pPr>
          </w:p>
        </w:tc>
        <w:tc>
          <w:tcPr>
            <w:tcW w:w="648" w:type="pct"/>
            <w:noWrap w:val="0"/>
            <w:vAlign w:val="center"/>
          </w:tcPr>
          <w:p w14:paraId="57516B06">
            <w:pPr>
              <w:rPr>
                <w:rFonts w:ascii="仿宋" w:hAnsi="仿宋" w:eastAsia="仿宋"/>
                <w:sz w:val="24"/>
                <w:szCs w:val="24"/>
                <w:highlight w:val="none"/>
                <w:lang w:eastAsia="en-US"/>
              </w:rPr>
            </w:pPr>
            <w:r>
              <w:rPr>
                <w:rFonts w:ascii="仿宋" w:hAnsi="仿宋" w:eastAsia="仿宋"/>
                <w:sz w:val="24"/>
                <w:szCs w:val="24"/>
                <w:highlight w:val="none"/>
              </w:rPr>
              <w:t>除杂、松土</w:t>
            </w:r>
          </w:p>
        </w:tc>
        <w:tc>
          <w:tcPr>
            <w:tcW w:w="2158" w:type="pct"/>
            <w:noWrap w:val="0"/>
            <w:vAlign w:val="top"/>
          </w:tcPr>
          <w:p w14:paraId="0D0CEA2A">
            <w:pPr>
              <w:rPr>
                <w:rFonts w:ascii="仿宋" w:hAnsi="仿宋" w:eastAsia="仿宋"/>
                <w:sz w:val="24"/>
                <w:szCs w:val="24"/>
                <w:highlight w:val="none"/>
              </w:rPr>
            </w:pPr>
            <w:r>
              <w:rPr>
                <w:rFonts w:ascii="仿宋" w:hAnsi="仿宋" w:eastAsia="仿宋"/>
                <w:sz w:val="24"/>
                <w:szCs w:val="24"/>
                <w:highlight w:val="none"/>
              </w:rPr>
              <w:t>未及时编制除杂、松土方案，扣5分，现场土地板结未松土的按照2分</w:t>
            </w:r>
            <w:r>
              <w:rPr>
                <w:rFonts w:hint="eastAsia" w:ascii="仿宋" w:hAnsi="仿宋" w:eastAsia="仿宋"/>
                <w:sz w:val="24"/>
                <w:szCs w:val="24"/>
                <w:highlight w:val="none"/>
              </w:rPr>
              <w:t>/</w:t>
            </w:r>
            <w:r>
              <w:rPr>
                <w:rFonts w:ascii="仿宋" w:hAnsi="仿宋" w:eastAsia="仿宋"/>
                <w:sz w:val="24"/>
                <w:szCs w:val="24"/>
                <w:highlight w:val="none"/>
              </w:rPr>
              <w:t>处标准进行扣分。</w:t>
            </w:r>
          </w:p>
        </w:tc>
        <w:tc>
          <w:tcPr>
            <w:tcW w:w="1192" w:type="pct"/>
            <w:noWrap w:val="0"/>
            <w:vAlign w:val="top"/>
          </w:tcPr>
          <w:p w14:paraId="024F041A">
            <w:pPr>
              <w:rPr>
                <w:rFonts w:ascii="仿宋" w:hAnsi="仿宋" w:eastAsia="仿宋"/>
                <w:sz w:val="24"/>
                <w:szCs w:val="24"/>
                <w:highlight w:val="none"/>
              </w:rPr>
            </w:pPr>
            <w:r>
              <w:rPr>
                <w:rFonts w:ascii="仿宋" w:hAnsi="仿宋" w:eastAsia="仿宋"/>
                <w:sz w:val="24"/>
                <w:szCs w:val="24"/>
                <w:highlight w:val="none"/>
              </w:rPr>
              <w:t>无方案或方案不合格的按照1万元扣除，未实施或验收不合格的按照</w:t>
            </w:r>
            <w:r>
              <w:rPr>
                <w:rFonts w:hint="eastAsia" w:ascii="仿宋" w:hAnsi="仿宋" w:eastAsia="仿宋"/>
                <w:sz w:val="24"/>
                <w:szCs w:val="24"/>
                <w:highlight w:val="none"/>
              </w:rPr>
              <w:t>0.3</w:t>
            </w:r>
            <w:r>
              <w:rPr>
                <w:rFonts w:ascii="仿宋" w:hAnsi="仿宋" w:eastAsia="仿宋"/>
                <w:sz w:val="24"/>
                <w:szCs w:val="24"/>
                <w:highlight w:val="none"/>
              </w:rPr>
              <w:t>元/㎡/次进行扣款</w:t>
            </w:r>
          </w:p>
        </w:tc>
        <w:tc>
          <w:tcPr>
            <w:tcW w:w="252" w:type="pct"/>
            <w:noWrap w:val="0"/>
            <w:vAlign w:val="top"/>
          </w:tcPr>
          <w:p w14:paraId="7FB828C5">
            <w:pPr>
              <w:rPr>
                <w:rFonts w:ascii="仿宋" w:hAnsi="仿宋" w:eastAsia="仿宋"/>
                <w:sz w:val="24"/>
                <w:szCs w:val="24"/>
                <w:highlight w:val="none"/>
              </w:rPr>
            </w:pPr>
          </w:p>
        </w:tc>
      </w:tr>
      <w:tr w14:paraId="752C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A741FE6">
            <w:pPr>
              <w:rPr>
                <w:rFonts w:ascii="仿宋" w:hAnsi="仿宋" w:eastAsia="仿宋"/>
                <w:sz w:val="24"/>
                <w:szCs w:val="24"/>
                <w:highlight w:val="none"/>
              </w:rPr>
            </w:pPr>
            <w:r>
              <w:rPr>
                <w:rFonts w:ascii="仿宋" w:hAnsi="仿宋" w:eastAsia="仿宋"/>
                <w:sz w:val="24"/>
                <w:szCs w:val="24"/>
                <w:highlight w:val="none"/>
              </w:rPr>
              <w:t>2</w:t>
            </w:r>
          </w:p>
        </w:tc>
        <w:tc>
          <w:tcPr>
            <w:tcW w:w="444" w:type="pct"/>
            <w:vMerge w:val="restart"/>
            <w:noWrap w:val="0"/>
            <w:vAlign w:val="center"/>
          </w:tcPr>
          <w:p w14:paraId="0637FC8D">
            <w:pPr>
              <w:rPr>
                <w:rFonts w:ascii="仿宋" w:hAnsi="仿宋" w:eastAsia="仿宋"/>
                <w:sz w:val="24"/>
                <w:szCs w:val="24"/>
                <w:highlight w:val="none"/>
              </w:rPr>
            </w:pPr>
            <w:r>
              <w:rPr>
                <w:rFonts w:hint="eastAsia" w:ascii="仿宋" w:hAnsi="仿宋" w:eastAsia="仿宋"/>
                <w:sz w:val="24"/>
                <w:szCs w:val="24"/>
                <w:highlight w:val="none"/>
              </w:rPr>
              <w:t>设施维护管理（20分）</w:t>
            </w:r>
          </w:p>
        </w:tc>
        <w:tc>
          <w:tcPr>
            <w:tcW w:w="648" w:type="pct"/>
            <w:noWrap w:val="0"/>
            <w:vAlign w:val="center"/>
          </w:tcPr>
          <w:p w14:paraId="292A7F58">
            <w:pPr>
              <w:rPr>
                <w:rFonts w:ascii="仿宋" w:hAnsi="仿宋" w:eastAsia="仿宋"/>
                <w:sz w:val="24"/>
                <w:szCs w:val="24"/>
                <w:highlight w:val="none"/>
              </w:rPr>
            </w:pPr>
            <w:r>
              <w:rPr>
                <w:rFonts w:ascii="仿宋" w:hAnsi="仿宋" w:eastAsia="仿宋"/>
                <w:sz w:val="24"/>
                <w:szCs w:val="24"/>
                <w:highlight w:val="none"/>
              </w:rPr>
              <w:t>城市景观喷泉和绿化景观亮化设施管理工作</w:t>
            </w:r>
          </w:p>
        </w:tc>
        <w:tc>
          <w:tcPr>
            <w:tcW w:w="2158" w:type="pct"/>
            <w:noWrap w:val="0"/>
            <w:vAlign w:val="top"/>
          </w:tcPr>
          <w:p w14:paraId="6BC00B76">
            <w:pPr>
              <w:rPr>
                <w:rFonts w:hint="default" w:ascii="仿宋" w:hAnsi="仿宋" w:eastAsia="仿宋" w:cs="Times New Roman"/>
                <w:sz w:val="24"/>
                <w:szCs w:val="24"/>
                <w:highlight w:val="none"/>
                <w:lang w:val="en-US" w:eastAsia="zh-CN"/>
              </w:rPr>
            </w:pPr>
            <w:r>
              <w:rPr>
                <w:rFonts w:ascii="仿宋" w:hAnsi="仿宋" w:eastAsia="仿宋" w:cs="Times New Roman"/>
                <w:sz w:val="24"/>
                <w:szCs w:val="24"/>
                <w:highlight w:val="none"/>
              </w:rPr>
              <w:t>1、</w:t>
            </w:r>
            <w:r>
              <w:rPr>
                <w:rFonts w:hint="default" w:ascii="仿宋" w:hAnsi="仿宋" w:eastAsia="仿宋" w:cs="Times New Roman"/>
                <w:sz w:val="24"/>
                <w:szCs w:val="24"/>
                <w:highlight w:val="none"/>
                <w:lang w:val="en-US" w:eastAsia="zh-CN"/>
              </w:rPr>
              <w:t>果皮箱、护栏、道牙、井盖、花基、园路及广场地面等</w:t>
            </w:r>
            <w:r>
              <w:rPr>
                <w:rFonts w:hint="eastAsia" w:ascii="仿宋" w:hAnsi="仿宋" w:eastAsia="仿宋" w:cs="Times New Roman"/>
                <w:sz w:val="24"/>
                <w:szCs w:val="24"/>
                <w:highlight w:val="none"/>
                <w:lang w:val="en-US" w:eastAsia="zh-CN"/>
              </w:rPr>
              <w:t>设施</w:t>
            </w:r>
            <w:r>
              <w:rPr>
                <w:rFonts w:hint="default" w:ascii="仿宋" w:hAnsi="仿宋" w:eastAsia="仿宋" w:cs="Times New Roman"/>
                <w:sz w:val="24"/>
                <w:szCs w:val="24"/>
                <w:highlight w:val="none"/>
                <w:lang w:val="en-US" w:eastAsia="zh-CN"/>
              </w:rPr>
              <w:t>维护良好，破损处及时维修或更换，</w:t>
            </w:r>
            <w:r>
              <w:rPr>
                <w:rFonts w:hint="eastAsia" w:ascii="仿宋" w:hAnsi="仿宋" w:eastAsia="仿宋" w:cs="Times New Roman"/>
                <w:sz w:val="24"/>
                <w:szCs w:val="24"/>
                <w:highlight w:val="none"/>
                <w:lang w:val="en-US" w:eastAsia="zh-CN"/>
              </w:rPr>
              <w:t>发现问题</w:t>
            </w:r>
            <w:r>
              <w:rPr>
                <w:rFonts w:hint="eastAsia" w:ascii="仿宋" w:hAnsi="仿宋" w:eastAsia="仿宋"/>
                <w:sz w:val="24"/>
                <w:szCs w:val="24"/>
                <w:highlight w:val="none"/>
                <w:lang w:val="en-US" w:eastAsia="zh-CN"/>
              </w:rPr>
              <w:t>未及时处理的</w:t>
            </w:r>
            <w:r>
              <w:rPr>
                <w:rFonts w:hint="default" w:ascii="仿宋" w:hAnsi="仿宋" w:eastAsia="仿宋" w:cs="Times New Roman"/>
                <w:sz w:val="24"/>
                <w:szCs w:val="24"/>
                <w:highlight w:val="none"/>
                <w:lang w:val="en-US" w:eastAsia="zh-CN"/>
              </w:rPr>
              <w:t>一处扣</w:t>
            </w:r>
            <w:r>
              <w:rPr>
                <w:rFonts w:hint="eastAsia" w:ascii="仿宋" w:hAnsi="仿宋" w:eastAsia="仿宋" w:cs="Times New Roman"/>
                <w:sz w:val="24"/>
                <w:szCs w:val="24"/>
                <w:highlight w:val="none"/>
                <w:lang w:val="en-US" w:eastAsia="zh-CN"/>
              </w:rPr>
              <w:t>1</w:t>
            </w:r>
            <w:r>
              <w:rPr>
                <w:rFonts w:hint="default" w:ascii="仿宋" w:hAnsi="仿宋" w:eastAsia="仿宋" w:cs="Times New Roman"/>
                <w:sz w:val="24"/>
                <w:szCs w:val="24"/>
                <w:highlight w:val="none"/>
                <w:lang w:val="en-US" w:eastAsia="zh-CN"/>
              </w:rPr>
              <w:t>分。</w:t>
            </w:r>
          </w:p>
          <w:p w14:paraId="71328076">
            <w:pPr>
              <w:rPr>
                <w:rFonts w:hint="default" w:ascii="仿宋" w:hAnsi="仿宋" w:eastAsia="仿宋" w:cs="Times New Roman"/>
                <w:sz w:val="24"/>
                <w:szCs w:val="24"/>
                <w:highlight w:val="none"/>
                <w:lang w:val="en-US" w:eastAsia="zh-CN"/>
              </w:rPr>
            </w:pPr>
            <w:r>
              <w:rPr>
                <w:rFonts w:hint="default" w:ascii="仿宋" w:hAnsi="仿宋" w:eastAsia="仿宋" w:cs="Times New Roman"/>
                <w:sz w:val="24"/>
                <w:szCs w:val="24"/>
                <w:highlight w:val="none"/>
                <w:lang w:val="en-US" w:eastAsia="zh-CN"/>
              </w:rPr>
              <w:t>2、各类标识牌、护栏、树池花池、亭廊、花架、景石、桌椅、灯饰、园林小品等设施按规定设置和使用，保持完好、整洁，损毁、缺失处及时维修或更换，</w:t>
            </w:r>
            <w:r>
              <w:rPr>
                <w:rFonts w:hint="eastAsia" w:ascii="仿宋" w:hAnsi="仿宋" w:eastAsia="仿宋" w:cs="Times New Roman"/>
                <w:sz w:val="24"/>
                <w:szCs w:val="24"/>
                <w:highlight w:val="none"/>
                <w:lang w:val="en-US" w:eastAsia="zh-CN"/>
              </w:rPr>
              <w:t>发现问题</w:t>
            </w:r>
            <w:r>
              <w:rPr>
                <w:rFonts w:hint="eastAsia" w:ascii="仿宋" w:hAnsi="仿宋" w:eastAsia="仿宋"/>
                <w:sz w:val="24"/>
                <w:szCs w:val="24"/>
                <w:highlight w:val="none"/>
                <w:lang w:val="en-US" w:eastAsia="zh-CN"/>
              </w:rPr>
              <w:t>未及时处理的</w:t>
            </w:r>
            <w:r>
              <w:rPr>
                <w:rFonts w:hint="default" w:ascii="仿宋" w:hAnsi="仿宋" w:eastAsia="仿宋" w:cs="Times New Roman"/>
                <w:sz w:val="24"/>
                <w:szCs w:val="24"/>
                <w:highlight w:val="none"/>
                <w:lang w:val="en-US" w:eastAsia="zh-CN"/>
              </w:rPr>
              <w:t>一处扣</w:t>
            </w:r>
            <w:r>
              <w:rPr>
                <w:rFonts w:hint="eastAsia" w:ascii="仿宋" w:hAnsi="仿宋" w:eastAsia="仿宋" w:cs="Times New Roman"/>
                <w:sz w:val="24"/>
                <w:szCs w:val="24"/>
                <w:highlight w:val="none"/>
                <w:lang w:val="en-US" w:eastAsia="zh-CN"/>
              </w:rPr>
              <w:t>1</w:t>
            </w:r>
            <w:r>
              <w:rPr>
                <w:rFonts w:hint="default" w:ascii="仿宋" w:hAnsi="仿宋" w:eastAsia="仿宋" w:cs="Times New Roman"/>
                <w:sz w:val="24"/>
                <w:szCs w:val="24"/>
                <w:highlight w:val="none"/>
                <w:lang w:val="en-US" w:eastAsia="zh-CN"/>
              </w:rPr>
              <w:t>分。</w:t>
            </w:r>
          </w:p>
          <w:p w14:paraId="082A2A90">
            <w:pPr>
              <w:rPr>
                <w:rFonts w:hint="eastAsia" w:ascii="仿宋" w:hAnsi="仿宋" w:eastAsia="仿宋"/>
                <w:sz w:val="24"/>
                <w:szCs w:val="24"/>
                <w:highlight w:val="none"/>
                <w:lang w:val="en-US" w:eastAsia="zh-CN"/>
              </w:rPr>
            </w:pPr>
            <w:r>
              <w:rPr>
                <w:rFonts w:ascii="仿宋" w:hAnsi="仿宋" w:eastAsia="仿宋"/>
                <w:sz w:val="24"/>
                <w:szCs w:val="24"/>
                <w:highlight w:val="none"/>
              </w:rPr>
              <w:t>。</w:t>
            </w:r>
            <w:r>
              <w:rPr>
                <w:rFonts w:hint="eastAsia" w:ascii="仿宋" w:hAnsi="仿宋" w:eastAsia="仿宋"/>
                <w:sz w:val="24"/>
                <w:szCs w:val="24"/>
                <w:highlight w:val="none"/>
                <w:lang w:val="en-US" w:eastAsia="zh-CN"/>
              </w:rPr>
              <w:t>3、公园内儿童游乐设施、健身器材定期巡检，发现问题及时上报、处理，对不能及时处理的进行封闭、警示，未及时上报、处理、警示的发现一处扣2分。</w:t>
            </w:r>
          </w:p>
          <w:p w14:paraId="3756DD61">
            <w:pPr>
              <w:rPr>
                <w:rFonts w:hint="default"/>
                <w:highlight w:val="none"/>
                <w:lang w:val="en-US" w:eastAsia="zh-CN"/>
              </w:rPr>
            </w:pPr>
            <w:r>
              <w:rPr>
                <w:rFonts w:hint="eastAsia" w:ascii="仿宋" w:hAnsi="仿宋" w:eastAsia="仿宋" w:cs="Times New Roman"/>
                <w:sz w:val="24"/>
                <w:szCs w:val="24"/>
                <w:highlight w:val="none"/>
                <w:lang w:val="en-US" w:eastAsia="zh-CN"/>
              </w:rPr>
              <w:t>4、</w:t>
            </w:r>
            <w:r>
              <w:rPr>
                <w:rFonts w:hint="default" w:ascii="仿宋" w:hAnsi="仿宋" w:eastAsia="仿宋" w:cs="Times New Roman"/>
                <w:sz w:val="24"/>
                <w:szCs w:val="24"/>
                <w:highlight w:val="none"/>
                <w:lang w:val="en-US" w:eastAsia="zh-CN"/>
              </w:rPr>
              <w:t>绿化养护设施(喷灌设施等)完好，定期检查和维修保养，同时建立.台账，记录不完善的发现一次扣</w:t>
            </w:r>
            <w:r>
              <w:rPr>
                <w:rFonts w:hint="eastAsia" w:ascii="仿宋" w:hAnsi="仿宋" w:eastAsia="仿宋" w:cs="Times New Roman"/>
                <w:sz w:val="24"/>
                <w:szCs w:val="24"/>
                <w:highlight w:val="none"/>
                <w:lang w:val="en-US" w:eastAsia="zh-CN"/>
              </w:rPr>
              <w:t>1</w:t>
            </w:r>
            <w:r>
              <w:rPr>
                <w:rFonts w:hint="default" w:ascii="仿宋" w:hAnsi="仿宋" w:eastAsia="仿宋" w:cs="Times New Roman"/>
                <w:sz w:val="24"/>
                <w:szCs w:val="24"/>
                <w:highlight w:val="none"/>
                <w:lang w:val="en-US" w:eastAsia="zh-CN"/>
              </w:rPr>
              <w:t>分。</w:t>
            </w:r>
          </w:p>
        </w:tc>
        <w:tc>
          <w:tcPr>
            <w:tcW w:w="1192" w:type="pct"/>
            <w:vMerge w:val="restart"/>
            <w:noWrap w:val="0"/>
            <w:vAlign w:val="top"/>
          </w:tcPr>
          <w:p w14:paraId="1ECCCDFC">
            <w:pPr>
              <w:jc w:val="left"/>
              <w:rPr>
                <w:rFonts w:hint="default" w:ascii="仿宋" w:hAnsi="仿宋" w:eastAsia="仿宋"/>
                <w:sz w:val="24"/>
                <w:szCs w:val="24"/>
                <w:highlight w:val="none"/>
                <w:lang w:val="en-US" w:eastAsia="zh-CN"/>
              </w:rPr>
            </w:pPr>
            <w:r>
              <w:rPr>
                <w:rFonts w:hint="eastAsia" w:ascii="仿宋" w:hAnsi="仿宋" w:eastAsia="仿宋"/>
                <w:sz w:val="24"/>
                <w:szCs w:val="24"/>
                <w:highlight w:val="none"/>
              </w:rPr>
              <w:t>定期开展设施排查维修工作，未进行排查的问题每处扣500元，未按要求维护的每处扣除1</w:t>
            </w:r>
            <w:r>
              <w:rPr>
                <w:rFonts w:hint="eastAsia" w:ascii="仿宋" w:hAnsi="仿宋" w:eastAsia="仿宋"/>
                <w:sz w:val="24"/>
                <w:szCs w:val="24"/>
                <w:highlight w:val="none"/>
                <w:lang w:val="en-US" w:eastAsia="zh-CN"/>
              </w:rPr>
              <w:t>0</w:t>
            </w:r>
            <w:r>
              <w:rPr>
                <w:rFonts w:hint="eastAsia" w:ascii="仿宋" w:hAnsi="仿宋" w:eastAsia="仿宋"/>
                <w:sz w:val="24"/>
                <w:szCs w:val="24"/>
                <w:highlight w:val="none"/>
              </w:rPr>
              <w:t>00元；</w:t>
            </w:r>
            <w:r>
              <w:rPr>
                <w:rFonts w:hint="eastAsia" w:ascii="仿宋" w:hAnsi="仿宋" w:eastAsia="仿宋"/>
                <w:sz w:val="24"/>
                <w:szCs w:val="24"/>
                <w:highlight w:val="none"/>
                <w:lang w:val="en-US" w:eastAsia="zh-CN"/>
              </w:rPr>
              <w:t>因未及时维修造成安全事故的承担相应责任。</w:t>
            </w:r>
          </w:p>
        </w:tc>
        <w:tc>
          <w:tcPr>
            <w:tcW w:w="252" w:type="pct"/>
            <w:noWrap w:val="0"/>
            <w:vAlign w:val="top"/>
          </w:tcPr>
          <w:p w14:paraId="2D5E74EE">
            <w:pPr>
              <w:rPr>
                <w:rFonts w:ascii="仿宋" w:hAnsi="仿宋" w:eastAsia="仿宋"/>
                <w:sz w:val="24"/>
                <w:szCs w:val="24"/>
                <w:highlight w:val="none"/>
              </w:rPr>
            </w:pPr>
          </w:p>
        </w:tc>
      </w:tr>
      <w:tr w14:paraId="2E75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0BB06DE">
            <w:pPr>
              <w:rPr>
                <w:rFonts w:ascii="仿宋" w:hAnsi="仿宋" w:eastAsia="仿宋"/>
                <w:sz w:val="24"/>
                <w:szCs w:val="24"/>
                <w:highlight w:val="none"/>
              </w:rPr>
            </w:pPr>
          </w:p>
        </w:tc>
        <w:tc>
          <w:tcPr>
            <w:tcW w:w="444" w:type="pct"/>
            <w:vMerge w:val="continue"/>
            <w:noWrap w:val="0"/>
            <w:vAlign w:val="top"/>
          </w:tcPr>
          <w:p w14:paraId="4C2ECE93">
            <w:pPr>
              <w:rPr>
                <w:rFonts w:ascii="仿宋" w:hAnsi="仿宋" w:eastAsia="仿宋"/>
                <w:sz w:val="24"/>
                <w:szCs w:val="24"/>
                <w:highlight w:val="none"/>
              </w:rPr>
            </w:pPr>
          </w:p>
        </w:tc>
        <w:tc>
          <w:tcPr>
            <w:tcW w:w="648" w:type="pct"/>
            <w:noWrap w:val="0"/>
            <w:vAlign w:val="center"/>
          </w:tcPr>
          <w:p w14:paraId="1E3A0074">
            <w:pPr>
              <w:rPr>
                <w:rFonts w:ascii="仿宋" w:hAnsi="仿宋" w:eastAsia="仿宋"/>
                <w:sz w:val="24"/>
                <w:szCs w:val="24"/>
                <w:highlight w:val="none"/>
              </w:rPr>
            </w:pPr>
            <w:r>
              <w:rPr>
                <w:rFonts w:ascii="仿宋" w:hAnsi="仿宋" w:eastAsia="仿宋"/>
                <w:sz w:val="24"/>
                <w:szCs w:val="24"/>
                <w:highlight w:val="none"/>
              </w:rPr>
              <w:t>绿化护栏维修及绿地冲洗</w:t>
            </w:r>
          </w:p>
        </w:tc>
        <w:tc>
          <w:tcPr>
            <w:tcW w:w="2158" w:type="pct"/>
            <w:noWrap w:val="0"/>
            <w:vAlign w:val="top"/>
          </w:tcPr>
          <w:p w14:paraId="78EB8E85">
            <w:pPr>
              <w:rPr>
                <w:rFonts w:ascii="仿宋" w:hAnsi="仿宋" w:eastAsia="仿宋"/>
                <w:sz w:val="24"/>
                <w:szCs w:val="24"/>
                <w:highlight w:val="none"/>
              </w:rPr>
            </w:pPr>
            <w:r>
              <w:rPr>
                <w:rFonts w:ascii="仿宋" w:hAnsi="仿宋" w:eastAsia="仿宋"/>
                <w:sz w:val="24"/>
                <w:szCs w:val="24"/>
                <w:highlight w:val="none"/>
              </w:rPr>
              <w:t>1、绿化带护栏每周擦洗一次，每半月维护整修一次，遇重大节日和重大活动时，重点进行擦洗整修，保持护栏整洁美观。未按规定擦洗，每米扣1分（不足1米按1米计算）；破损未及时维修每处扣2分。</w:t>
            </w:r>
          </w:p>
          <w:p w14:paraId="686BE5F3">
            <w:pPr>
              <w:rPr>
                <w:rFonts w:ascii="仿宋" w:hAnsi="仿宋" w:eastAsia="仿宋"/>
                <w:sz w:val="24"/>
                <w:szCs w:val="24"/>
                <w:highlight w:val="none"/>
              </w:rPr>
            </w:pPr>
            <w:r>
              <w:rPr>
                <w:rFonts w:ascii="仿宋" w:hAnsi="仿宋" w:eastAsia="仿宋"/>
                <w:sz w:val="24"/>
                <w:szCs w:val="24"/>
                <w:highlight w:val="none"/>
              </w:rPr>
              <w:t>2、每次降雨后，绿化带护栏必须在一天内清洗完毕。未在规定时间完成任务的，每条道路扣5分；</w:t>
            </w:r>
          </w:p>
          <w:p w14:paraId="34F04E5C">
            <w:pPr>
              <w:rPr>
                <w:rFonts w:ascii="仿宋" w:hAnsi="仿宋" w:eastAsia="仿宋"/>
                <w:sz w:val="24"/>
                <w:szCs w:val="24"/>
                <w:highlight w:val="none"/>
              </w:rPr>
            </w:pPr>
            <w:r>
              <w:rPr>
                <w:rFonts w:ascii="仿宋" w:hAnsi="仿宋" w:eastAsia="仿宋"/>
                <w:sz w:val="24"/>
                <w:szCs w:val="24"/>
                <w:highlight w:val="none"/>
              </w:rPr>
              <w:t>3、持续半个月无有效降水，要及时进行绿化带大冲洗，冲洗时间为晚22:00至次日7:00。每轮冲洗，必须在三天内完成所有管理道路的绿化带冲洗任务。未能按要求完成大冲洗的，每条路段扣3分。</w:t>
            </w:r>
          </w:p>
        </w:tc>
        <w:tc>
          <w:tcPr>
            <w:tcW w:w="1192" w:type="pct"/>
            <w:vMerge w:val="continue"/>
            <w:noWrap w:val="0"/>
            <w:vAlign w:val="top"/>
          </w:tcPr>
          <w:p w14:paraId="75350D4F">
            <w:pPr>
              <w:jc w:val="left"/>
              <w:rPr>
                <w:rFonts w:ascii="仿宋" w:hAnsi="仿宋" w:eastAsia="仿宋"/>
                <w:sz w:val="24"/>
                <w:szCs w:val="24"/>
                <w:highlight w:val="none"/>
              </w:rPr>
            </w:pPr>
          </w:p>
        </w:tc>
        <w:tc>
          <w:tcPr>
            <w:tcW w:w="252" w:type="pct"/>
            <w:noWrap w:val="0"/>
            <w:vAlign w:val="top"/>
          </w:tcPr>
          <w:p w14:paraId="53860B1D">
            <w:pPr>
              <w:rPr>
                <w:rFonts w:ascii="仿宋" w:hAnsi="仿宋" w:eastAsia="仿宋"/>
                <w:sz w:val="24"/>
                <w:szCs w:val="24"/>
                <w:highlight w:val="none"/>
              </w:rPr>
            </w:pPr>
          </w:p>
        </w:tc>
      </w:tr>
      <w:tr w14:paraId="1C46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8658D0C">
            <w:pPr>
              <w:rPr>
                <w:rFonts w:ascii="仿宋" w:hAnsi="仿宋" w:eastAsia="仿宋"/>
                <w:sz w:val="24"/>
                <w:szCs w:val="24"/>
                <w:highlight w:val="none"/>
              </w:rPr>
            </w:pPr>
          </w:p>
        </w:tc>
        <w:tc>
          <w:tcPr>
            <w:tcW w:w="444" w:type="pct"/>
            <w:vMerge w:val="continue"/>
            <w:noWrap w:val="0"/>
            <w:vAlign w:val="top"/>
          </w:tcPr>
          <w:p w14:paraId="4FE54B18">
            <w:pPr>
              <w:rPr>
                <w:rFonts w:ascii="仿宋" w:hAnsi="仿宋" w:eastAsia="仿宋"/>
                <w:sz w:val="24"/>
                <w:szCs w:val="24"/>
                <w:highlight w:val="none"/>
              </w:rPr>
            </w:pPr>
          </w:p>
        </w:tc>
        <w:tc>
          <w:tcPr>
            <w:tcW w:w="648" w:type="pct"/>
            <w:noWrap w:val="0"/>
            <w:vAlign w:val="center"/>
          </w:tcPr>
          <w:p w14:paraId="22510EB9">
            <w:pPr>
              <w:rPr>
                <w:rFonts w:ascii="仿宋" w:hAnsi="仿宋" w:eastAsia="仿宋"/>
                <w:sz w:val="24"/>
                <w:szCs w:val="24"/>
                <w:highlight w:val="none"/>
              </w:rPr>
            </w:pPr>
            <w:r>
              <w:rPr>
                <w:rFonts w:ascii="仿宋" w:hAnsi="仿宋" w:eastAsia="仿宋"/>
                <w:sz w:val="24"/>
                <w:szCs w:val="24"/>
                <w:highlight w:val="none"/>
              </w:rPr>
              <w:t>绿地巡查</w:t>
            </w:r>
          </w:p>
        </w:tc>
        <w:tc>
          <w:tcPr>
            <w:tcW w:w="2158" w:type="pct"/>
            <w:noWrap w:val="0"/>
            <w:vAlign w:val="top"/>
          </w:tcPr>
          <w:p w14:paraId="3EF5948E">
            <w:pPr>
              <w:numPr>
                <w:ilvl w:val="0"/>
                <w:numId w:val="2"/>
              </w:numPr>
              <w:rPr>
                <w:rFonts w:ascii="仿宋" w:hAnsi="仿宋" w:eastAsia="仿宋"/>
                <w:sz w:val="24"/>
                <w:szCs w:val="24"/>
                <w:highlight w:val="none"/>
              </w:rPr>
            </w:pPr>
            <w:r>
              <w:rPr>
                <w:rFonts w:ascii="仿宋" w:hAnsi="仿宋" w:eastAsia="仿宋"/>
                <w:sz w:val="24"/>
                <w:szCs w:val="24"/>
                <w:highlight w:val="none"/>
              </w:rPr>
              <w:t>各绿化单位加强巡查，做好日常巡查记录，发现问题及时处理。发现违规占用绿地或非法破坏绿地的情况要及时阻止并上报，随后将情况书面报送生态环境局，进行处理，未建立巡查记录的扣10分，未及时发现违规占用或非法破坏绿地的扣10分。</w:t>
            </w:r>
          </w:p>
          <w:p w14:paraId="52595085">
            <w:pPr>
              <w:numPr>
                <w:ilvl w:val="0"/>
                <w:numId w:val="2"/>
              </w:numPr>
              <w:rPr>
                <w:highlight w:val="none"/>
              </w:rPr>
            </w:pPr>
            <w:r>
              <w:rPr>
                <w:rFonts w:hint="eastAsia" w:ascii="仿宋" w:hAnsi="仿宋" w:eastAsia="仿宋"/>
                <w:sz w:val="24"/>
                <w:szCs w:val="24"/>
                <w:highlight w:val="none"/>
                <w:lang w:val="en-US" w:eastAsia="zh-CN"/>
              </w:rPr>
              <w:t>每</w:t>
            </w:r>
            <w:r>
              <w:rPr>
                <w:rFonts w:hint="eastAsia" w:ascii="仿宋" w:hAnsi="仿宋" w:eastAsia="仿宋"/>
                <w:color w:val="FF0000"/>
                <w:sz w:val="24"/>
                <w:szCs w:val="24"/>
                <w:highlight w:val="none"/>
                <w:lang w:val="en-US" w:eastAsia="zh-CN"/>
              </w:rPr>
              <w:t>12-15万㎡</w:t>
            </w:r>
            <w:r>
              <w:rPr>
                <w:rFonts w:hint="eastAsia" w:ascii="仿宋" w:hAnsi="仿宋" w:eastAsia="仿宋"/>
                <w:sz w:val="24"/>
                <w:szCs w:val="24"/>
                <w:highlight w:val="none"/>
                <w:lang w:val="en-US" w:eastAsia="zh-CN"/>
              </w:rPr>
              <w:t>配备一名秩序维护人员，秩序维护人员应统一着装，仪容整洁，文明用语。及时制止和劝离违规垂钓、野泳、露天烧烤、乱倒垃圾、摆摊叫卖、流动商贩等行为，及时制止围垦河道（绿地）种菜等行为，及时劝导在河边游玩的市民，防范溺水，制止机动车辆进入绿道。未配备的没缺1人扣除5分。</w:t>
            </w:r>
          </w:p>
        </w:tc>
        <w:tc>
          <w:tcPr>
            <w:tcW w:w="1192" w:type="pct"/>
            <w:noWrap w:val="0"/>
            <w:vAlign w:val="top"/>
          </w:tcPr>
          <w:p w14:paraId="296AE880">
            <w:pPr>
              <w:rPr>
                <w:rFonts w:ascii="仿宋" w:hAnsi="仿宋" w:eastAsia="仿宋"/>
                <w:sz w:val="24"/>
                <w:szCs w:val="24"/>
                <w:highlight w:val="none"/>
              </w:rPr>
            </w:pPr>
            <w:r>
              <w:rPr>
                <w:rFonts w:hint="eastAsia" w:ascii="仿宋" w:hAnsi="仿宋" w:eastAsia="仿宋"/>
                <w:sz w:val="24"/>
                <w:szCs w:val="24"/>
                <w:highlight w:val="none"/>
              </w:rPr>
              <w:t>未建立巡查记录的每月扣除</w:t>
            </w:r>
            <w:r>
              <w:rPr>
                <w:rFonts w:ascii="仿宋" w:hAnsi="仿宋" w:eastAsia="仿宋"/>
                <w:sz w:val="24"/>
                <w:szCs w:val="24"/>
                <w:highlight w:val="none"/>
              </w:rPr>
              <w:t>3000</w:t>
            </w:r>
            <w:r>
              <w:rPr>
                <w:rFonts w:hint="eastAsia" w:ascii="仿宋" w:hAnsi="仿宋" w:eastAsia="仿宋"/>
                <w:sz w:val="24"/>
                <w:szCs w:val="24"/>
                <w:highlight w:val="none"/>
              </w:rPr>
              <w:t>元，违规占用、破坏绿地未及时发现的每处扣款</w:t>
            </w:r>
            <w:r>
              <w:rPr>
                <w:rFonts w:hint="eastAsia" w:ascii="仿宋" w:hAnsi="仿宋" w:eastAsia="仿宋"/>
                <w:sz w:val="24"/>
                <w:szCs w:val="24"/>
                <w:highlight w:val="none"/>
                <w:lang w:val="en-US" w:eastAsia="zh-CN"/>
              </w:rPr>
              <w:t>5</w:t>
            </w:r>
            <w:r>
              <w:rPr>
                <w:rFonts w:ascii="仿宋" w:hAnsi="仿宋" w:eastAsia="仿宋"/>
                <w:sz w:val="24"/>
                <w:szCs w:val="24"/>
                <w:highlight w:val="none"/>
              </w:rPr>
              <w:t>000</w:t>
            </w:r>
            <w:r>
              <w:rPr>
                <w:rFonts w:hint="eastAsia" w:ascii="仿宋" w:hAnsi="仿宋" w:eastAsia="仿宋"/>
                <w:sz w:val="24"/>
                <w:szCs w:val="24"/>
                <w:highlight w:val="none"/>
              </w:rPr>
              <w:t>元。</w:t>
            </w:r>
          </w:p>
        </w:tc>
        <w:tc>
          <w:tcPr>
            <w:tcW w:w="252" w:type="pct"/>
            <w:noWrap w:val="0"/>
            <w:vAlign w:val="top"/>
          </w:tcPr>
          <w:p w14:paraId="317805BD">
            <w:pPr>
              <w:rPr>
                <w:rFonts w:ascii="仿宋" w:hAnsi="仿宋" w:eastAsia="仿宋"/>
                <w:sz w:val="24"/>
                <w:szCs w:val="24"/>
                <w:highlight w:val="none"/>
              </w:rPr>
            </w:pPr>
          </w:p>
        </w:tc>
      </w:tr>
      <w:tr w14:paraId="6C98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9F45453">
            <w:pPr>
              <w:rPr>
                <w:rFonts w:ascii="仿宋" w:hAnsi="仿宋" w:eastAsia="仿宋"/>
                <w:sz w:val="24"/>
                <w:szCs w:val="24"/>
                <w:highlight w:val="none"/>
              </w:rPr>
            </w:pPr>
            <w:r>
              <w:rPr>
                <w:rFonts w:ascii="仿宋" w:hAnsi="仿宋" w:eastAsia="仿宋"/>
                <w:sz w:val="24"/>
                <w:szCs w:val="24"/>
                <w:highlight w:val="none"/>
              </w:rPr>
              <w:t>3</w:t>
            </w:r>
          </w:p>
        </w:tc>
        <w:tc>
          <w:tcPr>
            <w:tcW w:w="444" w:type="pct"/>
            <w:vMerge w:val="restart"/>
            <w:noWrap w:val="0"/>
            <w:vAlign w:val="center"/>
          </w:tcPr>
          <w:p w14:paraId="0D283210">
            <w:pPr>
              <w:rPr>
                <w:rFonts w:ascii="仿宋" w:hAnsi="仿宋" w:eastAsia="仿宋"/>
                <w:sz w:val="24"/>
                <w:szCs w:val="24"/>
                <w:highlight w:val="none"/>
              </w:rPr>
            </w:pPr>
            <w:r>
              <w:rPr>
                <w:rFonts w:hint="eastAsia" w:ascii="仿宋" w:hAnsi="仿宋" w:eastAsia="仿宋"/>
                <w:sz w:val="24"/>
                <w:szCs w:val="24"/>
                <w:highlight w:val="none"/>
              </w:rPr>
              <w:t>其他（30分）</w:t>
            </w:r>
          </w:p>
        </w:tc>
        <w:tc>
          <w:tcPr>
            <w:tcW w:w="648" w:type="pct"/>
            <w:noWrap w:val="0"/>
            <w:vAlign w:val="center"/>
          </w:tcPr>
          <w:p w14:paraId="2EF8570B">
            <w:pPr>
              <w:rPr>
                <w:rFonts w:ascii="仿宋" w:hAnsi="仿宋" w:eastAsia="仿宋"/>
                <w:sz w:val="24"/>
                <w:szCs w:val="24"/>
                <w:highlight w:val="none"/>
              </w:rPr>
            </w:pPr>
            <w:r>
              <w:rPr>
                <w:rFonts w:ascii="仿宋" w:hAnsi="仿宋" w:eastAsia="仿宋"/>
                <w:sz w:val="24"/>
                <w:szCs w:val="24"/>
                <w:highlight w:val="none"/>
              </w:rPr>
              <w:t>安全管理</w:t>
            </w:r>
          </w:p>
        </w:tc>
        <w:tc>
          <w:tcPr>
            <w:tcW w:w="2158" w:type="pct"/>
            <w:noWrap w:val="0"/>
            <w:vAlign w:val="top"/>
          </w:tcPr>
          <w:p w14:paraId="3F0FC70C">
            <w:pPr>
              <w:rPr>
                <w:rFonts w:ascii="仿宋" w:hAnsi="仿宋" w:eastAsia="仿宋"/>
                <w:sz w:val="24"/>
                <w:szCs w:val="24"/>
                <w:highlight w:val="none"/>
              </w:rPr>
            </w:pPr>
            <w:r>
              <w:rPr>
                <w:rFonts w:ascii="仿宋" w:hAnsi="仿宋" w:eastAsia="仿宋"/>
                <w:sz w:val="24"/>
                <w:szCs w:val="24"/>
                <w:highlight w:val="none"/>
              </w:rPr>
              <w:t>1、养护工人及驾驶员上岗作业时，身体状况良好，无带病或疲劳作业；未达到发现一次扣2分；</w:t>
            </w:r>
          </w:p>
          <w:p w14:paraId="080E5A83">
            <w:pPr>
              <w:rPr>
                <w:rFonts w:ascii="仿宋" w:hAnsi="仿宋" w:eastAsia="仿宋"/>
                <w:sz w:val="24"/>
                <w:szCs w:val="24"/>
                <w:highlight w:val="none"/>
              </w:rPr>
            </w:pPr>
            <w:r>
              <w:rPr>
                <w:rFonts w:ascii="仿宋" w:hAnsi="仿宋" w:eastAsia="仿宋"/>
                <w:sz w:val="24"/>
                <w:szCs w:val="24"/>
                <w:highlight w:val="none"/>
              </w:rPr>
              <w:t>2、车体整洁完好，保养维护及时，驾驶员遵守交通规则，安全行驶作业，未达到发现一次扣2分；</w:t>
            </w:r>
          </w:p>
          <w:p w14:paraId="10601D0E">
            <w:pPr>
              <w:rPr>
                <w:rFonts w:ascii="仿宋" w:hAnsi="仿宋" w:eastAsia="仿宋"/>
                <w:sz w:val="24"/>
                <w:szCs w:val="24"/>
                <w:highlight w:val="none"/>
              </w:rPr>
            </w:pPr>
            <w:r>
              <w:rPr>
                <w:rFonts w:ascii="仿宋" w:hAnsi="仿宋" w:eastAsia="仿宋"/>
                <w:sz w:val="24"/>
                <w:szCs w:val="24"/>
                <w:highlight w:val="none"/>
              </w:rPr>
              <w:t>3、车辆临时停放整齐，无开车快猛急现象，未达到发现一次扣1分；</w:t>
            </w:r>
          </w:p>
          <w:p w14:paraId="2C11AEEC">
            <w:pPr>
              <w:rPr>
                <w:rFonts w:ascii="仿宋" w:hAnsi="仿宋" w:eastAsia="仿宋"/>
                <w:sz w:val="24"/>
                <w:szCs w:val="24"/>
                <w:highlight w:val="none"/>
              </w:rPr>
            </w:pPr>
            <w:r>
              <w:rPr>
                <w:rFonts w:ascii="仿宋" w:hAnsi="仿宋" w:eastAsia="仿宋"/>
                <w:sz w:val="24"/>
                <w:szCs w:val="24"/>
                <w:highlight w:val="none"/>
              </w:rPr>
              <w:t>4、绿化车辆排气排污不达标的每辆扣5分；</w:t>
            </w:r>
          </w:p>
          <w:p w14:paraId="65DE779C">
            <w:pPr>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lang w:val="en-US" w:eastAsia="zh-CN"/>
              </w:rPr>
              <w:t>管理用房</w:t>
            </w:r>
            <w:r>
              <w:rPr>
                <w:rFonts w:ascii="仿宋" w:hAnsi="仿宋" w:eastAsia="仿宋"/>
                <w:sz w:val="24"/>
                <w:szCs w:val="24"/>
                <w:highlight w:val="none"/>
              </w:rPr>
              <w:t>内消防器材到位，线路设置整齐规范，无易燃易爆等危险品存</w:t>
            </w:r>
            <w:r>
              <w:rPr>
                <w:rFonts w:hint="eastAsia" w:ascii="仿宋" w:hAnsi="仿宋" w:eastAsia="仿宋"/>
                <w:sz w:val="24"/>
                <w:szCs w:val="24"/>
                <w:highlight w:val="none"/>
              </w:rPr>
              <w:t>放。</w:t>
            </w:r>
            <w:r>
              <w:rPr>
                <w:rFonts w:ascii="仿宋" w:hAnsi="仿宋" w:eastAsia="仿宋"/>
                <w:sz w:val="24"/>
                <w:szCs w:val="24"/>
                <w:highlight w:val="none"/>
              </w:rPr>
              <w:t>未达到每处扣2分；</w:t>
            </w:r>
          </w:p>
          <w:p w14:paraId="20C22629">
            <w:pPr>
              <w:rPr>
                <w:rFonts w:ascii="仿宋" w:hAnsi="仿宋" w:eastAsia="仿宋"/>
                <w:sz w:val="24"/>
                <w:szCs w:val="24"/>
                <w:highlight w:val="none"/>
              </w:rPr>
            </w:pPr>
            <w:r>
              <w:rPr>
                <w:rFonts w:ascii="仿宋" w:hAnsi="仿宋" w:eastAsia="仿宋"/>
                <w:sz w:val="24"/>
                <w:szCs w:val="24"/>
                <w:highlight w:val="none"/>
              </w:rPr>
              <w:t>6、道路及附属绿地养护作业时未按规范要求隔离安全作业区扣2分；</w:t>
            </w:r>
          </w:p>
          <w:p w14:paraId="749E23BF">
            <w:pPr>
              <w:rPr>
                <w:rFonts w:ascii="仿宋" w:hAnsi="仿宋" w:eastAsia="仿宋"/>
                <w:sz w:val="24"/>
                <w:szCs w:val="24"/>
                <w:highlight w:val="none"/>
              </w:rPr>
            </w:pPr>
            <w:r>
              <w:rPr>
                <w:rFonts w:ascii="仿宋" w:hAnsi="仿宋" w:eastAsia="仿宋"/>
                <w:sz w:val="24"/>
                <w:szCs w:val="24"/>
                <w:highlight w:val="none"/>
              </w:rPr>
              <w:t>7、绿地内临时用电不规范，存在安全隐患的每处扣2分；</w:t>
            </w:r>
          </w:p>
          <w:p w14:paraId="6E3E46CB">
            <w:pPr>
              <w:rPr>
                <w:rFonts w:ascii="仿宋" w:hAnsi="仿宋" w:eastAsia="仿宋"/>
                <w:sz w:val="24"/>
                <w:szCs w:val="24"/>
                <w:highlight w:val="none"/>
              </w:rPr>
            </w:pPr>
            <w:r>
              <w:rPr>
                <w:rFonts w:ascii="仿宋" w:hAnsi="仿宋" w:eastAsia="仿宋"/>
                <w:sz w:val="24"/>
                <w:szCs w:val="24"/>
                <w:highlight w:val="none"/>
              </w:rPr>
              <w:t>8、绿地有害生物预防所用农药未按规范管理和使用的扣10分；</w:t>
            </w:r>
          </w:p>
          <w:p w14:paraId="6095B7F8">
            <w:pPr>
              <w:rPr>
                <w:rFonts w:ascii="仿宋" w:hAnsi="仿宋" w:eastAsia="仿宋"/>
                <w:sz w:val="24"/>
                <w:szCs w:val="24"/>
                <w:highlight w:val="none"/>
              </w:rPr>
            </w:pPr>
            <w:r>
              <w:rPr>
                <w:rFonts w:ascii="仿宋" w:hAnsi="仿宋" w:eastAsia="仿宋"/>
                <w:sz w:val="24"/>
                <w:szCs w:val="24"/>
                <w:highlight w:val="none"/>
              </w:rPr>
              <w:t>9、未制定安全生产应急预案扣10分；</w:t>
            </w:r>
          </w:p>
          <w:p w14:paraId="07D8B47A">
            <w:pPr>
              <w:rPr>
                <w:rFonts w:ascii="仿宋" w:hAnsi="仿宋" w:eastAsia="仿宋"/>
                <w:sz w:val="24"/>
                <w:szCs w:val="24"/>
                <w:highlight w:val="none"/>
              </w:rPr>
            </w:pPr>
            <w:r>
              <w:rPr>
                <w:rFonts w:ascii="仿宋" w:hAnsi="仿宋" w:eastAsia="仿宋"/>
                <w:sz w:val="24"/>
                <w:szCs w:val="24"/>
                <w:highlight w:val="none"/>
              </w:rPr>
              <w:t>10、员工未进行安全培训和应急培训扣10分。</w:t>
            </w:r>
          </w:p>
          <w:p w14:paraId="618299A9">
            <w:pPr>
              <w:rPr>
                <w:rFonts w:ascii="仿宋" w:hAnsi="仿宋" w:eastAsia="仿宋"/>
                <w:sz w:val="24"/>
                <w:szCs w:val="24"/>
                <w:highlight w:val="none"/>
              </w:rPr>
            </w:pPr>
            <w:r>
              <w:rPr>
                <w:rFonts w:ascii="仿宋" w:hAnsi="仿宋" w:eastAsia="仿宋"/>
                <w:sz w:val="24"/>
                <w:szCs w:val="24"/>
                <w:highlight w:val="none"/>
              </w:rPr>
              <w:t>11、对遮挡交通指示牌的树枝、苗木清理不及时的每处扣3分。</w:t>
            </w:r>
          </w:p>
        </w:tc>
        <w:tc>
          <w:tcPr>
            <w:tcW w:w="1192" w:type="pct"/>
            <w:noWrap w:val="0"/>
            <w:vAlign w:val="center"/>
          </w:tcPr>
          <w:p w14:paraId="06EDB0EC">
            <w:pPr>
              <w:rPr>
                <w:rFonts w:ascii="仿宋" w:hAnsi="仿宋" w:eastAsia="仿宋"/>
                <w:sz w:val="24"/>
                <w:szCs w:val="24"/>
                <w:highlight w:val="none"/>
              </w:rPr>
            </w:pPr>
            <w:r>
              <w:rPr>
                <w:rFonts w:ascii="仿宋" w:hAnsi="仿宋" w:eastAsia="仿宋"/>
                <w:sz w:val="24"/>
                <w:szCs w:val="24"/>
                <w:highlight w:val="none"/>
              </w:rPr>
              <w:t>对管理中存在安全隐患整治不及时的每次扣款罚款1万元，对通报安全问题未按要求整改的每次罚款</w:t>
            </w:r>
            <w:r>
              <w:rPr>
                <w:rFonts w:hint="eastAsia" w:ascii="仿宋" w:hAnsi="仿宋" w:eastAsia="仿宋"/>
                <w:sz w:val="24"/>
                <w:szCs w:val="24"/>
                <w:highlight w:val="none"/>
              </w:rPr>
              <w:t>6</w:t>
            </w:r>
            <w:r>
              <w:rPr>
                <w:rFonts w:ascii="仿宋" w:hAnsi="仿宋" w:eastAsia="仿宋"/>
                <w:sz w:val="24"/>
                <w:szCs w:val="24"/>
                <w:highlight w:val="none"/>
              </w:rPr>
              <w:t>万元。</w:t>
            </w:r>
          </w:p>
        </w:tc>
        <w:tc>
          <w:tcPr>
            <w:tcW w:w="252" w:type="pct"/>
            <w:noWrap w:val="0"/>
            <w:vAlign w:val="top"/>
          </w:tcPr>
          <w:p w14:paraId="7264C17D">
            <w:pPr>
              <w:rPr>
                <w:rFonts w:ascii="仿宋" w:hAnsi="仿宋" w:eastAsia="仿宋"/>
                <w:sz w:val="24"/>
                <w:szCs w:val="24"/>
                <w:highlight w:val="none"/>
              </w:rPr>
            </w:pPr>
          </w:p>
        </w:tc>
      </w:tr>
      <w:tr w14:paraId="25A3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8A6CE4">
            <w:pPr>
              <w:rPr>
                <w:rFonts w:ascii="仿宋" w:hAnsi="仿宋" w:eastAsia="仿宋"/>
                <w:sz w:val="24"/>
                <w:szCs w:val="24"/>
                <w:highlight w:val="none"/>
              </w:rPr>
            </w:pPr>
          </w:p>
        </w:tc>
        <w:tc>
          <w:tcPr>
            <w:tcW w:w="444" w:type="pct"/>
            <w:vMerge w:val="continue"/>
            <w:noWrap w:val="0"/>
            <w:vAlign w:val="top"/>
          </w:tcPr>
          <w:p w14:paraId="0381167C">
            <w:pPr>
              <w:rPr>
                <w:rFonts w:ascii="仿宋" w:hAnsi="仿宋" w:eastAsia="仿宋"/>
                <w:sz w:val="24"/>
                <w:szCs w:val="24"/>
                <w:highlight w:val="none"/>
              </w:rPr>
            </w:pPr>
          </w:p>
        </w:tc>
        <w:tc>
          <w:tcPr>
            <w:tcW w:w="648" w:type="pct"/>
            <w:noWrap w:val="0"/>
            <w:vAlign w:val="center"/>
          </w:tcPr>
          <w:p w14:paraId="515FF8ED">
            <w:pPr>
              <w:rPr>
                <w:rFonts w:ascii="仿宋" w:hAnsi="仿宋" w:eastAsia="仿宋"/>
                <w:sz w:val="24"/>
                <w:szCs w:val="24"/>
                <w:highlight w:val="none"/>
              </w:rPr>
            </w:pPr>
            <w:r>
              <w:rPr>
                <w:rFonts w:ascii="仿宋" w:hAnsi="仿宋" w:eastAsia="仿宋"/>
                <w:sz w:val="24"/>
                <w:szCs w:val="24"/>
                <w:highlight w:val="none"/>
              </w:rPr>
              <w:t>管护资料</w:t>
            </w:r>
          </w:p>
        </w:tc>
        <w:tc>
          <w:tcPr>
            <w:tcW w:w="2158" w:type="pct"/>
            <w:noWrap w:val="0"/>
            <w:vAlign w:val="top"/>
          </w:tcPr>
          <w:p w14:paraId="76E3D3D2">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未按照要求上交本周、月、年养护计划、工作总结，未提交一次扣3分；</w:t>
            </w:r>
          </w:p>
          <w:p w14:paraId="704A3917">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未设专人记录养护日志、不认真记录养护日志，发现一次扣2分；</w:t>
            </w:r>
          </w:p>
          <w:p w14:paraId="51F04AEE">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无完整养护技术台账，技术交底资料扣5分；</w:t>
            </w:r>
          </w:p>
          <w:p w14:paraId="77C0C8F2">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无养护台账每次扣10分。</w:t>
            </w:r>
          </w:p>
          <w:p w14:paraId="2FFED1E3">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每月养护单位要对各标段养护情况进行自检工作，无自检报告的每次扣5分</w:t>
            </w:r>
          </w:p>
        </w:tc>
        <w:tc>
          <w:tcPr>
            <w:tcW w:w="1192" w:type="pct"/>
            <w:noWrap w:val="0"/>
            <w:vAlign w:val="top"/>
          </w:tcPr>
          <w:p w14:paraId="1ADAC304">
            <w:pPr>
              <w:rPr>
                <w:rFonts w:ascii="仿宋" w:hAnsi="仿宋" w:eastAsia="仿宋"/>
                <w:sz w:val="24"/>
                <w:szCs w:val="24"/>
                <w:highlight w:val="none"/>
              </w:rPr>
            </w:pPr>
            <w:r>
              <w:rPr>
                <w:rFonts w:ascii="仿宋" w:hAnsi="仿宋" w:eastAsia="仿宋"/>
                <w:sz w:val="24"/>
                <w:szCs w:val="24"/>
                <w:highlight w:val="none"/>
              </w:rPr>
              <w:t>未报送或未按时报送周、月、年计划的一次扣</w:t>
            </w:r>
            <w:r>
              <w:rPr>
                <w:rFonts w:hint="eastAsia" w:ascii="仿宋" w:hAnsi="仿宋" w:eastAsia="仿宋"/>
                <w:sz w:val="24"/>
                <w:szCs w:val="24"/>
                <w:highlight w:val="none"/>
              </w:rPr>
              <w:t>3</w:t>
            </w:r>
            <w:r>
              <w:rPr>
                <w:rFonts w:ascii="仿宋" w:hAnsi="仿宋" w:eastAsia="仿宋"/>
                <w:sz w:val="24"/>
                <w:szCs w:val="24"/>
                <w:highlight w:val="none"/>
              </w:rPr>
              <w:t>000元，计划调整两次不合格的一次扣</w:t>
            </w:r>
            <w:r>
              <w:rPr>
                <w:rFonts w:hint="eastAsia" w:ascii="仿宋" w:hAnsi="仿宋" w:eastAsia="仿宋"/>
                <w:sz w:val="24"/>
                <w:szCs w:val="24"/>
                <w:highlight w:val="none"/>
              </w:rPr>
              <w:t>2</w:t>
            </w:r>
            <w:r>
              <w:rPr>
                <w:rFonts w:ascii="仿宋" w:hAnsi="仿宋" w:eastAsia="仿宋"/>
                <w:sz w:val="24"/>
                <w:szCs w:val="24"/>
                <w:highlight w:val="none"/>
              </w:rPr>
              <w:t>000元；无养护台账的每次扣除</w:t>
            </w:r>
            <w:r>
              <w:rPr>
                <w:rFonts w:hint="eastAsia" w:ascii="仿宋" w:hAnsi="仿宋" w:eastAsia="仿宋"/>
                <w:sz w:val="24"/>
                <w:szCs w:val="24"/>
                <w:highlight w:val="none"/>
              </w:rPr>
              <w:t>3</w:t>
            </w:r>
            <w:r>
              <w:rPr>
                <w:rFonts w:ascii="仿宋" w:hAnsi="仿宋" w:eastAsia="仿宋"/>
                <w:sz w:val="24"/>
                <w:szCs w:val="24"/>
                <w:highlight w:val="none"/>
              </w:rPr>
              <w:t>000元，无养护日志的按照每天100元进行处罚；无自检报告每次扣</w:t>
            </w:r>
            <w:r>
              <w:rPr>
                <w:rFonts w:hint="eastAsia" w:ascii="仿宋" w:hAnsi="仿宋" w:eastAsia="仿宋"/>
                <w:sz w:val="24"/>
                <w:szCs w:val="24"/>
                <w:highlight w:val="none"/>
              </w:rPr>
              <w:t>5000</w:t>
            </w:r>
            <w:r>
              <w:rPr>
                <w:rFonts w:ascii="仿宋" w:hAnsi="仿宋" w:eastAsia="仿宋"/>
                <w:sz w:val="24"/>
                <w:szCs w:val="24"/>
                <w:highlight w:val="none"/>
              </w:rPr>
              <w:t>元</w:t>
            </w:r>
          </w:p>
        </w:tc>
        <w:tc>
          <w:tcPr>
            <w:tcW w:w="252" w:type="pct"/>
            <w:noWrap w:val="0"/>
            <w:vAlign w:val="top"/>
          </w:tcPr>
          <w:p w14:paraId="1422BFFA">
            <w:pPr>
              <w:rPr>
                <w:rFonts w:ascii="仿宋" w:hAnsi="仿宋" w:eastAsia="仿宋"/>
                <w:sz w:val="24"/>
                <w:szCs w:val="24"/>
                <w:highlight w:val="none"/>
              </w:rPr>
            </w:pPr>
          </w:p>
        </w:tc>
      </w:tr>
      <w:tr w14:paraId="58B3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C87B9A">
            <w:pPr>
              <w:rPr>
                <w:rFonts w:ascii="仿宋" w:hAnsi="仿宋" w:eastAsia="仿宋"/>
                <w:sz w:val="24"/>
                <w:szCs w:val="24"/>
                <w:highlight w:val="none"/>
              </w:rPr>
            </w:pPr>
          </w:p>
        </w:tc>
        <w:tc>
          <w:tcPr>
            <w:tcW w:w="444" w:type="pct"/>
            <w:vMerge w:val="continue"/>
            <w:noWrap w:val="0"/>
            <w:vAlign w:val="top"/>
          </w:tcPr>
          <w:p w14:paraId="1B745CF2">
            <w:pPr>
              <w:rPr>
                <w:rFonts w:ascii="仿宋" w:hAnsi="仿宋" w:eastAsia="仿宋"/>
                <w:sz w:val="24"/>
                <w:szCs w:val="24"/>
                <w:highlight w:val="none"/>
              </w:rPr>
            </w:pPr>
          </w:p>
        </w:tc>
        <w:tc>
          <w:tcPr>
            <w:tcW w:w="648" w:type="pct"/>
            <w:noWrap w:val="0"/>
            <w:vAlign w:val="center"/>
          </w:tcPr>
          <w:p w14:paraId="00DEDEE4">
            <w:pPr>
              <w:rPr>
                <w:rFonts w:ascii="仿宋" w:hAnsi="仿宋" w:eastAsia="仿宋"/>
                <w:sz w:val="24"/>
                <w:szCs w:val="24"/>
                <w:highlight w:val="none"/>
              </w:rPr>
            </w:pPr>
            <w:r>
              <w:rPr>
                <w:rFonts w:ascii="仿宋" w:hAnsi="仿宋" w:eastAsia="仿宋"/>
                <w:sz w:val="24"/>
                <w:szCs w:val="24"/>
                <w:highlight w:val="none"/>
              </w:rPr>
              <w:t>执行力</w:t>
            </w:r>
          </w:p>
        </w:tc>
        <w:tc>
          <w:tcPr>
            <w:tcW w:w="2158" w:type="pct"/>
            <w:noWrap w:val="0"/>
            <w:vAlign w:val="top"/>
          </w:tcPr>
          <w:p w14:paraId="28886F40">
            <w:pPr>
              <w:widowControl/>
              <w:numPr>
                <w:ilvl w:val="0"/>
                <w:numId w:val="4"/>
              </w:numPr>
              <w:jc w:val="left"/>
              <w:rPr>
                <w:rFonts w:ascii="仿宋" w:hAnsi="仿宋" w:eastAsia="仿宋"/>
                <w:sz w:val="24"/>
                <w:szCs w:val="24"/>
                <w:highlight w:val="none"/>
              </w:rPr>
            </w:pPr>
            <w:r>
              <w:rPr>
                <w:rFonts w:ascii="仿宋" w:hAnsi="仿宋" w:eastAsia="仿宋"/>
                <w:sz w:val="24"/>
                <w:szCs w:val="24"/>
                <w:highlight w:val="none"/>
              </w:rPr>
              <w:t>群众投诉、媒体披露、领导及上级部门通报问题，整改不到位扣10分</w:t>
            </w:r>
            <w:r>
              <w:rPr>
                <w:rFonts w:hint="eastAsia" w:ascii="仿宋" w:hAnsi="仿宋" w:eastAsia="仿宋"/>
                <w:sz w:val="24"/>
                <w:szCs w:val="24"/>
                <w:highlight w:val="none"/>
              </w:rPr>
              <w:t>；</w:t>
            </w:r>
          </w:p>
          <w:p w14:paraId="377495D9">
            <w:pPr>
              <w:widowControl/>
              <w:numPr>
                <w:ilvl w:val="0"/>
                <w:numId w:val="4"/>
              </w:numPr>
              <w:jc w:val="left"/>
              <w:rPr>
                <w:rFonts w:ascii="仿宋" w:hAnsi="仿宋" w:eastAsia="仿宋"/>
                <w:sz w:val="24"/>
                <w:szCs w:val="24"/>
                <w:highlight w:val="none"/>
              </w:rPr>
            </w:pPr>
            <w:r>
              <w:rPr>
                <w:rFonts w:ascii="仿宋" w:hAnsi="仿宋" w:eastAsia="仿宋"/>
                <w:sz w:val="24"/>
                <w:szCs w:val="24"/>
                <w:highlight w:val="none"/>
              </w:rPr>
              <w:t>对生态环境局及监理安排的日常工作不能够及时完成、有推诿扯皮现象扣5分。</w:t>
            </w:r>
          </w:p>
          <w:p w14:paraId="6CC13F4B">
            <w:pPr>
              <w:widowControl/>
              <w:numPr>
                <w:ilvl w:val="0"/>
                <w:numId w:val="4"/>
              </w:numPr>
              <w:jc w:val="left"/>
              <w:rPr>
                <w:rFonts w:ascii="仿宋" w:hAnsi="仿宋" w:eastAsia="仿宋"/>
                <w:sz w:val="24"/>
                <w:szCs w:val="24"/>
                <w:highlight w:val="none"/>
              </w:rPr>
            </w:pPr>
            <w:r>
              <w:rPr>
                <w:rFonts w:ascii="仿宋" w:hAnsi="仿宋" w:eastAsia="仿宋"/>
                <w:sz w:val="24"/>
                <w:szCs w:val="24"/>
                <w:highlight w:val="none"/>
              </w:rPr>
              <w:t>在重大活动、突发事件及其它临时性任务中，不能按时完成任务，扣15分；</w:t>
            </w:r>
          </w:p>
          <w:p w14:paraId="23850650">
            <w:pPr>
              <w:rPr>
                <w:rFonts w:ascii="仿宋" w:hAnsi="仿宋" w:eastAsia="仿宋"/>
                <w:sz w:val="24"/>
                <w:szCs w:val="24"/>
                <w:highlight w:val="none"/>
              </w:rPr>
            </w:pPr>
            <w:r>
              <w:rPr>
                <w:rFonts w:ascii="仿宋" w:hAnsi="仿宋" w:eastAsia="仿宋"/>
                <w:sz w:val="24"/>
                <w:szCs w:val="24"/>
                <w:highlight w:val="none"/>
              </w:rPr>
              <w:t>4、严格遵守市级园林绿化工作相关要求及行业管理规范，未落实或落实不到位每项扣10分。</w:t>
            </w:r>
          </w:p>
        </w:tc>
        <w:tc>
          <w:tcPr>
            <w:tcW w:w="1192" w:type="pct"/>
            <w:noWrap w:val="0"/>
            <w:vAlign w:val="top"/>
          </w:tcPr>
          <w:p w14:paraId="6E9D4B70">
            <w:pPr>
              <w:rPr>
                <w:rFonts w:ascii="仿宋" w:hAnsi="仿宋" w:eastAsia="仿宋"/>
                <w:sz w:val="24"/>
                <w:szCs w:val="24"/>
                <w:highlight w:val="none"/>
              </w:rPr>
            </w:pPr>
            <w:r>
              <w:rPr>
                <w:rFonts w:ascii="仿宋" w:hAnsi="仿宋" w:eastAsia="仿宋"/>
                <w:sz w:val="24"/>
                <w:szCs w:val="24"/>
                <w:highlight w:val="none"/>
              </w:rPr>
              <w:t>对建设单位、监理单位下发的指令不予执行或推诿扯皮的按照</w:t>
            </w:r>
            <w:r>
              <w:rPr>
                <w:rFonts w:hint="eastAsia" w:ascii="仿宋" w:hAnsi="仿宋" w:eastAsia="仿宋"/>
                <w:sz w:val="24"/>
                <w:szCs w:val="24"/>
                <w:highlight w:val="none"/>
              </w:rPr>
              <w:t>3</w:t>
            </w:r>
            <w:r>
              <w:rPr>
                <w:rFonts w:ascii="仿宋" w:hAnsi="仿宋" w:eastAsia="仿宋"/>
                <w:sz w:val="24"/>
                <w:szCs w:val="24"/>
                <w:highlight w:val="none"/>
              </w:rPr>
              <w:t>000元/次标准进行处罚，被群众投诉、媒体披露、领导及上级部门通报问题，整改不力的按照</w:t>
            </w:r>
            <w:r>
              <w:rPr>
                <w:rFonts w:hint="eastAsia" w:ascii="仿宋" w:hAnsi="仿宋" w:eastAsia="仿宋"/>
                <w:sz w:val="24"/>
                <w:szCs w:val="24"/>
                <w:highlight w:val="none"/>
              </w:rPr>
              <w:t>10</w:t>
            </w:r>
            <w:r>
              <w:rPr>
                <w:rFonts w:ascii="仿宋" w:hAnsi="仿宋" w:eastAsia="仿宋"/>
                <w:sz w:val="24"/>
                <w:szCs w:val="24"/>
                <w:highlight w:val="none"/>
              </w:rPr>
              <w:t>000元/次进行扣款；重大活动，项目经理现场未值守每次扣款</w:t>
            </w:r>
            <w:r>
              <w:rPr>
                <w:rFonts w:hint="eastAsia" w:ascii="仿宋" w:hAnsi="仿宋" w:eastAsia="仿宋"/>
                <w:sz w:val="24"/>
                <w:szCs w:val="24"/>
                <w:highlight w:val="none"/>
              </w:rPr>
              <w:t>5000</w:t>
            </w:r>
            <w:r>
              <w:rPr>
                <w:rFonts w:ascii="仿宋" w:hAnsi="仿宋" w:eastAsia="仿宋"/>
                <w:sz w:val="24"/>
                <w:szCs w:val="24"/>
                <w:highlight w:val="none"/>
              </w:rPr>
              <w:t>元</w:t>
            </w:r>
            <w:r>
              <w:rPr>
                <w:rFonts w:hint="eastAsia" w:ascii="仿宋" w:hAnsi="仿宋" w:eastAsia="仿宋"/>
                <w:sz w:val="24"/>
                <w:szCs w:val="24"/>
                <w:highlight w:val="none"/>
              </w:rPr>
              <w:t>，</w:t>
            </w:r>
            <w:r>
              <w:rPr>
                <w:rFonts w:ascii="仿宋" w:hAnsi="仿宋" w:eastAsia="仿宋"/>
                <w:sz w:val="24"/>
                <w:szCs w:val="24"/>
                <w:highlight w:val="none"/>
              </w:rPr>
              <w:t>对建设单位安排事项执行不力的每次扣款</w:t>
            </w:r>
            <w:r>
              <w:rPr>
                <w:rFonts w:hint="eastAsia" w:ascii="仿宋" w:hAnsi="仿宋" w:eastAsia="仿宋"/>
                <w:sz w:val="24"/>
                <w:szCs w:val="24"/>
                <w:highlight w:val="none"/>
              </w:rPr>
              <w:t>5000</w:t>
            </w:r>
            <w:r>
              <w:rPr>
                <w:rFonts w:ascii="仿宋" w:hAnsi="仿宋" w:eastAsia="仿宋"/>
                <w:sz w:val="24"/>
                <w:szCs w:val="24"/>
                <w:highlight w:val="none"/>
              </w:rPr>
              <w:t>元。</w:t>
            </w:r>
          </w:p>
        </w:tc>
        <w:tc>
          <w:tcPr>
            <w:tcW w:w="252" w:type="pct"/>
            <w:noWrap w:val="0"/>
            <w:vAlign w:val="top"/>
          </w:tcPr>
          <w:p w14:paraId="4D1BD063">
            <w:pPr>
              <w:rPr>
                <w:rFonts w:ascii="仿宋" w:hAnsi="仿宋" w:eastAsia="仿宋"/>
                <w:sz w:val="24"/>
                <w:szCs w:val="24"/>
                <w:highlight w:val="none"/>
              </w:rPr>
            </w:pPr>
          </w:p>
        </w:tc>
      </w:tr>
      <w:tr w14:paraId="49CF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A3120B7">
            <w:pPr>
              <w:rPr>
                <w:rFonts w:ascii="仿宋" w:hAnsi="仿宋" w:eastAsia="仿宋"/>
                <w:sz w:val="24"/>
                <w:szCs w:val="24"/>
                <w:highlight w:val="none"/>
              </w:rPr>
            </w:pPr>
          </w:p>
        </w:tc>
        <w:tc>
          <w:tcPr>
            <w:tcW w:w="444" w:type="pct"/>
            <w:vMerge w:val="continue"/>
            <w:noWrap w:val="0"/>
            <w:vAlign w:val="top"/>
          </w:tcPr>
          <w:p w14:paraId="7E73A215">
            <w:pPr>
              <w:rPr>
                <w:rFonts w:ascii="仿宋" w:hAnsi="仿宋" w:eastAsia="仿宋"/>
                <w:sz w:val="24"/>
                <w:szCs w:val="24"/>
                <w:highlight w:val="none"/>
              </w:rPr>
            </w:pPr>
          </w:p>
        </w:tc>
        <w:tc>
          <w:tcPr>
            <w:tcW w:w="648" w:type="pct"/>
            <w:noWrap w:val="0"/>
            <w:vAlign w:val="center"/>
          </w:tcPr>
          <w:p w14:paraId="73D54F3F">
            <w:pPr>
              <w:rPr>
                <w:rFonts w:ascii="仿宋" w:hAnsi="仿宋" w:eastAsia="仿宋"/>
                <w:sz w:val="24"/>
                <w:szCs w:val="24"/>
                <w:highlight w:val="none"/>
              </w:rPr>
            </w:pPr>
            <w:r>
              <w:rPr>
                <w:rFonts w:ascii="仿宋" w:hAnsi="仿宋" w:eastAsia="仿宋"/>
                <w:sz w:val="24"/>
                <w:szCs w:val="24"/>
                <w:highlight w:val="none"/>
              </w:rPr>
              <w:t>资产管理</w:t>
            </w:r>
          </w:p>
        </w:tc>
        <w:tc>
          <w:tcPr>
            <w:tcW w:w="2158" w:type="pct"/>
            <w:noWrap w:val="0"/>
            <w:vAlign w:val="center"/>
          </w:tcPr>
          <w:p w14:paraId="1643384F">
            <w:pPr>
              <w:rPr>
                <w:rFonts w:ascii="仿宋" w:hAnsi="仿宋" w:eastAsia="仿宋"/>
                <w:sz w:val="24"/>
                <w:szCs w:val="24"/>
                <w:highlight w:val="none"/>
              </w:rPr>
            </w:pPr>
            <w:r>
              <w:rPr>
                <w:rFonts w:ascii="仿宋" w:hAnsi="仿宋" w:eastAsia="仿宋"/>
                <w:sz w:val="24"/>
                <w:szCs w:val="24"/>
                <w:highlight w:val="none"/>
              </w:rPr>
              <w:t>1、每年进行一次苗木盘点，做好绿苗木资产增减的登记工作，做好新接绿地苗木清单、绿地图纸等相关资料的保管工作。未登记的每次扣除5分，资料缺失的每次扣除3分。</w:t>
            </w:r>
          </w:p>
          <w:p w14:paraId="777C1616">
            <w:pPr>
              <w:rPr>
                <w:rFonts w:ascii="仿宋" w:hAnsi="仿宋" w:eastAsia="仿宋"/>
                <w:sz w:val="24"/>
                <w:szCs w:val="24"/>
                <w:highlight w:val="none"/>
              </w:rPr>
            </w:pPr>
            <w:r>
              <w:rPr>
                <w:rFonts w:ascii="仿宋" w:hAnsi="仿宋" w:eastAsia="仿宋"/>
                <w:sz w:val="24"/>
                <w:szCs w:val="24"/>
                <w:highlight w:val="none"/>
              </w:rPr>
              <w:t>2、对主要景观树、胸径超过30公分大规格苗木实施建档、挂牌管理，未实施的每次扣5分。</w:t>
            </w:r>
          </w:p>
        </w:tc>
        <w:tc>
          <w:tcPr>
            <w:tcW w:w="1192" w:type="pct"/>
            <w:noWrap w:val="0"/>
            <w:vAlign w:val="top"/>
          </w:tcPr>
          <w:p w14:paraId="58FDBBC9">
            <w:pPr>
              <w:rPr>
                <w:rFonts w:ascii="仿宋" w:hAnsi="仿宋" w:eastAsia="仿宋"/>
                <w:sz w:val="24"/>
                <w:szCs w:val="24"/>
                <w:highlight w:val="none"/>
              </w:rPr>
            </w:pPr>
            <w:r>
              <w:rPr>
                <w:rFonts w:ascii="仿宋" w:hAnsi="仿宋" w:eastAsia="仿宋"/>
                <w:sz w:val="24"/>
                <w:szCs w:val="24"/>
                <w:highlight w:val="none"/>
              </w:rPr>
              <w:t>1、未实施盘点的每次扣除</w:t>
            </w:r>
            <w:r>
              <w:rPr>
                <w:rFonts w:hint="eastAsia" w:ascii="仿宋" w:hAnsi="仿宋" w:eastAsia="仿宋"/>
                <w:sz w:val="24"/>
                <w:szCs w:val="24"/>
                <w:highlight w:val="none"/>
              </w:rPr>
              <w:t>2</w:t>
            </w:r>
            <w:r>
              <w:rPr>
                <w:rFonts w:ascii="仿宋" w:hAnsi="仿宋" w:eastAsia="仿宋"/>
                <w:sz w:val="24"/>
                <w:szCs w:val="24"/>
                <w:highlight w:val="none"/>
              </w:rPr>
              <w:t>万元；资产增减登记缺失的每次扣除</w:t>
            </w:r>
            <w:r>
              <w:rPr>
                <w:rFonts w:hint="eastAsia" w:ascii="仿宋" w:hAnsi="仿宋" w:eastAsia="仿宋"/>
                <w:sz w:val="24"/>
                <w:szCs w:val="24"/>
                <w:highlight w:val="none"/>
              </w:rPr>
              <w:t>5</w:t>
            </w:r>
            <w:r>
              <w:rPr>
                <w:rFonts w:ascii="仿宋" w:hAnsi="仿宋" w:eastAsia="仿宋"/>
                <w:sz w:val="24"/>
                <w:szCs w:val="24"/>
                <w:highlight w:val="none"/>
              </w:rPr>
              <w:t>00元；资料缺失每次扣除</w:t>
            </w:r>
            <w:r>
              <w:rPr>
                <w:rFonts w:hint="eastAsia" w:ascii="仿宋" w:hAnsi="仿宋" w:eastAsia="仿宋"/>
                <w:sz w:val="24"/>
                <w:szCs w:val="24"/>
                <w:highlight w:val="none"/>
              </w:rPr>
              <w:t>5000</w:t>
            </w:r>
            <w:r>
              <w:rPr>
                <w:rFonts w:ascii="仿宋" w:hAnsi="仿宋" w:eastAsia="仿宋"/>
                <w:sz w:val="24"/>
                <w:szCs w:val="24"/>
                <w:highlight w:val="none"/>
              </w:rPr>
              <w:t>元。对主景树、名贵树、规格较大（</w:t>
            </w:r>
            <w:r>
              <w:rPr>
                <w:rFonts w:hint="eastAsia" w:ascii="仿宋" w:hAnsi="仿宋" w:eastAsia="仿宋"/>
                <w:sz w:val="24"/>
                <w:szCs w:val="24"/>
                <w:highlight w:val="none"/>
              </w:rPr>
              <w:t>5</w:t>
            </w:r>
            <w:r>
              <w:rPr>
                <w:rFonts w:ascii="仿宋" w:hAnsi="仿宋" w:eastAsia="仿宋"/>
                <w:sz w:val="24"/>
                <w:szCs w:val="24"/>
                <w:highlight w:val="none"/>
              </w:rPr>
              <w:t>0cm以上）苗木未进行建档、挂牌的每株罚款</w:t>
            </w:r>
            <w:r>
              <w:rPr>
                <w:rFonts w:hint="eastAsia" w:ascii="仿宋" w:hAnsi="仿宋" w:eastAsia="仿宋"/>
                <w:sz w:val="24"/>
                <w:szCs w:val="24"/>
                <w:highlight w:val="none"/>
              </w:rPr>
              <w:t>5</w:t>
            </w:r>
            <w:r>
              <w:rPr>
                <w:rFonts w:ascii="仿宋" w:hAnsi="仿宋" w:eastAsia="仿宋"/>
                <w:sz w:val="24"/>
                <w:szCs w:val="24"/>
                <w:highlight w:val="none"/>
              </w:rPr>
              <w:t>00元。</w:t>
            </w:r>
          </w:p>
          <w:p w14:paraId="6F5C3307">
            <w:pPr>
              <w:rPr>
                <w:rFonts w:ascii="仿宋" w:hAnsi="仿宋" w:eastAsia="仿宋"/>
                <w:sz w:val="24"/>
                <w:szCs w:val="24"/>
                <w:highlight w:val="none"/>
              </w:rPr>
            </w:pPr>
            <w:r>
              <w:rPr>
                <w:rFonts w:ascii="仿宋" w:hAnsi="仿宋" w:eastAsia="仿宋"/>
                <w:sz w:val="24"/>
                <w:szCs w:val="24"/>
                <w:highlight w:val="none"/>
              </w:rPr>
              <w:t>2、规范养护物资供应，无养护物资采购方案或计划一次扣</w:t>
            </w:r>
            <w:r>
              <w:rPr>
                <w:rFonts w:hint="eastAsia" w:ascii="仿宋" w:hAnsi="仿宋" w:eastAsia="仿宋"/>
                <w:sz w:val="24"/>
                <w:szCs w:val="24"/>
                <w:highlight w:val="none"/>
              </w:rPr>
              <w:t>5000</w:t>
            </w:r>
            <w:r>
              <w:rPr>
                <w:rFonts w:ascii="仿宋" w:hAnsi="仿宋" w:eastAsia="仿宋"/>
                <w:sz w:val="24"/>
                <w:szCs w:val="24"/>
                <w:highlight w:val="none"/>
              </w:rPr>
              <w:t>元，物资不足或采购缺失的按照缺失量的市场价格2倍处罚</w:t>
            </w:r>
          </w:p>
        </w:tc>
        <w:tc>
          <w:tcPr>
            <w:tcW w:w="252" w:type="pct"/>
            <w:noWrap w:val="0"/>
            <w:vAlign w:val="top"/>
          </w:tcPr>
          <w:p w14:paraId="1B6F88BE">
            <w:pPr>
              <w:rPr>
                <w:rFonts w:ascii="仿宋" w:hAnsi="仿宋" w:eastAsia="仿宋"/>
                <w:sz w:val="24"/>
                <w:szCs w:val="24"/>
                <w:highlight w:val="none"/>
              </w:rPr>
            </w:pPr>
          </w:p>
        </w:tc>
      </w:tr>
    </w:tbl>
    <w:p w14:paraId="6DB94BB6">
      <w:pPr>
        <w:bidi w:val="0"/>
        <w:rPr>
          <w:rFonts w:hint="eastAsia"/>
          <w:highlight w:val="none"/>
        </w:rPr>
      </w:pPr>
    </w:p>
    <w:p w14:paraId="3FBD335B">
      <w:pPr>
        <w:widowControl/>
        <w:spacing w:line="360" w:lineRule="auto"/>
        <w:outlineLvl w:val="9"/>
        <w:rPr>
          <w:rFonts w:hint="eastAsia" w:ascii="宋体" w:hAnsi="宋体" w:eastAsia="宋体" w:cs="宋体"/>
          <w:color w:val="auto"/>
          <w:sz w:val="24"/>
          <w:szCs w:val="24"/>
          <w:highlight w:val="none"/>
        </w:rPr>
        <w:sectPr>
          <w:pgSz w:w="16838" w:h="11905" w:orient="landscape"/>
          <w:pgMar w:top="1304" w:right="1304" w:bottom="1134" w:left="1304" w:header="851" w:footer="992" w:gutter="0"/>
          <w:pgNumType w:fmt="numberInDash"/>
          <w:cols w:space="720" w:num="1"/>
          <w:titlePg/>
          <w:docGrid w:linePitch="323" w:charSpace="0"/>
        </w:sectPr>
      </w:pPr>
    </w:p>
    <w:p w14:paraId="3610DB88">
      <w:pPr>
        <w:widowControl/>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附件六：西安浐灞国际港绿化养护管理手册</w:t>
      </w:r>
    </w:p>
    <w:p w14:paraId="2BA1C85B">
      <w:pPr>
        <w:spacing w:line="360" w:lineRule="auto"/>
        <w:ind w:firstLine="482" w:firstLineChars="200"/>
        <w:jc w:val="center"/>
        <w:outlineLvl w:val="9"/>
        <w:rPr>
          <w:rFonts w:hint="eastAsia" w:ascii="宋体" w:hAnsi="宋体" w:eastAsia="宋体" w:cs="宋体"/>
          <w:b/>
          <w:color w:val="auto"/>
          <w:sz w:val="24"/>
          <w:szCs w:val="24"/>
          <w:highlight w:val="none"/>
        </w:rPr>
      </w:pPr>
    </w:p>
    <w:p w14:paraId="45C1352C">
      <w:pPr>
        <w:spacing w:line="360" w:lineRule="auto"/>
        <w:ind w:firstLine="562" w:firstLineChars="20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西安浐灞国际港绿化养护管理手册</w:t>
      </w:r>
    </w:p>
    <w:p w14:paraId="2188F1FC">
      <w:pPr>
        <w:spacing w:line="360" w:lineRule="auto"/>
        <w:ind w:firstLine="480" w:firstLineChars="200"/>
        <w:jc w:val="center"/>
        <w:outlineLvl w:val="9"/>
        <w:rPr>
          <w:rFonts w:hint="eastAsia" w:ascii="宋体" w:hAnsi="宋体" w:eastAsia="宋体" w:cs="宋体"/>
          <w:color w:val="auto"/>
          <w:sz w:val="24"/>
          <w:szCs w:val="24"/>
          <w:highlight w:val="none"/>
        </w:rPr>
      </w:pPr>
    </w:p>
    <w:p w14:paraId="1F0D41F3">
      <w:pPr>
        <w:spacing w:line="360" w:lineRule="auto"/>
        <w:ind w:firstLine="480" w:firstLineChars="200"/>
        <w:jc w:val="center"/>
        <w:outlineLvl w:val="9"/>
        <w:rPr>
          <w:rFonts w:hint="eastAsia" w:ascii="宋体" w:hAnsi="宋体" w:eastAsia="宋体" w:cs="宋体"/>
          <w:color w:val="auto"/>
          <w:sz w:val="24"/>
          <w:szCs w:val="24"/>
          <w:highlight w:val="none"/>
        </w:rPr>
      </w:pPr>
    </w:p>
    <w:p w14:paraId="7D895AA9">
      <w:pPr>
        <w:spacing w:line="360" w:lineRule="auto"/>
        <w:ind w:firstLine="480" w:firstLineChars="20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    录</w:t>
      </w:r>
    </w:p>
    <w:p w14:paraId="09F9A4B1">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1.项目部建设要求...............................................</w:t>
      </w:r>
    </w:p>
    <w:p w14:paraId="1D6E2AAA">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2.养护进场交接标准.............................................</w:t>
      </w:r>
    </w:p>
    <w:p w14:paraId="7BE66E1E">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3.养护单元划分及管理人员配备标准...............................</w:t>
      </w:r>
    </w:p>
    <w:p w14:paraId="0E7AABA0">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4.养护队伍建设.................................................</w:t>
      </w:r>
    </w:p>
    <w:p w14:paraId="2DFD0379">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5.养护质量执行标准. ...........................................</w:t>
      </w:r>
    </w:p>
    <w:p w14:paraId="6910D0AA">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6.养护资料管理标准............................................</w:t>
      </w:r>
    </w:p>
    <w:p w14:paraId="16D45105">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7.精细化养护管理工作标准......................................</w:t>
      </w:r>
    </w:p>
    <w:p w14:paraId="24D37418">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8.绿地占用管理........................................ ........</w:t>
      </w:r>
    </w:p>
    <w:p w14:paraId="2A580FC5">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9.资产管理要求.................................................</w:t>
      </w:r>
    </w:p>
    <w:p w14:paraId="19CE2B49">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10.绿化养护工作考核.......................................</w:t>
      </w:r>
    </w:p>
    <w:p w14:paraId="632A7150">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11.养护费用支付办理............................................</w:t>
      </w:r>
    </w:p>
    <w:p w14:paraId="53239C24">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12.绿地退场移交要求...........................................</w:t>
      </w:r>
    </w:p>
    <w:p w14:paraId="2832E4D4">
      <w:pPr>
        <w:spacing w:line="360" w:lineRule="auto"/>
        <w:ind w:firstLine="480" w:firstLineChars="200"/>
        <w:jc w:val="left"/>
        <w:outlineLvl w:val="9"/>
        <w:rPr>
          <w:rFonts w:hint="eastAsia" w:ascii="宋体" w:hAnsi="宋体" w:eastAsia="宋体" w:cs="宋体"/>
          <w:color w:val="auto"/>
          <w:sz w:val="24"/>
          <w:szCs w:val="24"/>
          <w:highlight w:val="none"/>
        </w:rPr>
      </w:pPr>
    </w:p>
    <w:p w14:paraId="3D7EB58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一、项目部建设要求</w:t>
      </w:r>
    </w:p>
    <w:p w14:paraId="448618A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单位必须按照合同形成独立建制，组建养护工程项目部，建立健全各项规章制度上墙；按照合同承诺配备项目部全员到岗到位；合理设置管理机构；健全质量、安全管理体系；设立专职巡查员制度；加强安全、技术交底工作；</w:t>
      </w:r>
    </w:p>
    <w:p w14:paraId="517F23F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接受建设单位、监理单位的指令；及时上报安全、措施、质量方案，经批准后实施；</w:t>
      </w:r>
    </w:p>
    <w:p w14:paraId="795B7F7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二、养护进场交接标准</w:t>
      </w:r>
    </w:p>
    <w:p w14:paraId="100CF5B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1、资料交接：接收绿地基础资料档案：项目设计方案、竣工图纸（纸质版2套及电子版）、绿化苗木清单、土壤主要理化性状、如现场与竣工图出现较大差异需提供现场变更相关资料；</w:t>
      </w:r>
    </w:p>
    <w:p w14:paraId="3372E47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现场交接：对照绿地竣工图纸、苗木清单及工程量清单对绿地苗木数量进行盘点、接收，对竣工图与现场进行核对、对设施完整及运行情况进行核对、对电源、水源进行交接，对照《园林绿化养护标准》及《园林绿化工程施工及验收规范》对现场问题进行梳理，对绿地接收绿地进行评价。</w:t>
      </w:r>
    </w:p>
    <w:p w14:paraId="41F0414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三、养护单元划分及管理人员配备标准</w:t>
      </w:r>
    </w:p>
    <w:p w14:paraId="497F810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养护单位进场后，要科学划分养护单元，要求每养护单元面积约为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0万㎡，并建立标段养护管理体系。</w:t>
      </w:r>
    </w:p>
    <w:p w14:paraId="52E643F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养护单位应足额配备专业养护人员，绿化养护管理单位必须向项目部配备项目经理1名，标段技术负责1名，专职安全员1名，资料员1名。每一个养护单元配备1名单元负责人或单元技术负责人（负责单元日常管理和技术指导工作），配1名巡查人员（负责单元日常巡查工作），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万㎡配备1名养护组长（负责小组人员管理和工作落实）。一级养护绿地</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000㎡/人，二级养护绿地1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000㎡/人，防护林带20000㎡/人，要求养护工作人员年龄男工不得超过60岁，女工不超55岁，男女工人比例控制在</w:t>
      </w:r>
      <w:r>
        <w:rPr>
          <w:rFonts w:hint="eastAsia" w:ascii="宋体" w:hAnsi="宋体" w:eastAsia="宋体" w:cs="宋体"/>
          <w:color w:val="FF0000"/>
          <w:sz w:val="24"/>
          <w:szCs w:val="24"/>
          <w:highlight w:val="none"/>
          <w:lang w:val="en-US" w:eastAsia="zh-CN"/>
        </w:rPr>
        <w:t>5</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val="en-US" w:eastAsia="zh-CN"/>
        </w:rPr>
        <w:t>5</w:t>
      </w:r>
      <w:r>
        <w:rPr>
          <w:rFonts w:hint="eastAsia" w:ascii="宋体" w:hAnsi="宋体" w:eastAsia="宋体" w:cs="宋体"/>
          <w:color w:val="auto"/>
          <w:sz w:val="24"/>
          <w:szCs w:val="24"/>
          <w:highlight w:val="none"/>
        </w:rPr>
        <w:t>比例，技术工人占比不低于总人数的1/3。</w:t>
      </w:r>
    </w:p>
    <w:p w14:paraId="0212C84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经理和标段技术负责人应有绿化养护中级工程师以上资质，单元负责人和技术负责人应具备高级绿化工应具备的绿化养护相关要求、知识、技能；养护组长应有具备中级绿化工应具备的绿化养护相关要求知识、技能；养护技术工人应具备园林行业职业技能标准中初级绿化工应具备的绿化养护相关知识。</w:t>
      </w:r>
    </w:p>
    <w:p w14:paraId="7A6FB78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3.项目经理及项目技术人员对所承揽养护区域，做到每周巡查一次；专职安全员及专职管理员，做到每天巡查一次；养护项目部每周将巡查结果汇总上报建设单位及监理部。</w:t>
      </w:r>
    </w:p>
    <w:p w14:paraId="2CDC082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项目部经理、项目技术人员及主要管理人员每月在岗时间不得少于本月养护时间的80%；标段负责人每月在岗时间不得少于本月养护时间的90%；建设单位及监理部对现场巡视检查时，养护项目部管理人员接到通知后必须半小时到场。</w:t>
      </w:r>
    </w:p>
    <w:p w14:paraId="55AE025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机械配备：根据园林机械设备的安全性、适应性、可靠性、环保性等配备具备完成承揽的园林绿化养护项目所需的相关机械设备（枝剪、平剪、高枝剪、高空剪、油锯、铲、锄、梯子、打孔机、绿篱机、割灌机、草坪机、电动喷雾剂、洒水车、电动三轮高压冲洗车、快速保洁车、电动垃圾转运车、高空升降车、吊车、巡查车等），养护工具选用需优先选用电动、环保型工具。</w:t>
      </w:r>
    </w:p>
    <w:p w14:paraId="021AABE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要求项目部必须至少配备一辆高空升降车、吊车，每标段必须配备一辆巡查车。</w:t>
      </w:r>
    </w:p>
    <w:p w14:paraId="4AFBFD9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四、养护队伍建设</w:t>
      </w:r>
    </w:p>
    <w:p w14:paraId="6E8F92E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养护单位应制定人员培训计划，每周针对工作中的重点、难点工作进行每周培训，让一线工作人员充分了解工作技术要点，作业标准到位；每月邀请专业人员或专业老师进行月度专业技能培训，提升整体队伍专业素养，并将培训计划纳入养护工作方案。</w:t>
      </w:r>
    </w:p>
    <w:p w14:paraId="7FEC3CC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2.养护单位应认真贯彻、落实中央、省、市及管委会各类会议精神和文件要求，养护单位要加强人员教育，严禁工作人员出现违背国家政策、中央精神的言论、行为。</w:t>
      </w:r>
    </w:p>
    <w:p w14:paraId="4723176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3.所有项目部及养护标段管理人员工作期间严谨溜岗、串岗，如有请假，需建设单位及监理审批，养护单元管理人员及班组长及工人请假由项目部审批并报监理进行报备。</w:t>
      </w:r>
    </w:p>
    <w:p w14:paraId="49F1E56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五、养护质量执行标准</w:t>
      </w:r>
    </w:p>
    <w:p w14:paraId="731224D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按照《园林绿化养护标准》CJJ287-2018、《西安市绿化养护管理标准养护》执行，公园广场、一级道路沿线绿地按照一级养护标准执行，二、按照二级养护标准执行，三级道路绿地按照三级养护标准执行，林带等偏远绿地按照林带养护标准执行。</w:t>
      </w:r>
    </w:p>
    <w:p w14:paraId="1287001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（一）一类绿地养护质量标准 </w:t>
      </w:r>
    </w:p>
    <w:p w14:paraId="3C650EC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1.绿化养护技术措施完善，管理得当，植物配置科学合理，达到黄土不露天。</w:t>
      </w:r>
    </w:p>
    <w:p w14:paraId="0241355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2.园林植物 </w:t>
      </w:r>
    </w:p>
    <w:p w14:paraId="3B1FDD3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园林树木树冠完整美观，分枝点合适，枝条粗壮，无枯枝死杈；主侧枝分布匀称、数量适宜、修剪科学合理；内膛不乱，通风透光。花灌木开花及时，株形丰满，花后修剪及时合理。绿篱、色块等修剪及时，枝叶茂密，整齐一致，整型树木造型雅观。行道树无缺株，绿地内无死树。</w:t>
      </w:r>
    </w:p>
    <w:p w14:paraId="16EB4D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落叶树新梢生长健壮，叶片大小、颜色正常。在一般条件下，无黄叶、焦叶、卷叶，正常叶片保存率在95%以上。针叶树针叶宿存3年以上，结果枝条在10 %以下。  </w:t>
      </w:r>
    </w:p>
    <w:p w14:paraId="3FC45CB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（3）花坛、花带轮廓清晰，整齐美观，色彩艳丽，无残缺，无残花败叶。 </w:t>
      </w:r>
    </w:p>
    <w:p w14:paraId="5450736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（4）草坪及地被植物整齐，覆盖率99 %以上，草坪内无杂草。草坪绿色期：冷季型草不得少于300天；暖季型草不得少于270天。 </w:t>
      </w:r>
    </w:p>
    <w:p w14:paraId="5B6BE6F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（5）病虫害控制及时，园林树木无蛀干害虫的活卵、活虫；园林树木病虫害平均被害株数不得超过1％。叶片上无虫粪、虫网。被虫咬的叶片每株不得超过2%。 </w:t>
      </w:r>
    </w:p>
    <w:p w14:paraId="1A01726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3.垂直绿化应根据不同植物的攀缘特点，及时采取相应的牵引、设置网架等技术措施，视攀缘植物生长习性，覆盖率不得低于90%。开花的攀缘植物应适时开花，且花繁色艳。 </w:t>
      </w:r>
    </w:p>
    <w:p w14:paraId="2539E5B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4.绿地整洁，无杂物、无白色污染（树挂），对绿化生产垃圾（如树枝、树叶、草屑等）、绿地内水面杂物，重点地区随产随清，其它地区日产日清，做到巡视保洁。 </w:t>
      </w:r>
    </w:p>
    <w:p w14:paraId="19BF954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5.栏杆、园路、桌椅、路灯、井盖和牌示等园林设施完整、安全，维护及时。 </w:t>
      </w:r>
    </w:p>
    <w:p w14:paraId="60B5C14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6.绿地完整，无堆物、堆料、搭棚，树干上无钉拴刻画等现象。 </w:t>
      </w:r>
    </w:p>
    <w:p w14:paraId="73BE878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（二）二类绿地养护质量标准 </w:t>
      </w:r>
    </w:p>
    <w:p w14:paraId="14A210C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1.绿化养护技术措施比较完善，管理基本得当，植物配置合理，基本达到黄土不露天。</w:t>
      </w:r>
    </w:p>
    <w:p w14:paraId="323D461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2.园林植物 </w:t>
      </w:r>
    </w:p>
    <w:p w14:paraId="747F99B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（1）园林树木树冠基本完整，主侧枝分布均称、数量适宜、修剪合理，内膛不乱，通风透光。花灌木开花及时、正常，花后修剪及时。绿篱、色块枝叶正常，整齐一致。行道树无缺株，绿地内无死树。 </w:t>
      </w:r>
    </w:p>
    <w:p w14:paraId="6572E65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（2）落叶树新梢生长正常，叶片大小、颜色正常，在一般条件下，黄叶、焦叶、卷叶和带虫尿、虫网的叶片不得超过5%，正常叶片保存率在90%以上。针叶树针叶宿存2年以上，结果枝条不超过20%。</w:t>
      </w:r>
    </w:p>
    <w:p w14:paraId="61E3F4E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花坛、花带轮廓清晰，整齐美观，适时开花，无残缺 。 </w:t>
      </w:r>
    </w:p>
    <w:p w14:paraId="27B9C79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（4）草坪及地被植物整齐一致，覆盖率95%以上，除缀花草坪外草坪内杂草率不得超过2%。草坪绿色期：冷季型草不得少于270天，暖季型草不得少于240天。 </w:t>
      </w:r>
    </w:p>
    <w:p w14:paraId="0843EF4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（5）病虫害控制及时，园林树木有蛀干害虫危害的株数不得超过1%；园林树木病虫害平均被害株数不得超过3％。叶上无虫粪，被虫咬的叶片每株不得超过5%。 </w:t>
      </w:r>
    </w:p>
    <w:p w14:paraId="6A8DFA0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3.垂直绿化应根据不同植物的攀缘特点，采取相应的牵引、设置网架等技术措施，视攀缘植物生长习性，覆盖率不得低于80%，开花的攀缘植物能适时开花。 </w:t>
      </w:r>
    </w:p>
    <w:p w14:paraId="595E433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4.绿地整洁，无杂物、无白色污染（树挂），绿化生产垃圾（如树枝、树叶、草屑等）、绿地内水面杂物应日产日清，做到保洁及时。 </w:t>
      </w:r>
    </w:p>
    <w:p w14:paraId="4396D4A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5.栏杆、园路、桌椅、路灯、井盖和牌示等园林设施完整、安全，基本做到维护及时。 </w:t>
      </w:r>
    </w:p>
    <w:p w14:paraId="106D63D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6.绿地完整，无堆物、堆料、搭棚，树干上无钉拴刻画等现象。</w:t>
      </w:r>
    </w:p>
    <w:p w14:paraId="4545B6B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 三）三类绿地养护质量标准 </w:t>
      </w:r>
    </w:p>
    <w:p w14:paraId="40E8DAE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1.绿化养护技术措施基本完善，植物配置基本合理，裸露土地不明显。</w:t>
      </w:r>
    </w:p>
    <w:p w14:paraId="3596321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园林植物 </w:t>
      </w:r>
    </w:p>
    <w:p w14:paraId="34151F8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（1）生长正常。新建绿地各种植物四年内达到正常形态。 </w:t>
      </w:r>
    </w:p>
    <w:p w14:paraId="65F086A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（2）园林树木树冠基本正常，修剪及时，无明显枯枝死叉。分枝点合适，枝条粗壮，行道树缺株率不超过1%，绿地内无死树。 </w:t>
      </w:r>
    </w:p>
    <w:p w14:paraId="5382E8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（3）落叶树新梢生长基本正常，叶片大小、颜色正常，在正常条件下，有黄叶、焦叶、卷叶和带虫尿、虫网叶片的株数不得超过10%，正常叶片保存率在85%以上。针叶树针叶宿存1年以上，结果枝条不超过50%。</w:t>
      </w:r>
    </w:p>
    <w:p w14:paraId="5072DE5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（4）花坛、花带轮廓基本清晰、整齐美观，无残缺。</w:t>
      </w:r>
    </w:p>
    <w:p w14:paraId="5CE538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（5）草坪及地被植物整齐一致，覆盖率90%以上，除缀花草坪外草坪内杂草率不得超过5%。草坪绿色期：冷季型草不得少于240天，暖季型草不得少于210天。 </w:t>
      </w:r>
    </w:p>
    <w:p w14:paraId="3DDCB16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病虫害控制比较及时，园林树木有蛀干害虫危害的竹数不得超过3%；在园林树木主干、主枝上平均每100c㎡介壳虫的活虫数不得超过3头，较细枝条上平均每30cm不得超过8头，且平均被害株数不得超过5％。被虫咬的叶片每株不得超过8%。 </w:t>
      </w:r>
    </w:p>
    <w:p w14:paraId="1F56FBA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3.垂直绿化能根据不同植物的攀缘特点，采取相应的技术措施，视攀缘植物生长习性，覆盖率不得低于70%。开花的攀缘植物能适时开花。 </w:t>
      </w:r>
    </w:p>
    <w:p w14:paraId="43DA43F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绿地基本整洁，无明显杂物，无白色污染（树挂），绿化生产垃圾（如树枝、树叶、草屑等）、绿地内水面杂物能日产日清，能做到保洁及时。 </w:t>
      </w:r>
    </w:p>
    <w:p w14:paraId="6DA28BC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栏杆、园路、桌椅、路灯、井盖和牌示等园林设施基本完整，能进行维护。</w:t>
      </w:r>
    </w:p>
    <w:p w14:paraId="6535B1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绿地基本完整，无明显堆物、堆料、搭棚、树干上无钉拴刻画等现象。行道树下距树干2米范围内无明显的堆物、堆料、圈栏或搭棚设摊等影响树木生长和养护管理的现象。 </w:t>
      </w:r>
    </w:p>
    <w:p w14:paraId="095CEA5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（四）防护林带绿地养护质量标准</w:t>
      </w:r>
    </w:p>
    <w:p w14:paraId="1375D75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1.绿化养护技术措施基本完善，裸露土地不明显。</w:t>
      </w:r>
    </w:p>
    <w:p w14:paraId="5D184F5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园林植物 </w:t>
      </w:r>
    </w:p>
    <w:p w14:paraId="4E77D4F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（1）园林树木树冠基本正常，修剪及时，无明显枯枝死叉。分枝点合适，枝条粗壮，绿地内无死树。 </w:t>
      </w:r>
    </w:p>
    <w:p w14:paraId="17DA75D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（2）落叶树新梢生长基本正常，叶片大小、颜色正常，在正常条件下，有黄叶、焦叶、卷叶和带虫尿、虫网叶片的株数不得超过15%，正常叶片保存率在85%以上。针叶树针叶宿存1年以上，结果枝条不超过50%。</w:t>
      </w:r>
    </w:p>
    <w:p w14:paraId="140BCF0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（3）草坪及地被植物整齐一致，覆盖率90%以上，冷季型草不得少于240天。 </w:t>
      </w:r>
    </w:p>
    <w:p w14:paraId="476EAC4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（4）病虫害控制比较及时，园林树木有蛀干害虫危害的数量不得超过5%；园林树木病虫害平均被害株数不得超过5％。被虫咬的叶片每株不得超过8%。 </w:t>
      </w:r>
    </w:p>
    <w:p w14:paraId="38E0FCE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绿地基本整洁，无明显杂物，无白色污染（树挂），绿化生产垃圾（如树枝、树叶、草屑等）、绿地内水面杂物能日产日清，能做到保洁及时。 </w:t>
      </w:r>
    </w:p>
    <w:p w14:paraId="2A9945C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绿地基本完整，无明显堆物、堆料、搭棚、树干上无钉拴刻画等现象。 </w:t>
      </w:r>
    </w:p>
    <w:p w14:paraId="1EB8E7C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六、养护资料管理标准</w:t>
      </w:r>
    </w:p>
    <w:p w14:paraId="7A0A84D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应建立完成的绿地养护技术档案，档案包括绿地基本情况（面积、植物种类、规格、数量）、土壤主要理化性状、竣工图、养护日志（台账）、重大事件记录、新技术新工艺的应用，绿化养护方案、极端天气安全应急预案、安全生产管控及交底、养护技术交底、分项验收资料。</w:t>
      </w:r>
    </w:p>
    <w:p w14:paraId="0949CD8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七、精细化养护管理工作标准</w:t>
      </w:r>
    </w:p>
    <w:p w14:paraId="3F804F2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养护单位应加强绿地精细化管理，建立巡查、发现、处置、反馈的闭合管理体系，项目经理负责对生态环境局、监理单位交办、巡查发现问题及自查问题整改过程进行跟踪、督办，工作要求应符合以下要求：</w:t>
      </w:r>
    </w:p>
    <w:p w14:paraId="1A13888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1.城市公园绿地及附属设施维护</w:t>
      </w:r>
    </w:p>
    <w:p w14:paraId="01EC941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（1）死缺株植物补植</w:t>
      </w:r>
    </w:p>
    <w:p w14:paraId="1FAC835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时限要求：巡查发现问题后立即登记受理并立即采取植物补植，草坪、地被、绿篱自启动整改之日起3日内完成补植工作，问题销号。桥灌木根据苗木采购数量、品种、季节等因素合理确定补栽时限。</w:t>
      </w:r>
    </w:p>
    <w:p w14:paraId="5BC5A1F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质量要求：补植后的种植密度、品种、规格与原绿化效果一致，不得随意变更。</w:t>
      </w:r>
    </w:p>
    <w:p w14:paraId="17014F7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道路绿化维护作业时，应有安全技术措施，确保施工人员安全；现场警示标志完整，易辨识，夜间施工设置警示灯等安全防护措施，保障行人、车辆行驶安全；现场苗木、设备整齐、有序，维护完成后及时清理环境卫生。</w:t>
      </w:r>
    </w:p>
    <w:p w14:paraId="3BE09E6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2.行道树修剪</w:t>
      </w:r>
    </w:p>
    <w:p w14:paraId="15ABF13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时限要求：行道树修剪工作应根据植物生长特效及年度修剪计划有序实施；</w:t>
      </w:r>
    </w:p>
    <w:p w14:paraId="55E6A69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质量要求：树冠完整、规格整齐、分支点高度保持一致。</w:t>
      </w:r>
    </w:p>
    <w:p w14:paraId="6A7D045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安全及文明施工要求：设置隔离设施，确保施工人员安全；现场施工人员应配备高空作业相关安全防范设备，修剪完成后及时清理绿化垃圾。</w:t>
      </w:r>
    </w:p>
    <w:p w14:paraId="1DB1E3E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（3）病虫害防治</w:t>
      </w:r>
    </w:p>
    <w:p w14:paraId="3C27FA3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时限要求：巡查发现问题后立即登记受理并立即采取防治措施，自启动整改之日起2日内完成防治工作，并持续跟踪记录防治效果，每周汇报防治情况。</w:t>
      </w:r>
    </w:p>
    <w:p w14:paraId="153FEEB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质量要求：基本无有害生物危害状、整体枝叶受害率≤8%、树干受害率≤5%。</w:t>
      </w:r>
    </w:p>
    <w:p w14:paraId="056D533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病虫害防治应采取生物防治及药物防治相结合的方式，道路绿化及行道树病虫害防治作业时应设置隔离设施，并避开早晚上下班高峰期实施确保行人及车辆安全，作业人员佩戴口罩、手套等防护措施。</w:t>
      </w:r>
    </w:p>
    <w:p w14:paraId="17FB884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（4）时花补植更换</w:t>
      </w:r>
    </w:p>
    <w:p w14:paraId="4B8976E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时限要求：巡查发现问题后立即登记受理并立即采取补植更换，自启动整改之日起2日内完成补植，问题销号；</w:t>
      </w:r>
    </w:p>
    <w:p w14:paraId="3AADC2D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质量要求：缺株倒伏的花苗≤3%，基本无枯叶残花。</w:t>
      </w:r>
    </w:p>
    <w:p w14:paraId="7D2D867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安全及文明施工要求：设置隔离设施，确保施工人员安全；现场警示标志完整易辨识，夜间施工设置警示灯；现场花卉、材料整齐有序。</w:t>
      </w:r>
    </w:p>
    <w:p w14:paraId="0ED40D5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（5）公园绿地附属设施维护（游路、侧石、小品、雕塑、公园水电设施、灯具、标识牌等）</w:t>
      </w:r>
    </w:p>
    <w:p w14:paraId="1907346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巡查发现问题后立即登记受理并立即采取警示、维护等临时措施，日常小修维护自启动整改之日起1日内完成修复并开放交通，问题销号；中修、大修及改善工程根据设施类型及其他要求合理确定工期。</w:t>
      </w:r>
    </w:p>
    <w:p w14:paraId="0ECF110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质量要求：修复后与原设施类型效果一致。</w:t>
      </w:r>
    </w:p>
    <w:p w14:paraId="063DEAF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安全及文明施工要求：设置隔离设施，确保施工人员安全；现场警示标志完整易辨识，夜间施工设置警示灯；现场材料、设备整齐有序。</w:t>
      </w:r>
    </w:p>
    <w:p w14:paraId="13742F2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（6）绿地保洁（绿化生产垃圾及日常垃圾杂物捡拾）</w:t>
      </w:r>
    </w:p>
    <w:p w14:paraId="119F10C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时限要求：重点地段要求绿化生产垃圾随产随清，其它绿地日产日清；绿地落叶、杂物保洁每日1次；绿地内砖块、塑料袋等白色垃圾落地时间不超15分钟。</w:t>
      </w:r>
    </w:p>
    <w:p w14:paraId="6E3BD5C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质量要求：绿地干净整洁、垃圾捡拾及时</w:t>
      </w:r>
    </w:p>
    <w:p w14:paraId="0E7EADE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安全及文明施工要求：工作人员穿反光背心、保洁车辆要求无损坏，符合安全使用要求。</w:t>
      </w:r>
    </w:p>
    <w:p w14:paraId="60F03CE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（7）绿化应急管理工作（极端天气树木歪斜、树木断枝等影响安全问题）</w:t>
      </w:r>
    </w:p>
    <w:p w14:paraId="034C788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时限要求：出现极端大风天气1小时巡查一次，中雨、中风天气2小时巡查一次，发现突发情况30分钟到场处理。</w:t>
      </w:r>
    </w:p>
    <w:p w14:paraId="379F9F4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安全及文明施工要求：设置隔离设施，确保施工人员安全；现场警示标志完整易辨识，夜间施工设置警示灯；现场材料、设备整齐有序。</w:t>
      </w:r>
    </w:p>
    <w:p w14:paraId="164E1CB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（8）抗旱保苗应急工作</w:t>
      </w:r>
    </w:p>
    <w:p w14:paraId="49ABB47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时限要求：启动抗旱应急工作2天内</w:t>
      </w:r>
    </w:p>
    <w:p w14:paraId="7CFFE9B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工作要求：积极完善各类浇灌设施，增加节水浇灌设施，对无浇灌系统覆盖区域，按照3万平米绿地配备1辆8吨以上水车标准配备抗旱浇灌水车。</w:t>
      </w:r>
    </w:p>
    <w:p w14:paraId="47DEC23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八、绿地占用管理</w:t>
      </w:r>
    </w:p>
    <w:p w14:paraId="4FAE04F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任何单位或个人，临时或永久占用绿地需办理绿地占用手续或生态环境局下发的绿地占用通知，对于因市政应急强险的或安全应急需要占用绿地的可在占用同时向绿地行业主管部门电话报备，随后补办占用手续；</w:t>
      </w:r>
    </w:p>
    <w:p w14:paraId="362F10E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单位在收到占用绿地手续或占用通知后，需与占用单位办理场地移交单，明确占用范围，占用时间及苗木、设施数量，需要占用单位恢复的明确后续恢复要求、时限，绿地移交单需由绿地管理单位、生态环境局、绿地占用单位、占用工程行政管理部门四方签字盖章。</w:t>
      </w:r>
    </w:p>
    <w:p w14:paraId="568D191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九、资产管理要求</w:t>
      </w:r>
    </w:p>
    <w:p w14:paraId="67088C0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1、绿化养护单位负责责任绿地内，绿化苗木、设施资产管理工作；负责制定设施、设备年度维修计划；负责苗木移植的监管工作，做好数量统计和情况记录，确保绿化资产完整，苗木去向明确；</w:t>
      </w:r>
    </w:p>
    <w:p w14:paraId="63B3BA6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每年进行一次资产盘点，确保资产底数清楚；</w:t>
      </w:r>
    </w:p>
    <w:p w14:paraId="2009B40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2、因管理原因造成的苗木缺失，由养护单位负责赔偿，因管理缺失，设施设备破损、失修造成的设施无法使用的由由养护单位负责维修；</w:t>
      </w:r>
    </w:p>
    <w:p w14:paraId="0DE3369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植物组团内因长期生长过程中植物竞争，部分弱势苗木逐年退化的苗木或树木腐烂易造成安全隐患的，由养护单位负责排查，对确需清理的由养护单位申报，监理、生态环境局审批后，进行清理，并建立资产销毁台账，对清理、销毁过程资料进行留存。</w:t>
      </w:r>
    </w:p>
    <w:p w14:paraId="3B999E7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4、对植物组团内因长期生长，植物相互影响，组团关系、层次混乱或绿地植物退化影响景观效果，养护单位负责排查，拿出移栽或更新调整方案，由监理、生态环境局审批后，派发工作任务单，予以实施。</w:t>
      </w:r>
    </w:p>
    <w:p w14:paraId="562E5DD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十、绿化养护工作考核</w:t>
      </w:r>
    </w:p>
    <w:p w14:paraId="0AEB2A6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生态环境局每月对养护单位各养护单元绿化养护工作检查、考评，并对考评结果及处罚情况进行通报，处罚扣款直接从季度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7851C8A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2、生态环境局每月初召开月度绿化养护例会会议，总结、通报考评结果、安排下一步工作。</w:t>
      </w:r>
    </w:p>
    <w:p w14:paraId="4582DF8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十一、养护费用支付办理</w:t>
      </w:r>
    </w:p>
    <w:p w14:paraId="363BB56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养护单位应按照合同约定进行进度款支付申请，根据月度考核、工作完成情况及月度处罚情况，对支付费用进行审核，审核时间一般不超过3个工作日；</w:t>
      </w:r>
    </w:p>
    <w:p w14:paraId="17DD99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十二、绿地退场移交要求</w:t>
      </w:r>
    </w:p>
    <w:p w14:paraId="0A2F435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料移交：移交绿地基础资料包括：项目方案、竣工图纸（纸质版2套及电子版）、绿苗木清单、土壤主要理化性状、如现场与竣工图不符需提供现场变更相关资料、养护措施、养护日志（台账）、重大事件处理、新技术新工艺的应用；</w:t>
      </w:r>
    </w:p>
    <w:p w14:paraId="6E25D40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2、对照绿地竣工图纸、苗木清单及工程量清单对绿地苗木数量进行接收盘点、对竣工图与现场进行核对、对设施完整及运行情况进行核对、对电源、水源进行交接。</w:t>
      </w:r>
    </w:p>
    <w:p w14:paraId="4FCE90BD">
      <w:pPr>
        <w:spacing w:line="360" w:lineRule="auto"/>
        <w:ind w:firstLine="480" w:firstLineChars="200"/>
        <w:outlineLvl w:val="9"/>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3、对照《园林绿化养护标准》及《园林绿化工程施工及验收规范》对现场养护情况进行交接检查，对绿地养护情况进行评价，对现场问题较大的由养护单位负责整改到位。</w:t>
      </w:r>
    </w:p>
    <w:p w14:paraId="65C72280">
      <w:pPr>
        <w:pStyle w:val="2"/>
        <w:rPr>
          <w:rFonts w:hint="eastAsia" w:ascii="宋体" w:hAnsi="宋体" w:eastAsia="宋体" w:cs="宋体"/>
          <w:highlight w:val="none"/>
        </w:rPr>
      </w:pPr>
    </w:p>
    <w:p w14:paraId="59A9B970">
      <w:pPr>
        <w:pStyle w:val="2"/>
        <w:rPr>
          <w:rFonts w:hint="eastAsia" w:ascii="宋体" w:hAnsi="宋体" w:eastAsia="宋体" w:cs="宋体"/>
          <w:highlight w:val="none"/>
        </w:rPr>
      </w:pPr>
    </w:p>
    <w:p w14:paraId="249EC702">
      <w:pPr>
        <w:pStyle w:val="2"/>
        <w:rPr>
          <w:rFonts w:hint="eastAsia" w:ascii="宋体" w:hAnsi="宋体" w:eastAsia="宋体" w:cs="宋体"/>
          <w:highlight w:val="none"/>
        </w:rPr>
      </w:pPr>
    </w:p>
    <w:p w14:paraId="711DD259">
      <w:pPr>
        <w:pStyle w:val="2"/>
        <w:rPr>
          <w:rFonts w:hint="eastAsia" w:ascii="宋体" w:hAnsi="宋体" w:eastAsia="宋体" w:cs="宋体"/>
          <w:highlight w:val="none"/>
        </w:rPr>
      </w:pPr>
    </w:p>
    <w:p w14:paraId="11E88309">
      <w:pPr>
        <w:pStyle w:val="2"/>
        <w:rPr>
          <w:rFonts w:hint="eastAsia" w:ascii="宋体" w:hAnsi="宋体" w:eastAsia="宋体" w:cs="宋体"/>
          <w:highlight w:val="none"/>
        </w:rPr>
      </w:pPr>
    </w:p>
    <w:p w14:paraId="6655BA5F">
      <w:pPr>
        <w:pStyle w:val="2"/>
        <w:rPr>
          <w:rFonts w:hint="eastAsia" w:ascii="宋体" w:hAnsi="宋体" w:eastAsia="宋体" w:cs="宋体"/>
          <w:highlight w:val="none"/>
        </w:rPr>
      </w:pPr>
    </w:p>
    <w:p w14:paraId="617DDA7E">
      <w:pPr>
        <w:pStyle w:val="2"/>
        <w:rPr>
          <w:rFonts w:hint="eastAsia" w:ascii="宋体" w:hAnsi="宋体" w:eastAsia="宋体" w:cs="宋体"/>
          <w:highlight w:val="none"/>
        </w:rPr>
      </w:pPr>
    </w:p>
    <w:p w14:paraId="2DEE346B">
      <w:pPr>
        <w:outlineLvl w:val="9"/>
        <w:rPr>
          <w:rFonts w:hint="eastAsia" w:ascii="仿宋" w:hAnsi="仿宋" w:eastAsia="仿宋" w:cs="仿宋"/>
          <w:b/>
          <w:bCs/>
          <w:kern w:val="2"/>
          <w:sz w:val="44"/>
          <w:szCs w:val="44"/>
          <w:highlight w:val="none"/>
        </w:rPr>
      </w:pPr>
    </w:p>
    <w:p w14:paraId="0577AEF4">
      <w:pPr>
        <w:pStyle w:val="7"/>
        <w:keepNext w:val="0"/>
        <w:keepLines w:val="0"/>
        <w:pageBreakBefore w:val="0"/>
        <w:widowControl/>
        <w:kinsoku w:val="0"/>
        <w:wordWrap/>
        <w:overflowPunct/>
        <w:topLinePunct w:val="0"/>
        <w:autoSpaceDE w:val="0"/>
        <w:autoSpaceDN w:val="0"/>
        <w:bidi w:val="0"/>
        <w:adjustRightInd/>
        <w:snapToGrid/>
        <w:spacing w:line="360" w:lineRule="auto"/>
        <w:ind w:left="0" w:leftChars="0" w:firstLine="0" w:firstLineChars="0"/>
        <w:jc w:val="both"/>
        <w:textAlignment w:val="baseline"/>
        <w:rPr>
          <w:rFonts w:hint="eastAsia" w:cs="宋体"/>
          <w:snapToGrid/>
          <w:spacing w:val="0"/>
          <w:kern w:val="21"/>
          <w:position w:val="0"/>
          <w:sz w:val="21"/>
          <w:szCs w:val="21"/>
          <w:highlight w:val="none"/>
          <w:lang w:eastAsia="zh-CN"/>
        </w:rPr>
      </w:pPr>
    </w:p>
    <w:p w14:paraId="2CCA29F7">
      <w:pPr>
        <w:pStyle w:val="7"/>
        <w:keepNext w:val="0"/>
        <w:keepLines w:val="0"/>
        <w:pageBreakBefore w:val="0"/>
        <w:widowControl/>
        <w:kinsoku w:val="0"/>
        <w:wordWrap/>
        <w:overflowPunct/>
        <w:topLinePunct w:val="0"/>
        <w:autoSpaceDE w:val="0"/>
        <w:autoSpaceDN w:val="0"/>
        <w:bidi w:val="0"/>
        <w:adjustRightInd/>
        <w:snapToGrid/>
        <w:spacing w:line="360" w:lineRule="auto"/>
        <w:ind w:left="0" w:leftChars="0" w:firstLine="0" w:firstLineChars="0"/>
        <w:jc w:val="both"/>
        <w:textAlignment w:val="baseline"/>
        <w:outlineLvl w:val="1"/>
        <w:rPr>
          <w:rFonts w:hint="eastAsia" w:ascii="宋体" w:hAnsi="宋体" w:eastAsia="宋体" w:cs="宋体"/>
          <w:snapToGrid/>
          <w:spacing w:val="0"/>
          <w:kern w:val="21"/>
          <w:position w:val="0"/>
          <w:sz w:val="21"/>
          <w:szCs w:val="21"/>
          <w:highlight w:val="none"/>
        </w:rPr>
      </w:pPr>
      <w:bookmarkStart w:id="19" w:name="_GoBack"/>
      <w:bookmarkEnd w:id="19"/>
      <w:r>
        <w:rPr>
          <w:rFonts w:hint="eastAsia" w:cs="宋体"/>
          <w:snapToGrid/>
          <w:spacing w:val="0"/>
          <w:kern w:val="21"/>
          <w:position w:val="0"/>
          <w:sz w:val="21"/>
          <w:szCs w:val="21"/>
          <w:highlight w:val="none"/>
          <w:lang w:eastAsia="zh-CN"/>
        </w:rPr>
        <w:t>采购包</w:t>
      </w:r>
      <w:r>
        <w:rPr>
          <w:rFonts w:hint="eastAsia" w:cs="宋体"/>
          <w:snapToGrid/>
          <w:spacing w:val="0"/>
          <w:kern w:val="21"/>
          <w:position w:val="0"/>
          <w:sz w:val="21"/>
          <w:szCs w:val="21"/>
          <w:highlight w:val="none"/>
          <w:lang w:val="en-US" w:eastAsia="zh-CN"/>
        </w:rPr>
        <w:t>2</w:t>
      </w:r>
      <w:r>
        <w:rPr>
          <w:rFonts w:hint="eastAsia" w:ascii="宋体" w:hAnsi="宋体" w:eastAsia="宋体" w:cs="宋体"/>
          <w:snapToGrid/>
          <w:spacing w:val="0"/>
          <w:kern w:val="21"/>
          <w:position w:val="0"/>
          <w:sz w:val="21"/>
          <w:szCs w:val="21"/>
          <w:highlight w:val="none"/>
        </w:rPr>
        <w:t>：</w:t>
      </w:r>
    </w:p>
    <w:p w14:paraId="7B1B468C">
      <w:pPr>
        <w:outlineLvl w:val="9"/>
        <w:rPr>
          <w:rFonts w:hint="eastAsia"/>
          <w:highlight w:val="none"/>
        </w:rPr>
      </w:pPr>
    </w:p>
    <w:p w14:paraId="6CDCF83E">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highlight w:val="none"/>
        </w:rPr>
      </w:pPr>
    </w:p>
    <w:p w14:paraId="529A61AF">
      <w:pPr>
        <w:rPr>
          <w:rFonts w:hint="eastAsia"/>
          <w:highlight w:val="none"/>
        </w:rPr>
      </w:pPr>
    </w:p>
    <w:p w14:paraId="085F601F">
      <w:pPr>
        <w:rPr>
          <w:rFonts w:hint="eastAsia"/>
          <w:highlight w:val="none"/>
        </w:rPr>
      </w:pPr>
    </w:p>
    <w:p w14:paraId="33790A8E">
      <w:pPr>
        <w:rPr>
          <w:rFonts w:hint="eastAsia"/>
          <w:highlight w:val="none"/>
        </w:rPr>
      </w:pPr>
    </w:p>
    <w:p w14:paraId="3A2413A5">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eastAsia="宋体" w:cs="宋体"/>
          <w:b/>
          <w:bCs/>
          <w:color w:val="auto"/>
          <w:sz w:val="52"/>
          <w:szCs w:val="52"/>
          <w:highlight w:val="none"/>
          <w:lang w:val="en-US" w:eastAsia="zh-CN"/>
        </w:rPr>
      </w:pPr>
      <w:r>
        <w:rPr>
          <w:rFonts w:hint="eastAsia" w:hAnsi="宋体" w:eastAsia="宋体" w:cs="宋体"/>
          <w:b/>
          <w:bCs/>
          <w:color w:val="auto"/>
          <w:sz w:val="52"/>
          <w:szCs w:val="52"/>
          <w:highlight w:val="none"/>
          <w:lang w:val="en-US" w:eastAsia="zh-CN"/>
        </w:rPr>
        <w:t>2026-2027年部分市政道路绿化养护</w:t>
      </w:r>
    </w:p>
    <w:p w14:paraId="3BE98E8A">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52"/>
          <w:szCs w:val="52"/>
          <w:highlight w:val="none"/>
        </w:rPr>
      </w:pPr>
      <w:r>
        <w:rPr>
          <w:rFonts w:hint="eastAsia" w:hAnsi="宋体" w:eastAsia="宋体" w:cs="宋体"/>
          <w:b/>
          <w:bCs/>
          <w:color w:val="auto"/>
          <w:sz w:val="52"/>
          <w:szCs w:val="52"/>
          <w:highlight w:val="none"/>
          <w:lang w:val="en-US" w:eastAsia="zh-CN"/>
        </w:rPr>
        <w:t>服务项目（第2包）</w:t>
      </w:r>
    </w:p>
    <w:p w14:paraId="30C02669">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216C9CF8">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41BEBC72">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0790664C">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543689EE">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282C4E95">
      <w:pPr>
        <w:pStyle w:val="3"/>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033EC6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合同</w:t>
      </w:r>
      <w:r>
        <w:rPr>
          <w:rFonts w:hint="eastAsia" w:ascii="宋体" w:hAnsi="宋体" w:eastAsia="宋体" w:cs="宋体"/>
          <w:b/>
          <w:bCs/>
          <w:color w:val="auto"/>
          <w:sz w:val="36"/>
          <w:szCs w:val="36"/>
          <w:highlight w:val="none"/>
          <w:lang w:eastAsia="zh-CN"/>
        </w:rPr>
        <w:t>参考格式</w:t>
      </w:r>
    </w:p>
    <w:p w14:paraId="6C6F619F">
      <w:pPr>
        <w:pStyle w:val="3"/>
        <w:spacing w:line="360" w:lineRule="auto"/>
        <w:ind w:firstLine="420" w:firstLineChars="200"/>
        <w:rPr>
          <w:rFonts w:hint="eastAsia" w:ascii="宋体" w:hAnsi="宋体" w:eastAsia="宋体" w:cs="宋体"/>
          <w:color w:val="auto"/>
          <w:szCs w:val="24"/>
          <w:highlight w:val="none"/>
        </w:rPr>
      </w:pPr>
    </w:p>
    <w:p w14:paraId="2682FE27">
      <w:pPr>
        <w:rPr>
          <w:rFonts w:hint="eastAsia" w:ascii="宋体" w:hAnsi="宋体" w:eastAsia="宋体" w:cs="宋体"/>
          <w:color w:val="auto"/>
          <w:szCs w:val="24"/>
          <w:highlight w:val="none"/>
        </w:rPr>
      </w:pPr>
    </w:p>
    <w:p w14:paraId="4596D3AB">
      <w:pPr>
        <w:rPr>
          <w:rFonts w:hint="eastAsia" w:ascii="宋体" w:hAnsi="宋体" w:eastAsia="宋体" w:cs="宋体"/>
          <w:color w:val="auto"/>
          <w:szCs w:val="24"/>
          <w:highlight w:val="none"/>
        </w:rPr>
      </w:pPr>
    </w:p>
    <w:p w14:paraId="2CC30818">
      <w:pPr>
        <w:rPr>
          <w:rFonts w:hint="eastAsia" w:ascii="宋体" w:hAnsi="宋体" w:eastAsia="宋体" w:cs="宋体"/>
          <w:color w:val="auto"/>
          <w:szCs w:val="24"/>
          <w:highlight w:val="none"/>
        </w:rPr>
      </w:pPr>
    </w:p>
    <w:p w14:paraId="6C3AFF1F">
      <w:pPr>
        <w:pStyle w:val="3"/>
        <w:spacing w:line="360" w:lineRule="auto"/>
        <w:ind w:firstLine="420" w:firstLineChars="200"/>
        <w:rPr>
          <w:rFonts w:hint="eastAsia" w:ascii="宋体" w:hAnsi="宋体" w:eastAsia="宋体" w:cs="宋体"/>
          <w:color w:val="auto"/>
          <w:szCs w:val="24"/>
          <w:highlight w:val="none"/>
        </w:rPr>
      </w:pPr>
    </w:p>
    <w:p w14:paraId="155563F7">
      <w:pPr>
        <w:pStyle w:val="3"/>
        <w:spacing w:line="360" w:lineRule="auto"/>
        <w:rPr>
          <w:rFonts w:hint="eastAsia" w:ascii="宋体" w:hAnsi="宋体" w:eastAsia="宋体" w:cs="宋体"/>
          <w:color w:val="auto"/>
          <w:szCs w:val="24"/>
          <w:highlight w:val="none"/>
        </w:rPr>
      </w:pPr>
    </w:p>
    <w:p w14:paraId="4039845B">
      <w:pPr>
        <w:rPr>
          <w:rFonts w:hint="eastAsia"/>
          <w:highlight w:val="none"/>
        </w:rPr>
      </w:pPr>
    </w:p>
    <w:p w14:paraId="7722DE92">
      <w:pPr>
        <w:pStyle w:val="3"/>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合同编号：____________________</w:t>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p>
    <w:p w14:paraId="236988F1">
      <w:pPr>
        <w:pStyle w:val="3"/>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甲方：____________________(采购人名称)</w:t>
      </w:r>
    </w:p>
    <w:p w14:paraId="0F7F3BF4">
      <w:pPr>
        <w:pStyle w:val="3"/>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乙方：____________________(供应商名称)</w:t>
      </w:r>
    </w:p>
    <w:p w14:paraId="7A76AE70">
      <w:pPr>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签订地点：</w:t>
      </w:r>
      <w:r>
        <w:rPr>
          <w:rFonts w:hint="eastAsia" w:ascii="宋体" w:hAnsi="宋体" w:eastAsia="宋体" w:cs="宋体"/>
          <w:color w:val="auto"/>
          <w:szCs w:val="24"/>
          <w:highlight w:val="none"/>
          <w:lang w:val="en-US" w:eastAsia="zh-CN"/>
        </w:rPr>
        <w:t>西安浐灞国际港</w:t>
      </w:r>
    </w:p>
    <w:p w14:paraId="7AC60C16">
      <w:pPr>
        <w:keepNext w:val="0"/>
        <w:keepLines w:val="0"/>
        <w:pageBreakBefore w:val="0"/>
        <w:widowControl/>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签订日期：</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日</w:t>
      </w:r>
    </w:p>
    <w:p w14:paraId="578E3270">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Cs w:val="24"/>
          <w:highlight w:val="none"/>
        </w:rPr>
        <w:br w:type="page"/>
      </w:r>
      <w:r>
        <w:rPr>
          <w:rFonts w:hint="eastAsia" w:ascii="宋体" w:hAnsi="宋体" w:eastAsia="宋体" w:cs="宋体"/>
          <w:b/>
          <w:bCs/>
          <w:color w:val="auto"/>
          <w:sz w:val="28"/>
          <w:szCs w:val="28"/>
          <w:highlight w:val="none"/>
        </w:rPr>
        <w:t>合同草案条款</w:t>
      </w:r>
    </w:p>
    <w:p w14:paraId="6AC0EC5D">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一、总    则</w:t>
      </w:r>
    </w:p>
    <w:p w14:paraId="7A109A44">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甲方（采购人）：       </w:t>
      </w:r>
    </w:p>
    <w:p w14:paraId="0D09623F">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住所地：</w:t>
      </w:r>
    </w:p>
    <w:p w14:paraId="6693ADD8">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Cs w:val="24"/>
          <w:highlight w:val="none"/>
        </w:rPr>
        <w:t>供应商</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 xml:space="preserve">       </w:t>
      </w:r>
    </w:p>
    <w:p w14:paraId="57491609">
      <w:pPr>
        <w:keepNext w:val="0"/>
        <w:keepLines w:val="0"/>
        <w:pageBreakBefore w:val="0"/>
        <w:kinsoku/>
        <w:wordWrap/>
        <w:overflowPunct/>
        <w:topLinePunct w:val="0"/>
        <w:autoSpaceDE/>
        <w:autoSpaceDN/>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住所地：</w:t>
      </w:r>
    </w:p>
    <w:p w14:paraId="71045855">
      <w:pPr>
        <w:keepNext w:val="0"/>
        <w:keepLines w:val="0"/>
        <w:pageBreakBefore w:val="0"/>
        <w:kinsoku/>
        <w:wordWrap/>
        <w:overflowPunct/>
        <w:topLinePunct w:val="0"/>
        <w:bidi w:val="0"/>
        <w:adjustRightInd w:val="0"/>
        <w:snapToGrid w:val="0"/>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确保西安浐灞国际港绿化养护工作整洁有序，不断改善人居环境，提升外在形象，依照《中华人民共和国民法典》及其他有关法律，行政法规，遵循平等、自愿、公平和诚实信用的原则，双方就本项目范围与相关服务事项协商一致，订立本合同。</w:t>
      </w:r>
    </w:p>
    <w:p w14:paraId="0AA8DFCF">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color w:val="auto"/>
          <w:sz w:val="24"/>
          <w:highlight w:val="none"/>
          <w:lang w:val="en-US" w:eastAsia="zh-CN"/>
        </w:rPr>
      </w:pPr>
      <w:r>
        <w:rPr>
          <w:rFonts w:hint="eastAsia" w:ascii="宋体" w:hAnsi="宋体" w:eastAsia="宋体" w:cs="宋体"/>
          <w:b/>
          <w:bCs/>
          <w:color w:val="000000"/>
          <w:kern w:val="0"/>
          <w:sz w:val="24"/>
          <w:szCs w:val="24"/>
          <w:highlight w:val="none"/>
          <w:lang w:val="en-US" w:eastAsia="zh-CN" w:bidi="ar"/>
        </w:rPr>
        <w:t xml:space="preserve">第一条 项目概况 </w:t>
      </w:r>
    </w:p>
    <w:p w14:paraId="49AA4AD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u w:val="single"/>
          <w:lang w:val="en-US"/>
        </w:rPr>
      </w:pPr>
      <w:r>
        <w:rPr>
          <w:rFonts w:hint="eastAsia" w:ascii="宋体" w:hAnsi="宋体" w:eastAsia="宋体" w:cs="宋体"/>
          <w:color w:val="000000"/>
          <w:kern w:val="0"/>
          <w:sz w:val="24"/>
          <w:szCs w:val="24"/>
          <w:highlight w:val="none"/>
          <w:lang w:val="en-US" w:eastAsia="zh-CN" w:bidi="ar"/>
        </w:rPr>
        <w:t>1.项目名称：</w:t>
      </w:r>
      <w:r>
        <w:rPr>
          <w:rFonts w:hint="eastAsia" w:ascii="宋体" w:hAnsi="宋体" w:eastAsia="宋体" w:cs="宋体"/>
          <w:color w:val="000000"/>
          <w:kern w:val="0"/>
          <w:sz w:val="24"/>
          <w:szCs w:val="24"/>
          <w:highlight w:val="none"/>
          <w:u w:val="single"/>
          <w:lang w:val="en-US" w:eastAsia="zh-CN" w:bidi="ar"/>
        </w:rPr>
        <w:t>2026-2027年部分市政道路绿化养护服务项目（第2包）</w:t>
      </w:r>
    </w:p>
    <w:p w14:paraId="41531C7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2.服务期：自合同签订之日起一年。自2026年 月  日起至2027年 月 日止。</w:t>
      </w:r>
    </w:p>
    <w:p w14:paraId="006C739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auto"/>
          <w:sz w:val="24"/>
          <w:szCs w:val="24"/>
          <w:highlight w:val="none"/>
        </w:rPr>
        <w:t>绿</w:t>
      </w:r>
      <w:r>
        <w:rPr>
          <w:rFonts w:hint="eastAsia" w:ascii="宋体" w:hAnsi="宋体" w:eastAsia="宋体" w:cs="宋体"/>
          <w:color w:val="auto"/>
          <w:sz w:val="24"/>
          <w:szCs w:val="24"/>
          <w:highlight w:val="none"/>
          <w:lang w:val="en-US" w:eastAsia="zh-CN"/>
        </w:rPr>
        <w:t>地</w:t>
      </w:r>
      <w:r>
        <w:rPr>
          <w:rFonts w:hint="eastAsia" w:ascii="宋体" w:hAnsi="宋体" w:eastAsia="宋体" w:cs="宋体"/>
          <w:color w:val="auto"/>
          <w:sz w:val="24"/>
          <w:szCs w:val="24"/>
          <w:highlight w:val="none"/>
        </w:rPr>
        <w:t>养护管理范围</w:t>
      </w:r>
      <w:r>
        <w:rPr>
          <w:rFonts w:hint="eastAsia" w:ascii="宋体" w:hAnsi="宋体" w:eastAsia="宋体" w:cs="宋体"/>
          <w:color w:val="auto"/>
          <w:sz w:val="24"/>
          <w:szCs w:val="24"/>
          <w:highlight w:val="none"/>
          <w:lang w:val="en-US" w:eastAsia="zh-CN"/>
        </w:rPr>
        <w:t>及内容：2026-2027年部分市政道路绿化养护服务，养护范围主要包括：元朔大道（灞渭大道至欧亚大道）、欧亚大道西侧规划路潘骞路至港务南路、港兴四路北侧规划路灞渭大道至奥体大道等区域约1310000.00㎡绿地管理、养护工作（详见附件一）。实施内容包括：（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5）养护管理范围内其它相关工作。</w:t>
      </w:r>
    </w:p>
    <w:p w14:paraId="4C549FFF">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第二条 </w:t>
      </w:r>
      <w:r>
        <w:rPr>
          <w:rFonts w:hint="eastAsia" w:ascii="宋体" w:hAnsi="宋体" w:eastAsia="宋体" w:cs="宋体"/>
          <w:b/>
          <w:color w:val="auto"/>
          <w:sz w:val="24"/>
          <w:highlight w:val="none"/>
        </w:rPr>
        <w:t>合同组成</w:t>
      </w:r>
    </w:p>
    <w:p w14:paraId="723AF2F1">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3626188A">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6FA2F52">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及澄清文件。</w:t>
      </w:r>
    </w:p>
    <w:p w14:paraId="7492F5E3">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w:t>
      </w:r>
    </w:p>
    <w:p w14:paraId="40641D55">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lang w:val="zh-CN"/>
        </w:rPr>
        <w:t>通知书。</w:t>
      </w:r>
    </w:p>
    <w:p w14:paraId="0A2B541C">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A67F6EF">
      <w:pPr>
        <w:keepNext w:val="0"/>
        <w:keepLines w:val="0"/>
        <w:pageBreakBefore w:val="0"/>
        <w:kinsoku/>
        <w:wordWrap/>
        <w:overflowPunct/>
        <w:topLinePunct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7F20A83A">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112AFD0E">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文件及质疑解答文件内容违背或低于甲方</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要求或任何可能导致影响当次采购目的的情形，均应当被视为乙方自动放弃</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文件及质疑解答文件中相应部分而同意以</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相应内容为准。如果乙方的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文件及质疑解答文件内容高于甲方</w:t>
      </w:r>
      <w:r>
        <w:rPr>
          <w:rFonts w:hint="eastAsia" w:ascii="宋体" w:hAnsi="宋体" w:eastAsia="宋体" w:cs="宋体"/>
          <w:color w:val="auto"/>
          <w:sz w:val="24"/>
          <w:highlight w:val="none"/>
          <w:lang w:val="en-US" w:eastAsia="zh-CN"/>
        </w:rPr>
        <w:t>招标文件</w:t>
      </w:r>
      <w:r>
        <w:rPr>
          <w:rFonts w:hint="eastAsia" w:ascii="宋体" w:hAnsi="宋体" w:eastAsia="宋体" w:cs="宋体"/>
          <w:color w:val="auto"/>
          <w:sz w:val="24"/>
          <w:highlight w:val="none"/>
          <w:lang w:val="zh-CN"/>
        </w:rPr>
        <w:t>要求，则以乙方的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57A3EDE4">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9E2F5F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第三条 质量内容及质量标准</w:t>
      </w:r>
    </w:p>
    <w:p w14:paraId="65A8A1A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b/>
          <w:bCs/>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绿化养护质量应达到国家及行业标准，并满足国家、省、市绿化养护相关文件标准及《西安浐灞国际港园林绿化养护管理标准》（附件二）、《西安浐灞国际港绿地管护工作考评办法》（附件五）</w:t>
      </w:r>
    </w:p>
    <w:p w14:paraId="0E7FAA95">
      <w:pPr>
        <w:keepNext w:val="0"/>
        <w:keepLines w:val="0"/>
        <w:pageBreakBefore w:val="0"/>
        <w:widowControl/>
        <w:suppressLineNumbers w:val="0"/>
        <w:kinsoku/>
        <w:wordWrap/>
        <w:overflowPunct/>
        <w:topLinePunct w:val="0"/>
        <w:bidi w:val="0"/>
        <w:adjustRightInd w:val="0"/>
        <w:snapToGrid w:val="0"/>
        <w:spacing w:line="360" w:lineRule="auto"/>
        <w:ind w:firstLine="482" w:firstLineChars="200"/>
        <w:jc w:val="left"/>
        <w:rPr>
          <w:rFonts w:hint="default" w:ascii="宋体" w:hAnsi="宋体" w:eastAsia="宋体" w:cs="宋体"/>
          <w:highlight w:val="none"/>
          <w:lang w:val="en-US"/>
        </w:rPr>
      </w:pPr>
      <w:r>
        <w:rPr>
          <w:rFonts w:hint="eastAsia" w:ascii="宋体" w:hAnsi="宋体" w:eastAsia="宋体" w:cs="宋体"/>
          <w:b/>
          <w:bCs/>
          <w:color w:val="000000"/>
          <w:kern w:val="0"/>
          <w:sz w:val="24"/>
          <w:szCs w:val="24"/>
          <w:highlight w:val="none"/>
          <w:lang w:val="en-US" w:eastAsia="zh-CN" w:bidi="ar"/>
        </w:rPr>
        <w:t>第四条 合同价款</w:t>
      </w:r>
    </w:p>
    <w:p w14:paraId="77024496">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1.本合同暂定总价：小写(￥)：</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元；大写（人民币）：</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元，包括养护费用总价款暂定为：小写(￥)：</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元；大写（人民币）：</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元，预留金：</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元。</w:t>
      </w:r>
    </w:p>
    <w:p w14:paraId="5BDF6FCB">
      <w:pPr>
        <w:keepNext w:val="0"/>
        <w:keepLines w:val="0"/>
        <w:widowControl/>
        <w:suppressLineNumbers w:val="0"/>
        <w:spacing w:line="360" w:lineRule="auto"/>
        <w:ind w:left="0" w:leftChars="0" w:right="0" w:rightChars="0" w:firstLine="480" w:firstLineChars="200"/>
        <w:jc w:val="both"/>
        <w:textAlignment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lang w:val="en-US" w:eastAsia="zh-CN" w:bidi="ar"/>
        </w:rPr>
        <w:t>全费用单价：全费用单价：</w:t>
      </w:r>
      <w:r>
        <w:rPr>
          <w:rFonts w:hint="eastAsia" w:ascii="宋体" w:hAnsi="宋体" w:eastAsia="宋体" w:cs="宋体"/>
          <w:color w:val="auto"/>
          <w:sz w:val="24"/>
          <w:szCs w:val="24"/>
          <w:highlight w:val="none"/>
          <w:lang w:val="en-US" w:eastAsia="zh-CN"/>
        </w:rPr>
        <w:t>绿化养护服务（</w:t>
      </w:r>
      <w:r>
        <w:rPr>
          <w:rFonts w:hint="eastAsia" w:ascii="宋体" w:hAnsi="宋体" w:eastAsia="宋体" w:cs="宋体"/>
          <w:i w:val="0"/>
          <w:iCs w:val="0"/>
          <w:color w:val="000000"/>
          <w:kern w:val="0"/>
          <w:sz w:val="24"/>
          <w:szCs w:val="24"/>
          <w:highlight w:val="none"/>
          <w:u w:val="none"/>
          <w:lang w:val="en-US" w:eastAsia="zh-CN" w:bidi="ar"/>
        </w:rPr>
        <w:t>一级绿地）</w:t>
      </w:r>
      <w:r>
        <w:rPr>
          <w:rFonts w:hint="eastAsia" w:ascii="宋体" w:hAnsi="宋体" w:eastAsia="宋体" w:cs="宋体"/>
          <w:b w:val="0"/>
          <w:bCs w:val="0"/>
          <w:color w:val="000000"/>
          <w:kern w:val="0"/>
          <w:sz w:val="24"/>
          <w:szCs w:val="24"/>
          <w:highlight w:val="none"/>
          <w:lang w:val="en-US" w:eastAsia="zh-CN" w:bidi="ar"/>
        </w:rPr>
        <w:t>：</w:t>
      </w:r>
      <w:r>
        <w:rPr>
          <w:rFonts w:hint="eastAsia" w:ascii="宋体" w:hAnsi="宋体" w:eastAsia="宋体" w:cs="宋体"/>
          <w:b w:val="0"/>
          <w:bCs w:val="0"/>
          <w:color w:val="000000"/>
          <w:kern w:val="0"/>
          <w:sz w:val="24"/>
          <w:szCs w:val="24"/>
          <w:highlight w:val="none"/>
          <w:u w:val="single"/>
          <w:lang w:val="en-US" w:eastAsia="zh-CN" w:bidi="ar"/>
        </w:rPr>
        <w:t xml:space="preserve">       </w:t>
      </w:r>
      <w:r>
        <w:rPr>
          <w:rFonts w:hint="eastAsia" w:ascii="宋体" w:hAnsi="宋体" w:eastAsia="宋体" w:cs="宋体"/>
          <w:b w:val="0"/>
          <w:bCs w:val="0"/>
          <w:color w:val="000000"/>
          <w:kern w:val="0"/>
          <w:sz w:val="24"/>
          <w:szCs w:val="24"/>
          <w:highlight w:val="none"/>
          <w:u w:val="none"/>
          <w:lang w:val="en-US" w:eastAsia="zh-CN" w:bidi="ar"/>
        </w:rPr>
        <w:t>元/㎡/年；</w:t>
      </w:r>
    </w:p>
    <w:p w14:paraId="6BD36C97">
      <w:pPr>
        <w:keepNext w:val="0"/>
        <w:keepLines w:val="0"/>
        <w:widowControl/>
        <w:suppressLineNumbers w:val="0"/>
        <w:spacing w:line="360" w:lineRule="auto"/>
        <w:ind w:left="0" w:leftChars="0" w:right="0" w:rightChars="0" w:firstLine="1920" w:firstLineChars="800"/>
        <w:jc w:val="both"/>
        <w:textAlignment w:val="center"/>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绿化养护服务（</w:t>
      </w:r>
      <w:r>
        <w:rPr>
          <w:rFonts w:hint="eastAsia" w:ascii="宋体" w:hAnsi="宋体" w:eastAsia="宋体" w:cs="宋体"/>
          <w:i w:val="0"/>
          <w:iCs w:val="0"/>
          <w:color w:val="000000"/>
          <w:kern w:val="0"/>
          <w:sz w:val="24"/>
          <w:szCs w:val="24"/>
          <w:highlight w:val="none"/>
          <w:u w:val="none"/>
          <w:lang w:val="en-US" w:eastAsia="zh-CN" w:bidi="ar"/>
        </w:rPr>
        <w:t>二级绿地）</w:t>
      </w:r>
      <w:r>
        <w:rPr>
          <w:rFonts w:hint="eastAsia" w:ascii="宋体" w:hAnsi="宋体" w:eastAsia="宋体" w:cs="宋体"/>
          <w:b w:val="0"/>
          <w:bCs w:val="0"/>
          <w:color w:val="000000"/>
          <w:kern w:val="0"/>
          <w:sz w:val="24"/>
          <w:szCs w:val="24"/>
          <w:highlight w:val="none"/>
          <w:lang w:val="en-US" w:eastAsia="zh-CN" w:bidi="ar"/>
        </w:rPr>
        <w:t>：</w:t>
      </w:r>
      <w:r>
        <w:rPr>
          <w:rFonts w:hint="eastAsia" w:ascii="宋体" w:hAnsi="宋体" w:eastAsia="宋体" w:cs="宋体"/>
          <w:b w:val="0"/>
          <w:bCs w:val="0"/>
          <w:color w:val="000000"/>
          <w:kern w:val="0"/>
          <w:sz w:val="24"/>
          <w:szCs w:val="24"/>
          <w:highlight w:val="none"/>
          <w:u w:val="single"/>
          <w:lang w:val="en-US" w:eastAsia="zh-CN" w:bidi="ar"/>
        </w:rPr>
        <w:t xml:space="preserve">       </w:t>
      </w:r>
      <w:r>
        <w:rPr>
          <w:rFonts w:hint="eastAsia" w:ascii="宋体" w:hAnsi="宋体" w:eastAsia="宋体" w:cs="宋体"/>
          <w:b w:val="0"/>
          <w:bCs w:val="0"/>
          <w:color w:val="000000"/>
          <w:kern w:val="0"/>
          <w:sz w:val="24"/>
          <w:szCs w:val="24"/>
          <w:highlight w:val="none"/>
          <w:u w:val="none"/>
          <w:lang w:val="en-US" w:eastAsia="zh-CN" w:bidi="ar"/>
        </w:rPr>
        <w:t>元/㎡/年。</w:t>
      </w:r>
    </w:p>
    <w:p w14:paraId="2015235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1920" w:firstLineChars="800"/>
        <w:jc w:val="left"/>
        <w:rPr>
          <w:rFonts w:hint="default"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防护林带：</w:t>
      </w:r>
      <w:r>
        <w:rPr>
          <w:rFonts w:hint="eastAsia" w:ascii="宋体" w:hAnsi="宋体" w:eastAsia="宋体" w:cs="宋体"/>
          <w:b w:val="0"/>
          <w:bCs w:val="0"/>
          <w:color w:val="000000"/>
          <w:kern w:val="0"/>
          <w:sz w:val="24"/>
          <w:szCs w:val="24"/>
          <w:highlight w:val="none"/>
          <w:u w:val="single"/>
          <w:lang w:val="en-US" w:eastAsia="zh-CN" w:bidi="ar"/>
        </w:rPr>
        <w:t xml:space="preserve">       </w:t>
      </w:r>
      <w:r>
        <w:rPr>
          <w:rFonts w:hint="eastAsia" w:ascii="宋体" w:hAnsi="宋体" w:eastAsia="宋体" w:cs="宋体"/>
          <w:b w:val="0"/>
          <w:bCs w:val="0"/>
          <w:color w:val="000000"/>
          <w:kern w:val="0"/>
          <w:sz w:val="24"/>
          <w:szCs w:val="24"/>
          <w:highlight w:val="none"/>
          <w:u w:val="none"/>
          <w:lang w:val="en-US" w:eastAsia="zh-CN" w:bidi="ar"/>
        </w:rPr>
        <w:t>元/㎡/年。</w:t>
      </w:r>
    </w:p>
    <w:p w14:paraId="7E79C484">
      <w:pPr>
        <w:keepNext w:val="0"/>
        <w:keepLines w:val="0"/>
        <w:pageBreakBefore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2.合同形式：</w:t>
      </w:r>
      <w:r>
        <w:rPr>
          <w:rFonts w:hint="eastAsia" w:ascii="宋体" w:hAnsi="宋体" w:eastAsia="宋体" w:cs="宋体"/>
          <w:color w:val="auto"/>
          <w:sz w:val="24"/>
          <w:highlight w:val="none"/>
          <w:u w:val="none"/>
          <w:lang w:val="en-US" w:eastAsia="zh-CN"/>
        </w:rPr>
        <w:t xml:space="preserve">固定单价合同 </w:t>
      </w:r>
    </w:p>
    <w:p w14:paraId="42237D1B">
      <w:pPr>
        <w:keepNext w:val="0"/>
        <w:keepLines w:val="0"/>
        <w:pageBreakBefore w:val="0"/>
        <w:widowControl/>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合同单价为本次服务要求内容且验收合格的所有费用,</w:t>
      </w:r>
      <w:r>
        <w:rPr>
          <w:rFonts w:hint="eastAsia" w:ascii="宋体" w:hAnsi="宋体" w:eastAsia="宋体" w:cs="宋体"/>
          <w:sz w:val="24"/>
          <w:szCs w:val="24"/>
          <w:highlight w:val="none"/>
          <w:lang w:val="en-US" w:eastAsia="zh-CN"/>
        </w:rPr>
        <w:t>报价包括招标范围内绿地养护费用：绿地、园路、铺装广场、果皮箱、护栏、标牌等设施保洁及垃圾清运费用、绿地巡查及日常管理费用、人工、材料、机械、管理费、招标代理服务费、利润、规费、税金及市场浮动风险等所需的全部费用。任何错报、漏报由供应商自行负责，结算时不再做任何调整，</w:t>
      </w:r>
      <w:r>
        <w:rPr>
          <w:rFonts w:hint="eastAsia" w:ascii="宋体" w:hAnsi="宋体" w:eastAsia="宋体" w:cs="宋体"/>
          <w:color w:val="000000"/>
          <w:kern w:val="0"/>
          <w:sz w:val="24"/>
          <w:szCs w:val="24"/>
          <w:highlight w:val="none"/>
          <w:lang w:val="en-US" w:eastAsia="zh-CN" w:bidi="ar"/>
        </w:rPr>
        <w:t>具体单价明细详见附件一。</w:t>
      </w:r>
    </w:p>
    <w:p w14:paraId="321E274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3.本合同总价包括合同执行期间新增养护面积产生费用及其他费用。</w:t>
      </w:r>
    </w:p>
    <w:p w14:paraId="4E2BE7E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（1）新增面积：以甲方下发的进场通知单为准。新增费用：以进场通知单确定的时间、等级、标准，参照投标文件确定的价格，核定新增面积费用。</w:t>
      </w:r>
    </w:p>
    <w:p w14:paraId="319689C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2）其他费用：包括公园广场水电费、设施维修费、补栽苗木主材等,以甲方下发的派工单、通知单等其他文件为准，若有涉及相关工程类事项，单价采用固定全费用单价模式，费用按差价模式计算，按《陕西省建设工程工程量清单计价规则》（2009版）、《陕西省建筑工程、安装工程、装饰工程、市政工程、园林绿化工程消耗量定额》（2004版）及陕西省2009年价目表，人工、机械、管理费、利润、规费、税金等按当期最新计价文件规定执行，钢材、商品砼、砂浆、砂、石子、石灰、水泥、砌块采用投标当期《陕西工程造价信息》进行计算，其余材料及设备采用市场询价，双方共同确认。</w:t>
      </w:r>
    </w:p>
    <w:p w14:paraId="53ECF6E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第五条 支付方式</w:t>
      </w:r>
    </w:p>
    <w:p w14:paraId="447098C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1.结算方式： </w:t>
      </w:r>
    </w:p>
    <w:p w14:paraId="62815D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60" w:lineRule="auto"/>
        <w:ind w:left="0" w:right="0" w:firstLine="480" w:firstLineChars="200"/>
        <w:jc w:val="left"/>
        <w:textAlignment w:val="baseline"/>
        <w:outlineLvl w:val="9"/>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eastAsia" w:ascii="宋体" w:hAnsi="宋体" w:eastAsia="宋体" w:cs="宋体"/>
          <w:i w:val="0"/>
          <w:iCs w:val="0"/>
          <w:caps w:val="0"/>
          <w:color w:val="auto"/>
          <w:spacing w:val="0"/>
          <w:kern w:val="0"/>
          <w:sz w:val="24"/>
          <w:szCs w:val="24"/>
          <w:highlight w:val="none"/>
          <w:u w:val="none"/>
          <w:lang w:val="en-US" w:eastAsia="zh-CN" w:bidi="ar-SA"/>
        </w:rPr>
        <w:t>（1）预付款支付条款：无</w:t>
      </w:r>
    </w:p>
    <w:p w14:paraId="6CA28D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Autospacing="0" w:afterAutospacing="0" w:line="360" w:lineRule="auto"/>
        <w:ind w:left="0" w:right="0" w:firstLine="480" w:firstLineChars="200"/>
        <w:jc w:val="left"/>
        <w:textAlignment w:val="baseline"/>
        <w:outlineLvl w:val="9"/>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eastAsia" w:ascii="宋体" w:hAnsi="宋体" w:eastAsia="宋体" w:cs="宋体"/>
          <w:i w:val="0"/>
          <w:iCs w:val="0"/>
          <w:caps w:val="0"/>
          <w:color w:val="auto"/>
          <w:spacing w:val="0"/>
          <w:kern w:val="0"/>
          <w:sz w:val="24"/>
          <w:szCs w:val="24"/>
          <w:highlight w:val="none"/>
          <w:u w:val="none"/>
          <w:lang w:val="en-US" w:eastAsia="zh-CN" w:bidi="ar-SA"/>
        </w:rPr>
        <w:t>（2）剩余款项支付条款：</w:t>
      </w:r>
    </w:p>
    <w:p w14:paraId="70606E42">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每季度末，乙方向甲方申报本季度养护费用，包含既有面积养护、新增面积养护，甲方核定完成后，支付本次核定费用的90%。</w:t>
      </w:r>
    </w:p>
    <w:p w14:paraId="073A7FD7">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每半年乙方申报一次使用预留金的新增工作内容的费用，按照甲方出具的结算报告的金额100%支付。</w:t>
      </w:r>
    </w:p>
    <w:p w14:paraId="3FF1CB43">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以上季度、半年计算方法为:自合同生效之日起，计算。如:2026年8月11日至2026年11月10日为一个季度。</w:t>
      </w:r>
    </w:p>
    <w:p w14:paraId="356096B9">
      <w:pPr>
        <w:keepNext w:val="0"/>
        <w:keepLines w:val="0"/>
        <w:pageBreakBefore w:val="0"/>
        <w:widowControl/>
        <w:kinsoku/>
        <w:wordWrap/>
        <w:overflowPunct/>
        <w:topLinePunct w:val="0"/>
        <w:autoSpaceDE/>
        <w:autoSpaceDN/>
        <w:bidi w:val="0"/>
        <w:spacing w:line="360" w:lineRule="auto"/>
        <w:ind w:firstLine="480" w:firstLineChars="200"/>
        <w:rPr>
          <w:rFonts w:hint="default"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合同期结束，甲乙双方对所有完成内容进行结算，并支付剩余费用。</w:t>
      </w:r>
    </w:p>
    <w:p w14:paraId="5135767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2.付款依据：</w:t>
      </w:r>
    </w:p>
    <w:p w14:paraId="5D350E48">
      <w:pPr>
        <w:widowControl/>
        <w:spacing w:line="360" w:lineRule="auto"/>
        <w:ind w:firstLine="480" w:firstLineChars="200"/>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①</w:t>
      </w:r>
      <w:r>
        <w:rPr>
          <w:rFonts w:hint="eastAsia" w:ascii="宋体" w:hAnsi="宋体" w:eastAsia="宋体" w:cs="宋体"/>
          <w:color w:val="000000"/>
          <w:kern w:val="0"/>
          <w:sz w:val="24"/>
          <w:szCs w:val="24"/>
          <w:highlight w:val="none"/>
          <w:lang w:val="en-US" w:eastAsia="zh-CN" w:bidi="ar"/>
        </w:rPr>
        <w:t>乙方</w:t>
      </w:r>
      <w:r>
        <w:rPr>
          <w:rFonts w:hint="eastAsia" w:ascii="宋体" w:hAnsi="宋体" w:eastAsia="宋体" w:cs="宋体"/>
          <w:i w:val="0"/>
          <w:iCs w:val="0"/>
          <w:caps w:val="0"/>
          <w:color w:val="auto"/>
          <w:spacing w:val="0"/>
          <w:kern w:val="0"/>
          <w:sz w:val="24"/>
          <w:szCs w:val="24"/>
          <w:highlight w:val="none"/>
          <w:u w:val="none"/>
          <w:lang w:val="en-US" w:eastAsia="zh-CN" w:bidi="ar-SA"/>
        </w:rPr>
        <w:t>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60F13C95">
      <w:pPr>
        <w:widowControl/>
        <w:spacing w:line="360" w:lineRule="auto"/>
        <w:ind w:firstLine="480" w:firstLineChars="200"/>
        <w:rPr>
          <w:rFonts w:hint="eastAsia" w:ascii="宋体" w:hAnsi="宋体" w:eastAsia="宋体" w:cs="宋体"/>
          <w:i w:val="0"/>
          <w:iCs w:val="0"/>
          <w:caps w:val="0"/>
          <w:color w:val="auto"/>
          <w:spacing w:val="0"/>
          <w:kern w:val="0"/>
          <w:sz w:val="24"/>
          <w:szCs w:val="24"/>
          <w:highlight w:val="none"/>
          <w:u w:val="none"/>
          <w:lang w:val="en-US" w:eastAsia="zh-CN" w:bidi="ar-SA"/>
        </w:rPr>
      </w:pPr>
      <w:r>
        <w:rPr>
          <w:rFonts w:hint="default" w:ascii="宋体" w:hAnsi="宋体" w:eastAsia="宋体" w:cs="宋体"/>
          <w:i w:val="0"/>
          <w:iCs w:val="0"/>
          <w:caps w:val="0"/>
          <w:color w:val="auto"/>
          <w:spacing w:val="0"/>
          <w:kern w:val="0"/>
          <w:sz w:val="24"/>
          <w:szCs w:val="24"/>
          <w:highlight w:val="none"/>
          <w:u w:val="none"/>
          <w:lang w:val="en-US" w:eastAsia="zh-CN" w:bidi="ar-SA"/>
        </w:rPr>
        <w:t>②</w:t>
      </w:r>
      <w:r>
        <w:rPr>
          <w:rFonts w:hint="eastAsia" w:ascii="宋体" w:hAnsi="宋体" w:eastAsia="宋体" w:cs="宋体"/>
          <w:i w:val="0"/>
          <w:iCs w:val="0"/>
          <w:caps w:val="0"/>
          <w:color w:val="auto"/>
          <w:spacing w:val="0"/>
          <w:kern w:val="0"/>
          <w:sz w:val="24"/>
          <w:szCs w:val="24"/>
          <w:highlight w:val="none"/>
          <w:u w:val="none"/>
          <w:lang w:val="en-US" w:eastAsia="zh-CN" w:bidi="ar-SA"/>
        </w:rPr>
        <w:t>甲方通过银行转账方式支付相应款项，乙方若变更收款账户的，应在甲方付款前至少提前15天以书面形式通知甲方，否则相关法律后果均由乙方自行承担。</w:t>
      </w:r>
    </w:p>
    <w:p w14:paraId="18030406">
      <w:pPr>
        <w:keepNext w:val="0"/>
        <w:keepLines w:val="0"/>
        <w:pageBreakBefore w:val="0"/>
        <w:widowControl/>
        <w:suppressLineNumbers w:val="0"/>
        <w:kinsoku/>
        <w:wordWrap/>
        <w:overflowPunct/>
        <w:topLinePunct w:val="0"/>
        <w:bidi w:val="0"/>
        <w:adjustRightInd w:val="0"/>
        <w:snapToGrid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第六条 其他约定</w:t>
      </w:r>
    </w:p>
    <w:p w14:paraId="5131BB8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合同期限届满后，双方进行结算审计，结算审计过程中，乙方须无条件配合，基本审计费由甲方承担，审计成果费由乙方承担，具体费用以造价咨询合同为准。</w:t>
      </w:r>
    </w:p>
    <w:p w14:paraId="420E135A">
      <w:pPr>
        <w:keepNext w:val="0"/>
        <w:keepLines w:val="0"/>
        <w:pageBreakBefore w:val="0"/>
        <w:widowControl/>
        <w:suppressLineNumbers w:val="0"/>
        <w:kinsoku/>
        <w:wordWrap/>
        <w:overflowPunct/>
        <w:topLinePunct w:val="0"/>
        <w:bidi w:val="0"/>
        <w:adjustRightInd w:val="0"/>
        <w:snapToGrid w:val="0"/>
        <w:spacing w:line="360" w:lineRule="auto"/>
        <w:ind w:firstLine="482" w:firstLineChars="200"/>
        <w:jc w:val="left"/>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第七条 合同双方的权利与义务 </w:t>
      </w:r>
    </w:p>
    <w:p w14:paraId="42FE6CB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宋体"/>
          <w:b/>
          <w:bCs/>
          <w:highlight w:val="none"/>
          <w:lang w:val="en-US"/>
        </w:rPr>
      </w:pPr>
      <w:r>
        <w:rPr>
          <w:rFonts w:hint="eastAsia" w:ascii="宋体" w:hAnsi="宋体" w:eastAsia="宋体" w:cs="宋体"/>
          <w:b/>
          <w:bCs/>
          <w:color w:val="000000"/>
          <w:kern w:val="0"/>
          <w:sz w:val="24"/>
          <w:szCs w:val="24"/>
          <w:highlight w:val="none"/>
          <w:lang w:val="en-US" w:eastAsia="zh-CN" w:bidi="ar"/>
        </w:rPr>
        <w:t>（一）甲方权利与义务</w:t>
      </w:r>
    </w:p>
    <w:p w14:paraId="681F545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1.甲方有义务明确乙方工作责任范围。</w:t>
      </w:r>
    </w:p>
    <w:p w14:paraId="414DC15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2.甲方按照《西安浐灞国际港园林绿化养护管理标准》对乙方绿地养护工作进行考核，乙方应按照甲方制定的标准开展相关工作。</w:t>
      </w:r>
    </w:p>
    <w:p w14:paraId="273AAE2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3.甲方有权要求乙方制定相关管理计划、管理办法及管理制度等，切实做好本项目养护管理工作。</w:t>
      </w:r>
    </w:p>
    <w:p w14:paraId="0E20480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4.甲方可随时对乙方绿化养护管理工作进行抽查，发现问题的，有权限期要求乙方整改。</w:t>
      </w:r>
    </w:p>
    <w:p w14:paraId="18E315A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5.为使本合同顺利履行，在职责范围内协调解决乙方绿化养护工作所需的水、电等配套设施。</w:t>
      </w:r>
    </w:p>
    <w:p w14:paraId="6A892CD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6.负责指定专人对乙方工作进行监督和检查，及时组织验收。</w:t>
      </w:r>
    </w:p>
    <w:p w14:paraId="36CDFB1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7.在合同后期履行过程中，因养护标准、人数配置等发生变化的，甲方应据实增加相关费用，双方协商一致后，另行签订补充协议予以确定。 </w:t>
      </w:r>
    </w:p>
    <w:p w14:paraId="5D78E7D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8.甲方有权对乙方提交的补栽、维修清单进行审核确认。</w:t>
      </w:r>
    </w:p>
    <w:p w14:paraId="05A570E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9.对于本合同约定范围外的工作内容，甲方应提前书面告知乙方，同时组织相关单位对现场进行移交，确定工作区域及标准，交接管护日期以甲方书面通知日期为准。</w:t>
      </w:r>
    </w:p>
    <w:p w14:paraId="4D03D4D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10.甲方按照合同约定及时向乙方付款。</w:t>
      </w:r>
    </w:p>
    <w:p w14:paraId="0695302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宋体"/>
          <w:b/>
          <w:bCs/>
          <w:highlight w:val="none"/>
          <w:lang w:val="en-US"/>
        </w:rPr>
      </w:pPr>
      <w:r>
        <w:rPr>
          <w:rFonts w:hint="eastAsia" w:ascii="宋体" w:hAnsi="宋体" w:eastAsia="宋体" w:cs="宋体"/>
          <w:b/>
          <w:bCs/>
          <w:color w:val="000000"/>
          <w:kern w:val="0"/>
          <w:sz w:val="24"/>
          <w:szCs w:val="24"/>
          <w:highlight w:val="none"/>
          <w:lang w:val="en-US" w:eastAsia="zh-CN" w:bidi="ar"/>
        </w:rPr>
        <w:t>（二）乙方权利与义务</w:t>
      </w:r>
    </w:p>
    <w:p w14:paraId="4401F9B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1.乙方应严格按照《西安浐灞国际港园林绿化养护管理标准》，开展相关工作。</w:t>
      </w:r>
    </w:p>
    <w:p w14:paraId="5E0FA7F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2.乙方应加强日常管理，编制工作方案，制定工作计划，加强日常巡检对存在问题及时整改，对重点区域实行专人负责制。</w:t>
      </w:r>
    </w:p>
    <w:p w14:paraId="6993C58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3.乙方应按照甲方的要求配合完成上级部门检查考核等工作。</w:t>
      </w:r>
    </w:p>
    <w:p w14:paraId="3FE19C9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4.如遇市、区重大活动和节日庆典，乙方应无条件按照甲方要求，完成绿化养护保障相关工作。</w:t>
      </w:r>
    </w:p>
    <w:p w14:paraId="6C0505E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乙方应确保合同约定范围内绿地的养护工作的正常进行，确保按时完成养护绿地范围内各类苗木的修剪、清掏、补栽、浇灌、施肥、病虫害防治等工作。及时清理死苗，在绿化季内进行补植，补种同类苗木，并加强养护管理措施，保证补植成活率。</w:t>
      </w:r>
    </w:p>
    <w:p w14:paraId="6C0E1920">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6.乙方应做好绿地内座椅、园林绿化景观小品、广场硬铺装等公用设施的管护工作，确保干净整洁、无破损。如需更换维修的，需书面报送甲方同意后，再进行维修更换。</w:t>
      </w:r>
    </w:p>
    <w:p w14:paraId="441D129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7.乙方应按照市、区安全生产管理要求，履行安全生产主体责任，确保全年无重大安全事故。</w:t>
      </w:r>
    </w:p>
    <w:p w14:paraId="6719E66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8.乙方应提供补栽、维修计划，待甲方确认后及时实施。</w:t>
      </w:r>
    </w:p>
    <w:p w14:paraId="4F97113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第八条 验收考核及处罚</w:t>
      </w:r>
    </w:p>
    <w:p w14:paraId="4D57103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1.甲方根据本合同第三条约定的质量标准进行验收、考核，验收、考核存在问题的，有权要求乙方限期整改。</w:t>
      </w:r>
    </w:p>
    <w:p w14:paraId="7F4B74F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本合同期限内，甲方根据国家、省、市、区绿地养护相关文件、标准，按照《西安浐灞国际港绿地管护工作考评办法》（详见附件五）每月对乙方（按照《西安浐灞国际港绿化养护管理手册》管理要求划分养护单位）工作实施考核、验收，并对检查结果进行通报，相关考核扣款从当季进度款支付中扣除。</w:t>
      </w:r>
    </w:p>
    <w:p w14:paraId="6E2BFED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乙方项目经理或管理人员在工作中出现推诿扯皮，态度消极，各项工作落实不及时不到位等不符合甲方要求的行为，甲方有权通知乙方更换项目经理及相关管理人员，乙方收到更换人员通知后10天内无条件完成更换，未按期更换的按照2万元/月/人的标准进行扣款，费用直接从当季进度款支付中扣除。</w:t>
      </w:r>
    </w:p>
    <w:p w14:paraId="2A8FAE2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乙方项目经理要求人证合一，按时上岗，出现脱岗、顶岗的发现一次，单次处罚1万元，项目经理若有事外出须出示书面请假于甲方批准方可外出，对私自外出或离岗而未完成请假手续的个人每次1万元经济处罚。</w:t>
      </w:r>
    </w:p>
    <w:p w14:paraId="1A3AC89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乙方项目经理及主要管理人员电话须保持24小时畅通，对电话无故失联的对失联人进行约谈警告，因失联造成应急、抢险等工作延误被相关部门督办的每次处罚2万元经济处罚并承担全部责任，处罚罚款在季度养护费用中扣除.同时启动更换项目经理流程。</w:t>
      </w:r>
    </w:p>
    <w:p w14:paraId="791FBB1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6.乙方必须配备持证专职安全管理人员。严禁兼职挂靠，缺证缺人、对因缺证缺人造成的隐患投诉和安全事故发生处每次1至5万元的经济处罚，罚款在当季度进度中款扣除。</w:t>
      </w:r>
    </w:p>
    <w:p w14:paraId="5914D6C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7.在绿化养护月度考核验收中，第一次出现排名后三且考评为差（月度考评成绩70分以下）的养护单元，对乙方单位公司领导及项目经理进行约谈，对养护单元管理负责人及主要管理人员进行提醒警告。</w:t>
      </w:r>
    </w:p>
    <w:p w14:paraId="395222E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8.在绿化养护月度考核验收中，累计两次出现排名后三且考评为差（月度考评成绩70分以下）的养护单元，甲方可要求乙方更换养护单元管理负责人及主要管理人员。</w:t>
      </w:r>
    </w:p>
    <w:p w14:paraId="7B5FD8F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9.在绿化养护月度考核验收中，累计三次排名后三且考评为差（月度考评成绩70分以下）的养护单元，甲方有权单方解除该养护单元养护关系，委托其它单位负责该单元养护工作。</w:t>
      </w:r>
    </w:p>
    <w:p w14:paraId="38F301C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highlight w:val="none"/>
          <w:lang w:val="en-US" w:eastAsia="zh-CN"/>
        </w:rPr>
      </w:pPr>
      <w:r>
        <w:rPr>
          <w:rFonts w:hint="eastAsia" w:ascii="宋体" w:hAnsi="宋体" w:eastAsia="宋体" w:cs="宋体"/>
          <w:b/>
          <w:bCs/>
          <w:color w:val="000000"/>
          <w:kern w:val="0"/>
          <w:sz w:val="24"/>
          <w:szCs w:val="24"/>
          <w:highlight w:val="none"/>
          <w:lang w:val="en-US" w:eastAsia="zh-CN" w:bidi="ar"/>
        </w:rPr>
        <w:t>第九条 违约责任</w:t>
      </w:r>
    </w:p>
    <w:p w14:paraId="50F81B4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1.乙方未按合同约定达到绿化养护工作目标，或养护管理不到位，养护质量不合格，未达到相应的工作考核要求的，甲方按照合同第十条进行考核及处罚。</w:t>
      </w:r>
    </w:p>
    <w:p w14:paraId="6BFA374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第十条 合同解除条款 </w:t>
      </w:r>
    </w:p>
    <w:p w14:paraId="11CCEE5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1.本合同期限内，乙方有下列行为之一的，甲方有权单方解除本合同：</w:t>
      </w:r>
    </w:p>
    <w:p w14:paraId="751FFF8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（1）因乙方原因造成社会不良影响的；</w:t>
      </w:r>
    </w:p>
    <w:p w14:paraId="4BDDFAB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（2）因乙方原因造成社会不稳定因素的；</w:t>
      </w:r>
    </w:p>
    <w:p w14:paraId="1A8B730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（3）乙方在重大活动或接待工作中不听甲方指挥安排的；</w:t>
      </w:r>
    </w:p>
    <w:p w14:paraId="103D9AD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（4）乙方未按甲方要求或《西安浐灞国际港园林绿化养护管理标准》服务，经甲方提出后逾期整改或拒绝整改的；</w:t>
      </w:r>
    </w:p>
    <w:p w14:paraId="058DEB1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highlight w:val="none"/>
          <w:lang w:val="en-US" w:eastAsia="zh-CN"/>
        </w:rPr>
      </w:pPr>
      <w:r>
        <w:rPr>
          <w:rFonts w:hint="eastAsia" w:ascii="宋体" w:hAnsi="宋体" w:eastAsia="宋体" w:cs="宋体"/>
          <w:color w:val="000000"/>
          <w:kern w:val="0"/>
          <w:sz w:val="24"/>
          <w:szCs w:val="24"/>
          <w:highlight w:val="none"/>
          <w:lang w:val="en-US" w:eastAsia="zh-CN" w:bidi="ar"/>
        </w:rPr>
        <w:t>（5）未经甲方书面同意，擅自分包或转包的。</w:t>
      </w:r>
    </w:p>
    <w:p w14:paraId="51C020C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乙方具有上述行为之一的，应当在收到甲方《单方解除合同通知书》后，本合同自动解除。甲方应按照合同约定根据乙方实际工作情况据实结算并支付相应费用。</w:t>
      </w:r>
    </w:p>
    <w:p w14:paraId="053AB64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合同期限内，任何一方的违约行为导致本合同解除，给守约方造成经济损失的，违约方应按照约定绿化养护管理费用总额的10%向守约方支付违约金，并赔偿由此造成的经济损失，赔偿范围包括但不限于诉讼费、鉴定费、执行费、律师服务费，以及守约方维权过程中所产生的交通食宿费等合理的经济损失。</w:t>
      </w:r>
    </w:p>
    <w:p w14:paraId="7804894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3.因一方违约或不可抗力导致本合同不能继续履行，另一方有权解除合同，并应在上述事项发生后三十天内书面通知对方，本合同在解除通知送达对方的同时自行解除。</w:t>
      </w:r>
    </w:p>
    <w:p w14:paraId="50F4BA3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第十一条 争议解决条款</w:t>
      </w:r>
    </w:p>
    <w:p w14:paraId="767F10F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本合同履行过程中发生争议的，双方应友好协商解决，协商不成的，任何一方均有权向合同履行地（西安市灞桥区）有管辖权的人民法院起诉。</w:t>
      </w:r>
    </w:p>
    <w:p w14:paraId="0DDE9EF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第十二条 监督和管理 </w:t>
      </w:r>
    </w:p>
    <w:p w14:paraId="5170A34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1.政府采购合同履行中，甲方需追加与合同标的相同服务的，在不改变合同其他条款的前提下，可以与乙方协商签订补充合同，但所有补充合同的采购金额不得超过原合同采购金额的百分之十。 </w:t>
      </w:r>
    </w:p>
    <w:p w14:paraId="4FBA4B7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2.甲乙双方均应自觉配合有关监督管理部门对合同履行情况的监督检查，如实反映情况，提供有关资料；否则，将对有关单位、当事人按照有关规定予以处罚。</w:t>
      </w:r>
    </w:p>
    <w:p w14:paraId="05EAF36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highlight w:val="none"/>
        </w:rPr>
      </w:pPr>
      <w:r>
        <w:rPr>
          <w:rFonts w:hint="eastAsia" w:ascii="宋体" w:hAnsi="宋体" w:eastAsia="宋体" w:cs="宋体"/>
          <w:b/>
          <w:bCs/>
          <w:color w:val="000000"/>
          <w:kern w:val="0"/>
          <w:sz w:val="24"/>
          <w:szCs w:val="24"/>
          <w:highlight w:val="none"/>
          <w:lang w:val="en-US" w:eastAsia="zh-CN" w:bidi="ar"/>
        </w:rPr>
        <w:t xml:space="preserve">第十三条 不可抗力 </w:t>
      </w:r>
    </w:p>
    <w:p w14:paraId="7BD6566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2582114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第十四条 合同订立 </w:t>
      </w:r>
    </w:p>
    <w:p w14:paraId="1189319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1.订立时间：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日。 </w:t>
      </w:r>
    </w:p>
    <w:p w14:paraId="471049D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2.订立地点：</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1D2BD60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3.本合同自双方签字、盖章之日起生效，合同文本一式九份，甲乙双方各执肆份，采购代理机构一份，具同等法律效力。</w:t>
      </w:r>
    </w:p>
    <w:p w14:paraId="7469CFC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4.本合同附件是本合同的组成部分，与本合同具有同等法律效力，包括：</w:t>
      </w:r>
    </w:p>
    <w:p w14:paraId="1E40659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附件一：XX 年度绿化养护工作内容及费用明细</w:t>
      </w:r>
    </w:p>
    <w:p w14:paraId="5DB9BAE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附件二：西安浐灞国际港园林绿化养护管理标准</w:t>
      </w:r>
    </w:p>
    <w:p w14:paraId="1ECF79E3">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附件三：本项目的人员配置情况表</w:t>
      </w:r>
    </w:p>
    <w:p w14:paraId="1EB7E6E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附件四：投入机械设备情况表</w:t>
      </w:r>
    </w:p>
    <w:p w14:paraId="506B3F5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附件五：西安浐灞国际港绿地管护工作考评办法</w:t>
      </w:r>
    </w:p>
    <w:p w14:paraId="04CC898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附件六：西安浐灞国际港绿化养护管理手册</w:t>
      </w:r>
    </w:p>
    <w:p w14:paraId="3CE1B967">
      <w:pPr>
        <w:keepNext w:val="0"/>
        <w:keepLines w:val="0"/>
        <w:pageBreakBefore w:val="0"/>
        <w:widowControl/>
        <w:suppressLineNumbers w:val="0"/>
        <w:kinsoku/>
        <w:wordWrap/>
        <w:overflowPunct/>
        <w:topLinePunct w:val="0"/>
        <w:autoSpaceDE/>
        <w:autoSpaceDN/>
        <w:bidi w:val="0"/>
        <w:adjustRightInd w:val="0"/>
        <w:snapToGrid w:val="0"/>
        <w:spacing w:line="384" w:lineRule="auto"/>
        <w:ind w:firstLine="420" w:firstLineChars="200"/>
        <w:jc w:val="left"/>
        <w:textAlignment w:val="auto"/>
        <w:rPr>
          <w:rFonts w:hint="eastAsia"/>
          <w:highlight w:val="none"/>
          <w:lang w:val="en-US" w:eastAsia="zh-CN"/>
        </w:rPr>
      </w:pPr>
    </w:p>
    <w:p w14:paraId="7EE1A605">
      <w:pPr>
        <w:keepNext w:val="0"/>
        <w:keepLines w:val="0"/>
        <w:pageBreakBefore w:val="0"/>
        <w:widowControl/>
        <w:suppressLineNumbers w:val="0"/>
        <w:kinsoku/>
        <w:wordWrap/>
        <w:overflowPunct/>
        <w:topLinePunct w:val="0"/>
        <w:autoSpaceDE/>
        <w:autoSpaceDN/>
        <w:bidi w:val="0"/>
        <w:adjustRightInd w:val="0"/>
        <w:snapToGrid w:val="0"/>
        <w:spacing w:line="384"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250090FF">
        <w:tblPrEx>
          <w:tblCellMar>
            <w:top w:w="0" w:type="dxa"/>
            <w:left w:w="108" w:type="dxa"/>
            <w:bottom w:w="0" w:type="dxa"/>
            <w:right w:w="108" w:type="dxa"/>
          </w:tblCellMar>
        </w:tblPrEx>
        <w:trPr>
          <w:trHeight w:val="454" w:hRule="atLeast"/>
        </w:trPr>
        <w:tc>
          <w:tcPr>
            <w:tcW w:w="4201" w:type="dxa"/>
            <w:vAlign w:val="center"/>
          </w:tcPr>
          <w:p w14:paraId="7FDBBEC5">
            <w:pPr>
              <w:spacing w:line="360" w:lineRule="auto"/>
              <w:ind w:firstLine="480" w:firstLineChars="200"/>
              <w:rPr>
                <w:rFonts w:ascii="宋体"/>
                <w:sz w:val="24"/>
                <w:highlight w:val="none"/>
              </w:rPr>
            </w:pPr>
            <w:r>
              <w:rPr>
                <w:rFonts w:hint="eastAsia" w:ascii="宋体" w:hAnsi="宋体" w:cs="宋体"/>
                <w:sz w:val="24"/>
                <w:highlight w:val="none"/>
              </w:rPr>
              <w:t>甲</w:t>
            </w:r>
            <w:r>
              <w:rPr>
                <w:rFonts w:ascii="宋体" w:hAnsi="宋体" w:cs="宋体"/>
                <w:sz w:val="24"/>
                <w:highlight w:val="none"/>
              </w:rPr>
              <w:t xml:space="preserve">  </w:t>
            </w:r>
            <w:r>
              <w:rPr>
                <w:rFonts w:hint="eastAsia" w:ascii="宋体" w:hAnsi="宋体" w:cs="宋体"/>
                <w:sz w:val="24"/>
                <w:highlight w:val="none"/>
              </w:rPr>
              <w:t>方</w:t>
            </w:r>
          </w:p>
        </w:tc>
        <w:tc>
          <w:tcPr>
            <w:tcW w:w="4202" w:type="dxa"/>
            <w:vAlign w:val="center"/>
          </w:tcPr>
          <w:p w14:paraId="49B6541D">
            <w:pPr>
              <w:spacing w:line="360" w:lineRule="auto"/>
              <w:ind w:firstLine="480" w:firstLineChars="200"/>
              <w:rPr>
                <w:rFonts w:ascii="宋体"/>
                <w:sz w:val="24"/>
                <w:highlight w:val="none"/>
              </w:rPr>
            </w:pPr>
            <w:r>
              <w:rPr>
                <w:rFonts w:hint="eastAsia" w:ascii="宋体" w:hAnsi="宋体" w:cs="宋体"/>
                <w:sz w:val="24"/>
                <w:highlight w:val="none"/>
              </w:rPr>
              <w:t>乙</w:t>
            </w:r>
            <w:r>
              <w:rPr>
                <w:rFonts w:ascii="宋体" w:hAnsi="宋体" w:cs="宋体"/>
                <w:sz w:val="24"/>
                <w:highlight w:val="none"/>
              </w:rPr>
              <w:t xml:space="preserve">  </w:t>
            </w:r>
            <w:r>
              <w:rPr>
                <w:rFonts w:hint="eastAsia" w:ascii="宋体" w:hAnsi="宋体" w:cs="宋体"/>
                <w:sz w:val="24"/>
                <w:highlight w:val="none"/>
              </w:rPr>
              <w:t>方</w:t>
            </w:r>
          </w:p>
        </w:tc>
      </w:tr>
      <w:tr w14:paraId="0165710F">
        <w:tblPrEx>
          <w:tblCellMar>
            <w:top w:w="0" w:type="dxa"/>
            <w:left w:w="108" w:type="dxa"/>
            <w:bottom w:w="0" w:type="dxa"/>
            <w:right w:w="108" w:type="dxa"/>
          </w:tblCellMar>
        </w:tblPrEx>
        <w:trPr>
          <w:trHeight w:val="454" w:hRule="atLeast"/>
        </w:trPr>
        <w:tc>
          <w:tcPr>
            <w:tcW w:w="4201" w:type="dxa"/>
            <w:vAlign w:val="center"/>
          </w:tcPr>
          <w:p w14:paraId="09DA2A10">
            <w:pPr>
              <w:spacing w:line="360" w:lineRule="auto"/>
              <w:ind w:firstLine="480" w:firstLineChars="200"/>
              <w:rPr>
                <w:rFonts w:ascii="宋体"/>
                <w:sz w:val="24"/>
                <w:highlight w:val="none"/>
              </w:rPr>
            </w:pPr>
            <w:r>
              <w:rPr>
                <w:rFonts w:hint="eastAsia" w:ascii="宋体" w:hAnsi="宋体" w:cs="宋体"/>
                <w:sz w:val="24"/>
                <w:highlight w:val="none"/>
              </w:rPr>
              <w:t>（盖章）</w:t>
            </w:r>
          </w:p>
        </w:tc>
        <w:tc>
          <w:tcPr>
            <w:tcW w:w="4202" w:type="dxa"/>
            <w:vAlign w:val="center"/>
          </w:tcPr>
          <w:p w14:paraId="24FE76BE">
            <w:pPr>
              <w:spacing w:line="360" w:lineRule="auto"/>
              <w:ind w:firstLine="480" w:firstLineChars="200"/>
              <w:rPr>
                <w:rFonts w:ascii="宋体"/>
                <w:sz w:val="24"/>
                <w:highlight w:val="none"/>
              </w:rPr>
            </w:pPr>
            <w:r>
              <w:rPr>
                <w:rFonts w:hint="eastAsia" w:ascii="宋体" w:hAnsi="宋体" w:cs="宋体"/>
                <w:sz w:val="24"/>
                <w:highlight w:val="none"/>
              </w:rPr>
              <w:t>（盖章）</w:t>
            </w:r>
          </w:p>
        </w:tc>
      </w:tr>
      <w:tr w14:paraId="29119B7D">
        <w:tblPrEx>
          <w:tblCellMar>
            <w:top w:w="0" w:type="dxa"/>
            <w:left w:w="108" w:type="dxa"/>
            <w:bottom w:w="0" w:type="dxa"/>
            <w:right w:w="108" w:type="dxa"/>
          </w:tblCellMar>
        </w:tblPrEx>
        <w:trPr>
          <w:trHeight w:val="454" w:hRule="atLeast"/>
        </w:trPr>
        <w:tc>
          <w:tcPr>
            <w:tcW w:w="4201" w:type="dxa"/>
            <w:vAlign w:val="center"/>
          </w:tcPr>
          <w:p w14:paraId="7DD2AFAC">
            <w:pPr>
              <w:spacing w:line="360" w:lineRule="auto"/>
              <w:ind w:firstLine="480" w:firstLineChars="200"/>
              <w:rPr>
                <w:rFonts w:ascii="宋体" w:hAnsi="宋体" w:cs="宋体"/>
                <w:sz w:val="24"/>
                <w:highlight w:val="none"/>
              </w:rPr>
            </w:pPr>
            <w:r>
              <w:rPr>
                <w:rFonts w:hint="eastAsia" w:ascii="宋体" w:hAnsi="宋体" w:cs="宋体"/>
                <w:sz w:val="24"/>
                <w:highlight w:val="none"/>
              </w:rPr>
              <w:t>地址：</w:t>
            </w:r>
            <w:r>
              <w:rPr>
                <w:rFonts w:ascii="宋体" w:hAnsi="宋体" w:cs="宋体"/>
                <w:sz w:val="24"/>
                <w:highlight w:val="none"/>
              </w:rPr>
              <w:t xml:space="preserve"> </w:t>
            </w:r>
          </w:p>
        </w:tc>
        <w:tc>
          <w:tcPr>
            <w:tcW w:w="4202" w:type="dxa"/>
            <w:vAlign w:val="center"/>
          </w:tcPr>
          <w:p w14:paraId="0AD1B634">
            <w:pPr>
              <w:spacing w:line="360" w:lineRule="auto"/>
              <w:ind w:firstLine="480" w:firstLineChars="200"/>
              <w:rPr>
                <w:rFonts w:ascii="宋体"/>
                <w:sz w:val="24"/>
                <w:highlight w:val="none"/>
              </w:rPr>
            </w:pPr>
            <w:r>
              <w:rPr>
                <w:rFonts w:hint="eastAsia" w:ascii="宋体" w:hAnsi="宋体" w:cs="宋体"/>
                <w:sz w:val="24"/>
                <w:highlight w:val="none"/>
              </w:rPr>
              <w:t>地址：</w:t>
            </w:r>
          </w:p>
        </w:tc>
      </w:tr>
      <w:tr w14:paraId="7439D4C5">
        <w:tblPrEx>
          <w:tblCellMar>
            <w:top w:w="0" w:type="dxa"/>
            <w:left w:w="108" w:type="dxa"/>
            <w:bottom w:w="0" w:type="dxa"/>
            <w:right w:w="108" w:type="dxa"/>
          </w:tblCellMar>
        </w:tblPrEx>
        <w:trPr>
          <w:trHeight w:val="454" w:hRule="atLeast"/>
        </w:trPr>
        <w:tc>
          <w:tcPr>
            <w:tcW w:w="4201" w:type="dxa"/>
            <w:vAlign w:val="center"/>
          </w:tcPr>
          <w:p w14:paraId="782CCFD1">
            <w:pPr>
              <w:spacing w:line="360" w:lineRule="auto"/>
              <w:ind w:firstLine="480" w:firstLineChars="200"/>
              <w:rPr>
                <w:rFonts w:ascii="宋体"/>
                <w:sz w:val="24"/>
                <w:highlight w:val="none"/>
              </w:rPr>
            </w:pPr>
            <w:r>
              <w:rPr>
                <w:rFonts w:hint="eastAsia" w:ascii="宋体" w:hAnsi="宋体" w:cs="宋体"/>
                <w:sz w:val="24"/>
                <w:highlight w:val="none"/>
              </w:rPr>
              <w:t>邮编：</w:t>
            </w:r>
          </w:p>
        </w:tc>
        <w:tc>
          <w:tcPr>
            <w:tcW w:w="4202" w:type="dxa"/>
            <w:vAlign w:val="center"/>
          </w:tcPr>
          <w:p w14:paraId="27C2820B">
            <w:pPr>
              <w:spacing w:line="360" w:lineRule="auto"/>
              <w:ind w:firstLine="480" w:firstLineChars="200"/>
              <w:rPr>
                <w:rFonts w:ascii="宋体"/>
                <w:sz w:val="24"/>
                <w:highlight w:val="none"/>
              </w:rPr>
            </w:pPr>
            <w:r>
              <w:rPr>
                <w:rFonts w:hint="eastAsia" w:ascii="宋体" w:hAnsi="宋体" w:cs="宋体"/>
                <w:sz w:val="24"/>
                <w:highlight w:val="none"/>
              </w:rPr>
              <w:t>邮编：</w:t>
            </w:r>
          </w:p>
        </w:tc>
      </w:tr>
      <w:tr w14:paraId="3F7D9885">
        <w:tblPrEx>
          <w:tblCellMar>
            <w:top w:w="0" w:type="dxa"/>
            <w:left w:w="108" w:type="dxa"/>
            <w:bottom w:w="0" w:type="dxa"/>
            <w:right w:w="108" w:type="dxa"/>
          </w:tblCellMar>
        </w:tblPrEx>
        <w:trPr>
          <w:trHeight w:val="454" w:hRule="atLeast"/>
        </w:trPr>
        <w:tc>
          <w:tcPr>
            <w:tcW w:w="4201" w:type="dxa"/>
            <w:vAlign w:val="center"/>
          </w:tcPr>
          <w:p w14:paraId="1B589CE2">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r>
              <w:rPr>
                <w:rFonts w:ascii="宋体" w:hAnsi="宋体" w:cs="宋体"/>
                <w:sz w:val="24"/>
                <w:highlight w:val="none"/>
              </w:rPr>
              <w:t xml:space="preserve"> </w:t>
            </w:r>
          </w:p>
        </w:tc>
        <w:tc>
          <w:tcPr>
            <w:tcW w:w="4202" w:type="dxa"/>
            <w:vAlign w:val="center"/>
          </w:tcPr>
          <w:p w14:paraId="0668D13F">
            <w:pPr>
              <w:spacing w:line="360" w:lineRule="auto"/>
              <w:ind w:firstLine="480" w:firstLineChars="200"/>
              <w:rPr>
                <w:rFonts w:ascii="宋体"/>
                <w:sz w:val="24"/>
                <w:highlight w:val="none"/>
              </w:rPr>
            </w:pPr>
            <w:r>
              <w:rPr>
                <w:rFonts w:hint="eastAsia" w:ascii="宋体" w:hAnsi="宋体" w:cs="宋体"/>
                <w:sz w:val="24"/>
                <w:highlight w:val="none"/>
              </w:rPr>
              <w:t>法定代表人：</w:t>
            </w:r>
          </w:p>
        </w:tc>
      </w:tr>
      <w:tr w14:paraId="05DAB700">
        <w:tblPrEx>
          <w:tblCellMar>
            <w:top w:w="0" w:type="dxa"/>
            <w:left w:w="108" w:type="dxa"/>
            <w:bottom w:w="0" w:type="dxa"/>
            <w:right w:w="108" w:type="dxa"/>
          </w:tblCellMar>
        </w:tblPrEx>
        <w:trPr>
          <w:trHeight w:val="454" w:hRule="atLeast"/>
        </w:trPr>
        <w:tc>
          <w:tcPr>
            <w:tcW w:w="4201" w:type="dxa"/>
            <w:vAlign w:val="center"/>
          </w:tcPr>
          <w:p w14:paraId="046B2FF4">
            <w:pPr>
              <w:spacing w:line="360" w:lineRule="auto"/>
              <w:ind w:firstLine="480" w:firstLineChars="200"/>
              <w:rPr>
                <w:rFonts w:ascii="宋体"/>
                <w:sz w:val="24"/>
                <w:highlight w:val="none"/>
              </w:rPr>
            </w:pPr>
            <w:r>
              <w:rPr>
                <w:rFonts w:hint="eastAsia" w:ascii="宋体" w:hAnsi="宋体" w:cs="宋体"/>
                <w:sz w:val="24"/>
                <w:highlight w:val="none"/>
              </w:rPr>
              <w:t>委托代理人：</w:t>
            </w:r>
          </w:p>
        </w:tc>
        <w:tc>
          <w:tcPr>
            <w:tcW w:w="4202" w:type="dxa"/>
            <w:vAlign w:val="center"/>
          </w:tcPr>
          <w:p w14:paraId="61BCB452">
            <w:pPr>
              <w:spacing w:line="360" w:lineRule="auto"/>
              <w:ind w:firstLine="480" w:firstLineChars="200"/>
              <w:rPr>
                <w:rFonts w:ascii="宋体"/>
                <w:sz w:val="24"/>
                <w:highlight w:val="none"/>
              </w:rPr>
            </w:pPr>
            <w:r>
              <w:rPr>
                <w:rFonts w:hint="eastAsia" w:ascii="宋体" w:hAnsi="宋体" w:cs="宋体"/>
                <w:sz w:val="24"/>
                <w:highlight w:val="none"/>
              </w:rPr>
              <w:t>委托代理人：</w:t>
            </w:r>
          </w:p>
        </w:tc>
      </w:tr>
      <w:tr w14:paraId="1F06418B">
        <w:tblPrEx>
          <w:tblCellMar>
            <w:top w:w="0" w:type="dxa"/>
            <w:left w:w="108" w:type="dxa"/>
            <w:bottom w:w="0" w:type="dxa"/>
            <w:right w:w="108" w:type="dxa"/>
          </w:tblCellMar>
        </w:tblPrEx>
        <w:trPr>
          <w:trHeight w:val="454" w:hRule="atLeast"/>
        </w:trPr>
        <w:tc>
          <w:tcPr>
            <w:tcW w:w="4201" w:type="dxa"/>
            <w:vAlign w:val="center"/>
          </w:tcPr>
          <w:p w14:paraId="4C2DB44B">
            <w:pPr>
              <w:spacing w:line="360" w:lineRule="auto"/>
              <w:ind w:firstLine="480" w:firstLineChars="200"/>
              <w:rPr>
                <w:rFonts w:ascii="宋体"/>
                <w:sz w:val="24"/>
                <w:highlight w:val="none"/>
              </w:rPr>
            </w:pPr>
            <w:r>
              <w:rPr>
                <w:rFonts w:hint="eastAsia" w:ascii="宋体" w:hAnsi="宋体" w:cs="宋体"/>
                <w:sz w:val="24"/>
                <w:highlight w:val="none"/>
              </w:rPr>
              <w:t>电话：</w:t>
            </w:r>
          </w:p>
        </w:tc>
        <w:tc>
          <w:tcPr>
            <w:tcW w:w="4202" w:type="dxa"/>
            <w:vAlign w:val="center"/>
          </w:tcPr>
          <w:p w14:paraId="6B5D5A3F">
            <w:pPr>
              <w:spacing w:line="360" w:lineRule="auto"/>
              <w:ind w:firstLine="480" w:firstLineChars="200"/>
              <w:rPr>
                <w:rFonts w:ascii="宋体"/>
                <w:sz w:val="24"/>
                <w:highlight w:val="none"/>
              </w:rPr>
            </w:pPr>
            <w:r>
              <w:rPr>
                <w:rFonts w:hint="eastAsia" w:ascii="宋体" w:hAnsi="宋体" w:cs="宋体"/>
                <w:sz w:val="24"/>
                <w:highlight w:val="none"/>
              </w:rPr>
              <w:t>电话：</w:t>
            </w:r>
          </w:p>
        </w:tc>
      </w:tr>
      <w:tr w14:paraId="6BFEEB99">
        <w:tblPrEx>
          <w:tblCellMar>
            <w:top w:w="0" w:type="dxa"/>
            <w:left w:w="108" w:type="dxa"/>
            <w:bottom w:w="0" w:type="dxa"/>
            <w:right w:w="108" w:type="dxa"/>
          </w:tblCellMar>
        </w:tblPrEx>
        <w:trPr>
          <w:trHeight w:val="454" w:hRule="atLeast"/>
        </w:trPr>
        <w:tc>
          <w:tcPr>
            <w:tcW w:w="4201" w:type="dxa"/>
            <w:vAlign w:val="center"/>
          </w:tcPr>
          <w:p w14:paraId="69A83C84">
            <w:pPr>
              <w:spacing w:line="360" w:lineRule="auto"/>
              <w:ind w:firstLine="480" w:firstLineChars="200"/>
              <w:rPr>
                <w:rFonts w:ascii="宋体"/>
                <w:sz w:val="24"/>
                <w:highlight w:val="none"/>
              </w:rPr>
            </w:pPr>
            <w:r>
              <w:rPr>
                <w:rFonts w:hint="eastAsia" w:ascii="宋体" w:hAnsi="宋体" w:cs="宋体"/>
                <w:sz w:val="24"/>
                <w:highlight w:val="none"/>
              </w:rPr>
              <w:t>传真：</w:t>
            </w:r>
          </w:p>
        </w:tc>
        <w:tc>
          <w:tcPr>
            <w:tcW w:w="4202" w:type="dxa"/>
            <w:vAlign w:val="center"/>
          </w:tcPr>
          <w:p w14:paraId="05113E82">
            <w:pPr>
              <w:spacing w:line="360" w:lineRule="auto"/>
              <w:ind w:firstLine="480" w:firstLineChars="200"/>
              <w:rPr>
                <w:rFonts w:ascii="宋体"/>
                <w:sz w:val="24"/>
                <w:highlight w:val="none"/>
              </w:rPr>
            </w:pPr>
            <w:r>
              <w:rPr>
                <w:rFonts w:hint="eastAsia" w:ascii="宋体" w:hAnsi="宋体" w:cs="宋体"/>
                <w:sz w:val="24"/>
                <w:highlight w:val="none"/>
              </w:rPr>
              <w:t>传真：</w:t>
            </w:r>
          </w:p>
        </w:tc>
      </w:tr>
      <w:tr w14:paraId="0BC700DD">
        <w:tblPrEx>
          <w:tblCellMar>
            <w:top w:w="0" w:type="dxa"/>
            <w:left w:w="108" w:type="dxa"/>
            <w:bottom w:w="0" w:type="dxa"/>
            <w:right w:w="108" w:type="dxa"/>
          </w:tblCellMar>
        </w:tblPrEx>
        <w:trPr>
          <w:trHeight w:val="454" w:hRule="atLeast"/>
        </w:trPr>
        <w:tc>
          <w:tcPr>
            <w:tcW w:w="4201" w:type="dxa"/>
            <w:vAlign w:val="center"/>
          </w:tcPr>
          <w:p w14:paraId="4FDD1347">
            <w:pPr>
              <w:spacing w:line="360" w:lineRule="auto"/>
              <w:ind w:firstLine="480" w:firstLineChars="200"/>
              <w:rPr>
                <w:rFonts w:ascii="宋体"/>
                <w:sz w:val="24"/>
                <w:highlight w:val="none"/>
              </w:rPr>
            </w:pPr>
            <w:r>
              <w:rPr>
                <w:rFonts w:hint="eastAsia" w:ascii="宋体" w:hAnsi="宋体" w:cs="宋体"/>
                <w:sz w:val="24"/>
                <w:highlight w:val="none"/>
              </w:rPr>
              <w:t>开户银行：</w:t>
            </w:r>
          </w:p>
        </w:tc>
        <w:tc>
          <w:tcPr>
            <w:tcW w:w="4202" w:type="dxa"/>
            <w:vAlign w:val="center"/>
          </w:tcPr>
          <w:p w14:paraId="511B502E">
            <w:pPr>
              <w:spacing w:line="360" w:lineRule="auto"/>
              <w:ind w:firstLine="480" w:firstLineChars="200"/>
              <w:rPr>
                <w:rFonts w:ascii="宋体"/>
                <w:sz w:val="24"/>
                <w:highlight w:val="none"/>
              </w:rPr>
            </w:pPr>
            <w:r>
              <w:rPr>
                <w:rFonts w:hint="eastAsia" w:ascii="宋体" w:hAnsi="宋体" w:cs="宋体"/>
                <w:sz w:val="24"/>
                <w:highlight w:val="none"/>
              </w:rPr>
              <w:t>开户银行：</w:t>
            </w:r>
          </w:p>
        </w:tc>
      </w:tr>
      <w:tr w14:paraId="2BB15605">
        <w:tblPrEx>
          <w:tblCellMar>
            <w:top w:w="0" w:type="dxa"/>
            <w:left w:w="108" w:type="dxa"/>
            <w:bottom w:w="0" w:type="dxa"/>
            <w:right w:w="108" w:type="dxa"/>
          </w:tblCellMar>
        </w:tblPrEx>
        <w:trPr>
          <w:trHeight w:val="454" w:hRule="atLeast"/>
        </w:trPr>
        <w:tc>
          <w:tcPr>
            <w:tcW w:w="4201" w:type="dxa"/>
            <w:vAlign w:val="center"/>
          </w:tcPr>
          <w:p w14:paraId="4FCA366F">
            <w:pPr>
              <w:spacing w:line="360" w:lineRule="auto"/>
              <w:ind w:firstLine="480" w:firstLineChars="200"/>
              <w:rPr>
                <w:rFonts w:ascii="宋体"/>
                <w:sz w:val="24"/>
                <w:highlight w:val="none"/>
              </w:rPr>
            </w:pPr>
            <w:r>
              <w:rPr>
                <w:rFonts w:hint="eastAsia" w:ascii="宋体" w:hAnsi="宋体" w:cs="宋体"/>
                <w:sz w:val="24"/>
                <w:highlight w:val="none"/>
              </w:rPr>
              <w:t>日期：</w:t>
            </w:r>
          </w:p>
        </w:tc>
        <w:tc>
          <w:tcPr>
            <w:tcW w:w="4202" w:type="dxa"/>
            <w:vAlign w:val="center"/>
          </w:tcPr>
          <w:p w14:paraId="6134C91A">
            <w:pPr>
              <w:spacing w:line="360" w:lineRule="auto"/>
              <w:ind w:firstLine="480" w:firstLineChars="200"/>
              <w:rPr>
                <w:rFonts w:ascii="宋体"/>
                <w:sz w:val="24"/>
                <w:highlight w:val="none"/>
              </w:rPr>
            </w:pPr>
            <w:r>
              <w:rPr>
                <w:rFonts w:hint="eastAsia" w:ascii="宋体" w:hAnsi="宋体" w:cs="宋体"/>
                <w:sz w:val="24"/>
                <w:highlight w:val="none"/>
              </w:rPr>
              <w:t>日期：</w:t>
            </w:r>
          </w:p>
        </w:tc>
      </w:tr>
    </w:tbl>
    <w:p w14:paraId="65DF95C1">
      <w:pPr>
        <w:pStyle w:val="2"/>
        <w:rPr>
          <w:rFonts w:ascii="Lucida Sans Unicode" w:hAnsi="Lucida Sans Unicode" w:eastAsia="Lucida Sans Unicode" w:cs="Lucida Sans Unicode"/>
          <w:sz w:val="19"/>
          <w:szCs w:val="19"/>
          <w:highlight w:val="none"/>
        </w:rPr>
      </w:pPr>
    </w:p>
    <w:p w14:paraId="19F6DF51">
      <w:pPr>
        <w:rPr>
          <w:highlight w:val="none"/>
        </w:rPr>
      </w:pPr>
    </w:p>
    <w:p w14:paraId="7ED95B76">
      <w:pPr>
        <w:rPr>
          <w:rFonts w:ascii="Lucida Sans Unicode" w:hAnsi="Lucida Sans Unicode" w:eastAsia="Lucida Sans Unicode" w:cs="Lucida Sans Unicode"/>
          <w:sz w:val="19"/>
          <w:szCs w:val="19"/>
          <w:highlight w:val="none"/>
        </w:rPr>
      </w:pPr>
    </w:p>
    <w:p w14:paraId="28DB726D">
      <w:pPr>
        <w:rPr>
          <w:rFonts w:ascii="Lucida Sans Unicode" w:hAnsi="Lucida Sans Unicode" w:eastAsia="Lucida Sans Unicode" w:cs="Lucida Sans Unicode"/>
          <w:sz w:val="19"/>
          <w:szCs w:val="19"/>
          <w:highlight w:val="none"/>
        </w:rPr>
      </w:pPr>
    </w:p>
    <w:p w14:paraId="54B2F07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8"/>
          <w:szCs w:val="28"/>
          <w:highlight w:val="none"/>
        </w:rPr>
      </w:pPr>
    </w:p>
    <w:p w14:paraId="3A608FD7">
      <w:pPr>
        <w:keepNext w:val="0"/>
        <w:keepLines w:val="0"/>
        <w:pageBreakBefore w:val="0"/>
        <w:widowControl w:val="0"/>
        <w:kinsoku/>
        <w:wordWrap/>
        <w:overflowPunct/>
        <w:topLinePunct w:val="0"/>
        <w:autoSpaceDE/>
        <w:autoSpaceDN/>
        <w:bidi w:val="0"/>
        <w:adjustRightInd/>
        <w:snapToGrid/>
        <w:spacing w:line="312" w:lineRule="auto"/>
        <w:ind w:firstLine="562" w:firstLineChars="200"/>
        <w:textAlignment w:val="auto"/>
        <w:rPr>
          <w:rFonts w:hint="eastAsia" w:ascii="宋体" w:hAnsi="宋体" w:eastAsia="宋体" w:cs="宋体"/>
          <w:b/>
          <w:bCs/>
          <w:color w:val="auto"/>
          <w:sz w:val="28"/>
          <w:szCs w:val="28"/>
          <w:highlight w:val="none"/>
        </w:rPr>
      </w:pPr>
    </w:p>
    <w:p w14:paraId="2848900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highlight w:val="none"/>
        </w:rPr>
        <w:br w:type="page"/>
      </w:r>
    </w:p>
    <w:p w14:paraId="6B091715">
      <w:pPr>
        <w:widowControl/>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附件一：XX 年度绿化养护工作内容及费用明细</w:t>
      </w:r>
    </w:p>
    <w:tbl>
      <w:tblPr>
        <w:tblStyle w:val="5"/>
        <w:tblW w:w="49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2468"/>
        <w:gridCol w:w="1330"/>
        <w:gridCol w:w="1743"/>
        <w:gridCol w:w="1604"/>
        <w:gridCol w:w="1330"/>
        <w:gridCol w:w="539"/>
      </w:tblGrid>
      <w:tr w14:paraId="52E67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93E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4A82">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养护服务名称</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FF8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暂定面积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E16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全费用单价限价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（元/㎡/年）</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174EF">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单项费用</w:t>
            </w:r>
          </w:p>
          <w:p w14:paraId="77CEDB95">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（元/季度）</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D1F0C">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单项费用</w:t>
            </w:r>
          </w:p>
          <w:p w14:paraId="6511E2AC">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（元/年）</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D9A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0A889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E6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A992">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绿地养护服务</w:t>
            </w:r>
          </w:p>
          <w:p w14:paraId="1DC69D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（一级绿地）</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BC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u w:val="none"/>
                <w:lang w:val="en-US" w:eastAsia="zh-CN" w:bidi="ar"/>
              </w:rPr>
              <w:t xml:space="preserve">396000.00 </w:t>
            </w:r>
          </w:p>
        </w:tc>
        <w:tc>
          <w:tcPr>
            <w:tcW w:w="8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1F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top"/>
          </w:tcPr>
          <w:p w14:paraId="2B0EB9AF">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top"/>
          </w:tcPr>
          <w:p w14:paraId="6649F991">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top"/>
          </w:tcPr>
          <w:p w14:paraId="72633412">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r>
      <w:tr w14:paraId="3B23D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EBC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3F56">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绿地养护服务</w:t>
            </w:r>
          </w:p>
          <w:p w14:paraId="685388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（二级绿地）</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E2D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u w:val="none"/>
                <w:lang w:val="en-US" w:eastAsia="zh-CN" w:bidi="ar"/>
              </w:rPr>
              <w:t xml:space="preserve">798000.00 </w:t>
            </w:r>
          </w:p>
        </w:tc>
        <w:tc>
          <w:tcPr>
            <w:tcW w:w="8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9A8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top"/>
          </w:tcPr>
          <w:p w14:paraId="1E40714A">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top"/>
          </w:tcPr>
          <w:p w14:paraId="55511D1F">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top"/>
          </w:tcPr>
          <w:p w14:paraId="3F2F4C7A">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r>
      <w:tr w14:paraId="20303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FE3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CE9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防护林带</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0D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u w:val="none"/>
                <w:lang w:val="en-US" w:eastAsia="zh-CN" w:bidi="ar"/>
              </w:rPr>
              <w:t xml:space="preserve">116000.00 </w:t>
            </w:r>
          </w:p>
        </w:tc>
        <w:tc>
          <w:tcPr>
            <w:tcW w:w="8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51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top"/>
          </w:tcPr>
          <w:p w14:paraId="39303775">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top"/>
          </w:tcPr>
          <w:p w14:paraId="61AC8229">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top"/>
          </w:tcPr>
          <w:p w14:paraId="46FFB921">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p>
        </w:tc>
      </w:tr>
      <w:tr w14:paraId="4A316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782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CE6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预留金</w:t>
            </w:r>
          </w:p>
        </w:tc>
        <w:tc>
          <w:tcPr>
            <w:tcW w:w="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DFF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1项</w:t>
            </w:r>
          </w:p>
        </w:tc>
        <w:tc>
          <w:tcPr>
            <w:tcW w:w="26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F76F">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sz w:val="24"/>
                <w:szCs w:val="24"/>
                <w:highlight w:val="none"/>
                <w:lang w:val="zh-TW"/>
              </w:rPr>
              <w:t>107</w:t>
            </w:r>
            <w:r>
              <w:rPr>
                <w:rFonts w:hint="eastAsia" w:ascii="宋体" w:hAnsi="宋体" w:eastAsia="宋体" w:cs="宋体"/>
                <w:sz w:val="24"/>
                <w:szCs w:val="24"/>
                <w:highlight w:val="none"/>
                <w:lang w:val="en-US" w:eastAsia="zh-CN"/>
              </w:rPr>
              <w:t>8500.00</w:t>
            </w:r>
            <w:r>
              <w:rPr>
                <w:rFonts w:hint="eastAsia" w:ascii="宋体" w:hAnsi="宋体" w:eastAsia="宋体" w:cs="宋体"/>
                <w:sz w:val="24"/>
                <w:szCs w:val="24"/>
                <w:highlight w:val="none"/>
                <w:lang w:val="zh-TW"/>
              </w:rPr>
              <w:t>元/年</w:t>
            </w:r>
          </w:p>
        </w:tc>
      </w:tr>
      <w:tr w14:paraId="37225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6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01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养护费用合计（元）</w:t>
            </w:r>
          </w:p>
        </w:tc>
        <w:tc>
          <w:tcPr>
            <w:tcW w:w="336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9F7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r w14:paraId="12E14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6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5A4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合同价款（总计）（元）</w:t>
            </w:r>
          </w:p>
        </w:tc>
        <w:tc>
          <w:tcPr>
            <w:tcW w:w="336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1B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bl>
    <w:p w14:paraId="4DECA0FE">
      <w:pPr>
        <w:widowControl/>
        <w:spacing w:line="360" w:lineRule="auto"/>
        <w:outlineLvl w:val="9"/>
        <w:rPr>
          <w:rFonts w:hint="eastAsia" w:ascii="宋体" w:hAnsi="宋体" w:eastAsia="宋体" w:cs="宋体"/>
          <w:color w:val="auto"/>
          <w:sz w:val="24"/>
          <w:szCs w:val="24"/>
          <w:highlight w:val="none"/>
        </w:rPr>
      </w:pPr>
    </w:p>
    <w:p w14:paraId="4184EBF1">
      <w:pPr>
        <w:widowControl/>
        <w:spacing w:line="360" w:lineRule="auto"/>
        <w:outlineLvl w:val="9"/>
        <w:rPr>
          <w:rFonts w:hint="eastAsia" w:ascii="宋体" w:hAnsi="宋体" w:eastAsia="宋体" w:cs="宋体"/>
          <w:color w:val="auto"/>
          <w:sz w:val="24"/>
          <w:szCs w:val="24"/>
          <w:highlight w:val="none"/>
        </w:rPr>
      </w:pPr>
    </w:p>
    <w:p w14:paraId="28A34FF6">
      <w:pPr>
        <w:widowControl/>
        <w:spacing w:line="360" w:lineRule="auto"/>
        <w:outlineLvl w:val="9"/>
        <w:rPr>
          <w:rFonts w:hint="eastAsia" w:ascii="宋体" w:hAnsi="宋体" w:eastAsia="宋体" w:cs="宋体"/>
          <w:color w:val="auto"/>
          <w:sz w:val="24"/>
          <w:szCs w:val="24"/>
          <w:highlight w:val="none"/>
        </w:rPr>
      </w:pPr>
    </w:p>
    <w:p w14:paraId="12F2376A">
      <w:pPr>
        <w:widowControl/>
        <w:spacing w:line="360" w:lineRule="auto"/>
        <w:outlineLvl w:val="9"/>
        <w:rPr>
          <w:rFonts w:hint="eastAsia" w:ascii="宋体" w:hAnsi="宋体" w:eastAsia="宋体" w:cs="宋体"/>
          <w:color w:val="auto"/>
          <w:sz w:val="24"/>
          <w:szCs w:val="24"/>
          <w:highlight w:val="none"/>
        </w:rPr>
      </w:pPr>
    </w:p>
    <w:p w14:paraId="51F7AD49">
      <w:pPr>
        <w:widowControl/>
        <w:spacing w:line="360" w:lineRule="auto"/>
        <w:outlineLvl w:val="9"/>
        <w:rPr>
          <w:rFonts w:hint="eastAsia" w:ascii="宋体" w:hAnsi="宋体" w:eastAsia="宋体" w:cs="宋体"/>
          <w:color w:val="auto"/>
          <w:sz w:val="24"/>
          <w:szCs w:val="24"/>
          <w:highlight w:val="none"/>
        </w:rPr>
      </w:pPr>
    </w:p>
    <w:p w14:paraId="1402570B">
      <w:pPr>
        <w:widowControl/>
        <w:spacing w:line="360" w:lineRule="auto"/>
        <w:outlineLvl w:val="9"/>
        <w:rPr>
          <w:rFonts w:hint="eastAsia" w:ascii="宋体" w:hAnsi="宋体" w:eastAsia="宋体" w:cs="宋体"/>
          <w:color w:val="auto"/>
          <w:sz w:val="24"/>
          <w:szCs w:val="24"/>
          <w:highlight w:val="none"/>
        </w:rPr>
      </w:pPr>
    </w:p>
    <w:p w14:paraId="7E0EF73E">
      <w:pPr>
        <w:widowControl/>
        <w:spacing w:line="360" w:lineRule="auto"/>
        <w:outlineLvl w:val="9"/>
        <w:rPr>
          <w:rFonts w:hint="eastAsia" w:ascii="宋体" w:hAnsi="宋体" w:eastAsia="宋体" w:cs="宋体"/>
          <w:color w:val="auto"/>
          <w:sz w:val="24"/>
          <w:szCs w:val="24"/>
          <w:highlight w:val="none"/>
        </w:rPr>
      </w:pPr>
    </w:p>
    <w:p w14:paraId="203CB97A">
      <w:pPr>
        <w:widowControl/>
        <w:spacing w:line="360" w:lineRule="auto"/>
        <w:outlineLvl w:val="9"/>
        <w:rPr>
          <w:rFonts w:hint="eastAsia" w:ascii="宋体" w:hAnsi="宋体" w:eastAsia="宋体" w:cs="宋体"/>
          <w:color w:val="auto"/>
          <w:sz w:val="24"/>
          <w:szCs w:val="24"/>
          <w:highlight w:val="none"/>
        </w:rPr>
      </w:pPr>
    </w:p>
    <w:p w14:paraId="1715CAC9">
      <w:pPr>
        <w:widowControl/>
        <w:spacing w:line="360" w:lineRule="auto"/>
        <w:outlineLvl w:val="9"/>
        <w:rPr>
          <w:rFonts w:hint="eastAsia" w:ascii="宋体" w:hAnsi="宋体" w:eastAsia="宋体" w:cs="宋体"/>
          <w:color w:val="auto"/>
          <w:sz w:val="24"/>
          <w:szCs w:val="24"/>
          <w:highlight w:val="none"/>
        </w:rPr>
      </w:pPr>
    </w:p>
    <w:p w14:paraId="17B4884A">
      <w:pPr>
        <w:widowControl/>
        <w:spacing w:line="360" w:lineRule="auto"/>
        <w:outlineLvl w:val="9"/>
        <w:rPr>
          <w:rFonts w:hint="eastAsia" w:ascii="宋体" w:hAnsi="宋体" w:eastAsia="宋体" w:cs="宋体"/>
          <w:color w:val="auto"/>
          <w:sz w:val="24"/>
          <w:szCs w:val="24"/>
          <w:highlight w:val="none"/>
        </w:rPr>
      </w:pPr>
    </w:p>
    <w:p w14:paraId="0FE0DDBC">
      <w:pPr>
        <w:widowControl/>
        <w:spacing w:line="360" w:lineRule="auto"/>
        <w:outlineLvl w:val="9"/>
        <w:rPr>
          <w:rFonts w:hint="eastAsia" w:ascii="宋体" w:hAnsi="宋体" w:eastAsia="宋体" w:cs="宋体"/>
          <w:color w:val="auto"/>
          <w:sz w:val="24"/>
          <w:szCs w:val="24"/>
          <w:highlight w:val="none"/>
        </w:rPr>
      </w:pPr>
    </w:p>
    <w:p w14:paraId="46097A3E">
      <w:pPr>
        <w:widowControl/>
        <w:spacing w:line="360" w:lineRule="auto"/>
        <w:outlineLvl w:val="9"/>
        <w:rPr>
          <w:rFonts w:hint="eastAsia" w:ascii="宋体" w:hAnsi="宋体" w:eastAsia="宋体" w:cs="宋体"/>
          <w:color w:val="auto"/>
          <w:sz w:val="24"/>
          <w:szCs w:val="24"/>
          <w:highlight w:val="none"/>
        </w:rPr>
      </w:pPr>
    </w:p>
    <w:p w14:paraId="1B0CFB31">
      <w:pPr>
        <w:widowControl/>
        <w:spacing w:line="360" w:lineRule="auto"/>
        <w:outlineLvl w:val="9"/>
        <w:rPr>
          <w:rFonts w:hint="eastAsia" w:ascii="宋体" w:hAnsi="宋体" w:eastAsia="宋体" w:cs="宋体"/>
          <w:color w:val="auto"/>
          <w:sz w:val="24"/>
          <w:szCs w:val="24"/>
          <w:highlight w:val="none"/>
        </w:rPr>
      </w:pPr>
    </w:p>
    <w:p w14:paraId="28E67765">
      <w:pPr>
        <w:widowControl/>
        <w:spacing w:line="360" w:lineRule="auto"/>
        <w:outlineLvl w:val="9"/>
        <w:rPr>
          <w:rFonts w:hint="eastAsia" w:ascii="宋体" w:hAnsi="宋体" w:eastAsia="宋体" w:cs="宋体"/>
          <w:color w:val="auto"/>
          <w:sz w:val="24"/>
          <w:szCs w:val="24"/>
          <w:highlight w:val="none"/>
        </w:rPr>
      </w:pPr>
    </w:p>
    <w:p w14:paraId="4BCBF734">
      <w:pPr>
        <w:widowControl/>
        <w:spacing w:line="360" w:lineRule="auto"/>
        <w:outlineLvl w:val="9"/>
        <w:rPr>
          <w:rFonts w:hint="eastAsia" w:ascii="宋体" w:hAnsi="宋体" w:eastAsia="宋体" w:cs="宋体"/>
          <w:color w:val="auto"/>
          <w:sz w:val="24"/>
          <w:szCs w:val="24"/>
          <w:highlight w:val="none"/>
        </w:rPr>
      </w:pPr>
    </w:p>
    <w:p w14:paraId="05E2B503">
      <w:pPr>
        <w:widowControl/>
        <w:spacing w:line="360" w:lineRule="auto"/>
        <w:outlineLvl w:val="9"/>
        <w:rPr>
          <w:rFonts w:hint="eastAsia" w:ascii="宋体" w:hAnsi="宋体" w:eastAsia="宋体" w:cs="宋体"/>
          <w:b/>
          <w:bCs/>
          <w:color w:val="auto"/>
          <w:sz w:val="28"/>
          <w:szCs w:val="28"/>
          <w:highlight w:val="none"/>
        </w:rPr>
      </w:pPr>
    </w:p>
    <w:p w14:paraId="2245CFE7">
      <w:pPr>
        <w:widowControl/>
        <w:spacing w:line="360" w:lineRule="auto"/>
        <w:outlineLvl w:val="9"/>
        <w:rPr>
          <w:rFonts w:hint="eastAsia" w:ascii="宋体" w:hAnsi="宋体" w:eastAsia="宋体" w:cs="宋体"/>
          <w:b/>
          <w:bCs/>
          <w:color w:val="auto"/>
          <w:sz w:val="28"/>
          <w:szCs w:val="28"/>
          <w:highlight w:val="none"/>
        </w:rPr>
      </w:pPr>
    </w:p>
    <w:p w14:paraId="574ACA4F">
      <w:pPr>
        <w:widowControl/>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附件二：西安浐灞国际港园林绿化养护管理标准</w:t>
      </w:r>
    </w:p>
    <w:p w14:paraId="444A1159">
      <w:pP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西安浐灞国际港园林绿化养护管理标准</w:t>
      </w:r>
    </w:p>
    <w:p w14:paraId="6681823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为巩固绿化建设成果，提高绿化养护质量，维护绿化养护市场的正常秩序，根据《国家园林城市标准》、《西安市城市绿化管理条例》和有关文件，结合绿化建设管理的实际情况，制订西安浐灞国际港绿化养护管理标准。</w:t>
      </w:r>
    </w:p>
    <w:p w14:paraId="773B6A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绿化养护管理标准中相关术语和定义：</w:t>
      </w:r>
    </w:p>
    <w:p w14:paraId="7F9B74E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1、乔木</w:t>
      </w:r>
    </w:p>
    <w:p w14:paraId="2465EC2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主干明显而直立，树体高大的木本植物。</w:t>
      </w:r>
    </w:p>
    <w:p w14:paraId="692349E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2、灌木</w:t>
      </w:r>
    </w:p>
    <w:p w14:paraId="07D9BD8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树体矮小,无明显主干或枝干丛生的木本植物。</w:t>
      </w:r>
    </w:p>
    <w:p w14:paraId="4CDDABC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3、藤本植物</w:t>
      </w:r>
    </w:p>
    <w:p w14:paraId="31E58EB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依靠缠绕或攀附他物而向上生长的木本或草本植物。</w:t>
      </w:r>
    </w:p>
    <w:p w14:paraId="10EABC4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4、草坪</w:t>
      </w:r>
    </w:p>
    <w:p w14:paraId="1F3C17E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草本植物经人工种植或改造后形成的具有观赏效果，并能供人适度活动。</w:t>
      </w:r>
    </w:p>
    <w:p w14:paraId="63CD33C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5、行道树</w:t>
      </w:r>
    </w:p>
    <w:p w14:paraId="2F24061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沿道路或公路旁种植的乔木。</w:t>
      </w:r>
    </w:p>
    <w:p w14:paraId="0C1E1D2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6、地被植物</w:t>
      </w:r>
    </w:p>
    <w:p w14:paraId="43EE12A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株丛密集、低矮，用于覆盖地面的植物。</w:t>
      </w:r>
    </w:p>
    <w:p w14:paraId="3DEB252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7、绿篱</w:t>
      </w:r>
    </w:p>
    <w:p w14:paraId="2C0B6FE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成行密植，作造型修剪而形成的植物墙。</w:t>
      </w:r>
    </w:p>
    <w:p w14:paraId="0795EAF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8、古树名木</w:t>
      </w:r>
    </w:p>
    <w:p w14:paraId="48D606D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古树泛指树龄在百年以上的树木；名木泛指珍贵、稀有或具有历史、科学、文化价值以及有重要纪念意义的树木，也指历史和现代名人种植的树木，或具有历史事件、传说及神话故事的树木。</w:t>
      </w:r>
    </w:p>
    <w:p w14:paraId="036118B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9、修剪</w:t>
      </w:r>
    </w:p>
    <w:p w14:paraId="71B5C1F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对苗木枝干和根系进行疏剪或短截。</w:t>
      </w:r>
    </w:p>
    <w:p w14:paraId="3122B28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10、灌溉</w:t>
      </w:r>
    </w:p>
    <w:p w14:paraId="553833D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为调节土壤温度和土壤水分，满足植物对水分的需要而采取的人工引水浇灌的措施。</w:t>
      </w:r>
    </w:p>
    <w:p w14:paraId="24CA28E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11、施肥</w:t>
      </w:r>
    </w:p>
    <w:p w14:paraId="58937BA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在植物生长和发育过程中，为补充所需的各种营养元素而施用肥料的措施。</w:t>
      </w:r>
    </w:p>
    <w:p w14:paraId="2AF95E9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12、除草</w:t>
      </w:r>
    </w:p>
    <w:p w14:paraId="27C1973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植物生长期间人工或采用除草剂去除目的植物以外杂草的措施。</w:t>
      </w:r>
    </w:p>
    <w:p w14:paraId="0A7B38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13、病虫害防治</w:t>
      </w:r>
    </w:p>
    <w:p w14:paraId="13CAFF1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对各种植物病害、虫害进行预防和治疗。</w:t>
      </w:r>
    </w:p>
    <w:p w14:paraId="0CEB961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14、园林植物养护管理</w:t>
      </w:r>
    </w:p>
    <w:p w14:paraId="6E6BEAF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对园林植物采取灌溉、排涝、修剪、防治病虫、防寒、支撑、除草、中耕、施肥等技术措施。</w:t>
      </w:r>
    </w:p>
    <w:p w14:paraId="3A2AE0B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15、黄土不裸露</w:t>
      </w:r>
    </w:p>
    <w:p w14:paraId="7B61CEE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利用草坪等地被植物或树皮等其它材料，对绿地内和树冠下的裸露土地进行覆盖，以期达到绿化、美化、抑尘和保墒的目的。</w:t>
      </w:r>
    </w:p>
    <w:p w14:paraId="0B3D671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园区内各类绿地、树木、花卉、草坪养护管理中应遵循以下原则:</w:t>
      </w:r>
    </w:p>
    <w:p w14:paraId="15A03F7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1、符合植物的生长习性。</w:t>
      </w:r>
    </w:p>
    <w:p w14:paraId="74D2D7A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2、符合不同类型绿地的功能和景观要求。</w:t>
      </w:r>
    </w:p>
    <w:p w14:paraId="1676C6C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3、符合生态环境保护要求。</w:t>
      </w:r>
    </w:p>
    <w:p w14:paraId="5C1C938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乔木及行道树管理标准：</w:t>
      </w:r>
    </w:p>
    <w:p w14:paraId="51B09A9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1、树形及观赏特性要求</w:t>
      </w:r>
    </w:p>
    <w:p w14:paraId="490BA6D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（1）生长健壮，树冠丰满，主侧枝分布均匀、数量适宜，整型树木造型美观。</w:t>
      </w:r>
    </w:p>
    <w:p w14:paraId="027D039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（2）树叶生长茂盛，一般条件下无黄叶、焦叶、卷叶。</w:t>
      </w:r>
    </w:p>
    <w:p w14:paraId="06FD6DD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（3）树干不得有钻蛀性害虫危害，叶上无虫粪、虫网、病斑及被啃食叶片每株低于5%。生长季节无枯黄叶株，落叶在 10%以下。</w:t>
      </w:r>
    </w:p>
    <w:p w14:paraId="535D4B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（4）枝干健壮，无明显枯枝死杈。枝条粗壮，无明显的人为损坏。</w:t>
      </w:r>
    </w:p>
    <w:p w14:paraId="7ECF8B8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（5）树木保存率99%以上；及时补栽成活率95%以上。</w:t>
      </w:r>
    </w:p>
    <w:p w14:paraId="1602649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（6）行道树无缺株；新补植树同原有树种、规格、定干高度一致，有支撑措施；行道树及林荫广场树池保持覆盖植物生长良好和硬质覆盖材料完整；树池内无垃圾及杂草。</w:t>
      </w:r>
    </w:p>
    <w:p w14:paraId="71A7DEC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003B1D7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（1）大型景观乔木应每两年进行一次开挖深施肥工作，小型乔木应每年一次，肥料选取以有机肥为宜。施肥量应适宜，并且严格按照植物生长特性及需求制定施肥计划。</w:t>
      </w:r>
    </w:p>
    <w:p w14:paraId="38E656B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（2）根据季节和生长情况适时灌溉排水，保持适当水分。不耐寒植物冬季必须浇灌防冻水，观花乔木加强春季浇水，促进植物开花长叶。对于喜水及浅根系植物、新栽植乔木，每年灌溉次数不得少于10次。</w:t>
      </w:r>
    </w:p>
    <w:p w14:paraId="57DE7CA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3、修剪及日常管理</w:t>
      </w:r>
    </w:p>
    <w:p w14:paraId="17E7879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（1）修剪</w:t>
      </w:r>
    </w:p>
    <w:p w14:paraId="776A0E1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全年修剪至少1次，主要以除枯枝、病虫枝、徒长枝；剪口平整，大型切口必须涂抹防腐药剂；根据植物种类习性制定修剪方法，严禁违规操作。</w:t>
      </w:r>
    </w:p>
    <w:p w14:paraId="711AD3E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（2）支柱、扶正</w:t>
      </w:r>
    </w:p>
    <w:p w14:paraId="50C3F64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倾斜度超过10度的树木，须进行扶正，落叶树在休眠期进行，常绿树在萌芽前进行。扶正前应先疏剪部分枝桠或进行短截，确保扶正树木的成活。新栽大树和扶正后的树木应进行支柱。支柱材料在同一路段或区域内应当统一，支柱方式要规范、整齐。支柱着力点应超过树高的1/2以上，支柱材料在着力点与树干接触处应铺垫软质材料，以免损伤树皮。每年雨季前要对支柱进行一次全面检查，对松动的支柱要及时加固， 对嵌入树皮的捆扎物要及时解除。</w:t>
      </w:r>
    </w:p>
    <w:p w14:paraId="5E64CA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灌木和花卉管理标准:</w:t>
      </w:r>
    </w:p>
    <w:p w14:paraId="716475E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1、观赏特性要求</w:t>
      </w:r>
    </w:p>
    <w:p w14:paraId="735E8E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（1）灌木</w:t>
      </w:r>
    </w:p>
    <w:p w14:paraId="66EE41A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长势良好，枝多叶茂，下部不光秃，无枯枝残叶，植株整齐一致。</w:t>
      </w:r>
    </w:p>
    <w:p w14:paraId="1B2B896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（2）绿地花卉</w:t>
      </w:r>
    </w:p>
    <w:p w14:paraId="54D5378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时开花，花多色艳。花坛轮廓清晰，无残缺，灌木丛中无垃圾、无病枝枯枝和落叶堆积。花谢后及时将残花残枝剪去，常年开花植物要有目的地培养花枝，延长花期。灌木和花坛整形效果要与周围环境协调，增强园林美化效果。</w:t>
      </w:r>
    </w:p>
    <w:p w14:paraId="7B234A4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（3）绿篱、色块</w:t>
      </w:r>
    </w:p>
    <w:p w14:paraId="488E417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植株生长健壮，枝叶繁茂；修剪及时，整齐一致，轮廓清晰，线条流畅，层次分明，无死株断垄现象。</w:t>
      </w:r>
    </w:p>
    <w:p w14:paraId="7AAE25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（4）露地花卉（街景花卉布置）</w:t>
      </w:r>
    </w:p>
    <w:p w14:paraId="1902BC8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生长健壮，整齐一致，无病虫害，无残花败叶。适时开花，适时更换，保证景观效果。</w:t>
      </w:r>
    </w:p>
    <w:p w14:paraId="0BA1536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39DD8F5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（1）灌溉</w:t>
      </w:r>
    </w:p>
    <w:p w14:paraId="0392309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要根据植物的生长及开花特性进行合理灌溉。在雨水缺少的季节，适时灌溉。</w:t>
      </w:r>
    </w:p>
    <w:p w14:paraId="4C974AD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（2）施肥</w:t>
      </w:r>
    </w:p>
    <w:p w14:paraId="7BABE72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一般在每年春、秋季结合除草松土重点施肥 2--3 次。促进花芽分化，花芽分化后要适当追施磷、钾肥，使花多色艳花期长。肥料不能裸露，可采用埋施或水施等不同方法。埋施可先挖穴或开沟，施肥后要回填土、踏实、淋足水，不能裸露。</w:t>
      </w:r>
    </w:p>
    <w:p w14:paraId="3E022EC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3、修剪及除杂</w:t>
      </w:r>
    </w:p>
    <w:p w14:paraId="1DBDADF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（1）除杂、松土</w:t>
      </w:r>
    </w:p>
    <w:p w14:paraId="688B87A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灌木丛周边无杂草，松土深度不小于10厘米，并低于周围表土5厘米。除杂松土时要保护根系，不能伤根及造成根系裸露，更不能造成黄土裸露。</w:t>
      </w:r>
    </w:p>
    <w:p w14:paraId="7436A17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（2）修剪</w:t>
      </w:r>
    </w:p>
    <w:p w14:paraId="69BE75A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灌木和花卉的修剪做到既造型美观又能适时开花，年修剪次数不得少于8次。花灌木和草本花卉在花芽分化前进行修剪，应避免把花芽剪掉；对于大型灌木应根据生长情况组织冬秋季修剪。</w:t>
      </w:r>
    </w:p>
    <w:p w14:paraId="2EF332E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绿篱、色块不得出现失修现象，枝条冒顶高度不得高于10cm；灌木球应按照造型要求进行修剪，不得出现失修及冒顶现象其他植物根据不同生态习性及景观要求，及时去除不符合造型的枝条。</w:t>
      </w:r>
    </w:p>
    <w:p w14:paraId="4AACE64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（3）补植、更换</w:t>
      </w:r>
    </w:p>
    <w:p w14:paraId="4785EC2C">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出现死苗，要在清理当天及时补植。补植回原来的种类并力求规格与原来植株接近，以保证优良的景观效果。补植按照种植规范进行，施足基肥并加强浇水等保养措施， 保证成活率达98％以上。对已呈老化或明显与周围环境不协调的灌木和花卉应及时进行更换，更换品种要事先征得绿化主管部门的批准。</w:t>
      </w:r>
    </w:p>
    <w:p w14:paraId="5FFDC9F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草坪及地被植物管理标准：</w:t>
      </w:r>
    </w:p>
    <w:p w14:paraId="504CFC4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1、观赏特性要求</w:t>
      </w:r>
    </w:p>
    <w:p w14:paraId="5176DF4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势旺盛，叶片健壮，叶色浓绿，无枯黄叶。修剪及时，高度适宜，无病虫害。覆盖率不低于99%，无明显杂草。草坪绿色期：冷季型草不少于280天，暖季型草不少于260天。坪地平整，无坑洼积水，无秃斑，无板结现象。</w:t>
      </w:r>
    </w:p>
    <w:p w14:paraId="47E52AF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2、水肥及日常管理</w:t>
      </w:r>
    </w:p>
    <w:p w14:paraId="06C6A2B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（1）灌溉</w:t>
      </w:r>
    </w:p>
    <w:p w14:paraId="3480A6C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根据草坪植物的生长需要加强淋水和施肥，保证水肥充足，施用肥料的方法和用量要科学，防止过量或不均匀引起肥伤。在雨水缺少的季节，适时灌溉。景观草坪春秋季应在每周进行一次浇灌，夏季应在两天进行一次浇灌。保证土壤表层5～7cm范围内土壤墒情良好。在春季应对景观草坪浇灌返青水；冬季必须对景观草坪浇灌防冻水。</w:t>
      </w:r>
    </w:p>
    <w:p w14:paraId="703081E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（2）施肥</w:t>
      </w:r>
    </w:p>
    <w:p w14:paraId="3EE44AD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在植物休眠期及返青期间应增加淋水施肥，适当进行根外追肥，使草坪保持优良的长势。</w:t>
      </w:r>
    </w:p>
    <w:p w14:paraId="2A4555E1">
      <w:pPr>
        <w:widowControl/>
        <w:numPr>
          <w:ilvl w:val="0"/>
          <w:numId w:val="1"/>
        </w:num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除草、松土</w:t>
      </w:r>
    </w:p>
    <w:p w14:paraId="0E41C6B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及时清除杂草，方法合理彻底。草坪纯度标准为每平方米不超过10株非目的草种。由于植物生长、受践踏、土壤板结等需要松土的，要采用打孔疏松、切割等措施，利于草坪生长，景观草坪每年不少于2 次。</w:t>
      </w:r>
    </w:p>
    <w:p w14:paraId="6163499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（4）补植</w:t>
      </w:r>
    </w:p>
    <w:p w14:paraId="675B028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对破坏或其它原因引起死亡的草坪植物应及时补植，使草坪保持完整，无裸露地。补植要补与原草坪相同的草种，适当密植，补植后加强保养，保证一个月内覆盖率达98％以上。</w:t>
      </w:r>
    </w:p>
    <w:p w14:paraId="07C72E3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3、植物修剪</w:t>
      </w:r>
    </w:p>
    <w:p w14:paraId="3A5EAF1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观花地被植物，须在开花后适当压低，或者结合种子采收，适当修剪；草坪要考虑季节特点和草种的生长发育特性，使草的高度一致，边缘整齐，枯黄叶片要及时清理。草地与路(花)基、色块的分界宽度不超过8厘米；分车绿化带的草坪植物不得超出路基外缘；对于已经老化部分经予以更换。</w:t>
      </w:r>
    </w:p>
    <w:p w14:paraId="58CC864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藤本、攀缘植物管理标准：</w:t>
      </w:r>
    </w:p>
    <w:p w14:paraId="73203C7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w:t>
      </w:r>
    </w:p>
    <w:p w14:paraId="4A52DF5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植株生长健壮，适时采取相应的牵引、设置网架等技术措施；视攀缘植物生长习性，覆盖率不低于90%；观花的攀缘植物适时开花，花繁色艳。</w:t>
      </w:r>
    </w:p>
    <w:p w14:paraId="244BBEE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2、整形修剪</w:t>
      </w:r>
    </w:p>
    <w:p w14:paraId="6D2729F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植物生理特性进行牵引和翻蔓；严格按照自然生长规律对植物进行修剪整形；及时去除老化植株；藤本植物的修剪应以促进分枝为主，并剪除徒长枝和下垂枝；多年生的藤本植物应定期翻蔓，清除枯枝，疏删老弱藤蔓；每年常规修剪1次，每隔2-3年应理藤1次，理顺分布方向，使叶蔓分布均匀、厚度相等，并应依不同类型及生长状况及时牵引。</w:t>
      </w:r>
    </w:p>
    <w:p w14:paraId="5E52CA3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3、水肥管理</w:t>
      </w:r>
    </w:p>
    <w:p w14:paraId="108139A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（1）灌溉</w:t>
      </w:r>
    </w:p>
    <w:p w14:paraId="4875C6B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要根据植物的生长及开花特性进行合理灌溉。在雨水缺少的季节，适时灌溉。</w:t>
      </w:r>
    </w:p>
    <w:p w14:paraId="0F4FAD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（2）施肥</w:t>
      </w:r>
    </w:p>
    <w:p w14:paraId="3ABF0AC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春、秋季结合除草松土重点施肥2-3次。促进花芽分化，花芽分化后要适当追施磷、钾肥，使花多色艳花期长。肥料不能裸露，可采用埋施或水施等不同方法。埋施可先挖穴或开沟，施肥后要回填土、踏实、淋足水，不能裸露。</w:t>
      </w:r>
    </w:p>
    <w:p w14:paraId="78CD7C3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水生植物管理标准：</w:t>
      </w:r>
    </w:p>
    <w:p w14:paraId="53BF90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1、观赏特性</w:t>
      </w:r>
    </w:p>
    <w:p w14:paraId="10B722A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植株生长正常，无大量缺失，植物造型优美，无病虫植物，对死亡植株清理及时，无倒伏现象。水面上水生植物的覆盖度应小于水域面积的30％，漂浮植物或浮水植物应进行围合，固定其位置和范围。因繁殖而密度过大时，应剔除部分老弱植株。</w:t>
      </w:r>
    </w:p>
    <w:p w14:paraId="41D97B7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1AF4C09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于冬季对栽植区进行有机肥料增施，严禁随意使用化肥。沿岸或挺水植物，每年至少应施肥1次。施肥应以腐熟的有机肥为主，应用可分解的纸袋装肥或用泥做成团施入泥中定期对水域进行换水，防止水质变差影响景观效果。在水生植物群落营造前期和幼苗期，应加强人工维护，去除该群落中生长的其他品种的水生植物和杂草。</w:t>
      </w:r>
    </w:p>
    <w:p w14:paraId="2853C17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3、日常管理</w:t>
      </w:r>
    </w:p>
    <w:p w14:paraId="7F9B28B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水生植物应随着立叶或浮叶的生长调节水位。为避免蚊虫孳生或水质恶化，当用水发生混浊时，即必须换水，夏季则须增加换水次数。</w:t>
      </w:r>
    </w:p>
    <w:p w14:paraId="01FB440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竹类管理标准：</w:t>
      </w:r>
    </w:p>
    <w:p w14:paraId="6846464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1、景观特性</w:t>
      </w:r>
    </w:p>
    <w:p w14:paraId="3548253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生长正常，竹干疏密有间，无病虫害。</w:t>
      </w:r>
    </w:p>
    <w:p w14:paraId="03AE16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2、水肥管理</w:t>
      </w:r>
    </w:p>
    <w:p w14:paraId="10C1B89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竹类浇水要抓住关键季节，春季出笋前要浇足催笋水，5、6月要浇拔节水，夏季雨水充沛可不浇或少浇，秋季浇孕笋水，冬季过于干旱的可适当喷水。施肥以有机肥为主，时间以11-12月为宜。</w:t>
      </w:r>
    </w:p>
    <w:p w14:paraId="3DE46CE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3、日常管理及其他</w:t>
      </w:r>
    </w:p>
    <w:p w14:paraId="235B87E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竹林要每年培土，厚度以5厘米为宜，时间利用冬季。及时做好病虫害的防治工作，加强抚育管理，合理砍伐，使林内通风透光，及早砍除病竹烧毁。</w:t>
      </w:r>
    </w:p>
    <w:p w14:paraId="5F34E2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植物保护及其它工作：</w:t>
      </w:r>
    </w:p>
    <w:p w14:paraId="1106B99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1、工作原则</w:t>
      </w:r>
    </w:p>
    <w:p w14:paraId="1BA08BB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日常精心养护，增强植物抗病虫害能力。要及时做好病虫害的防治工作，坚持预防为主，防治结合的植保方针。早发现早处理，采取综合防治、化学防治、物理人工防治和生物防治等方法防止病虫害蔓延和影响植物生长。尽量采用生物防治的办法，以减少对环境的污染。用化学方法防治时，喷药一般要在晚上进行；药物品种、药剂用量及对环境的影响，要符合环保的要求和标准。同时严格按照工作流程进行， 严禁无防护措施进行化学防治操作。</w:t>
      </w:r>
    </w:p>
    <w:p w14:paraId="68A3E9E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2、作业要求</w:t>
      </w:r>
    </w:p>
    <w:p w14:paraId="46905DB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（1）植物枝、干、叶均无明显病虫害危害痕迹。</w:t>
      </w:r>
    </w:p>
    <w:p w14:paraId="13360DC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（2）根据测报制定长期及短期防治方案。及时、准确、彻底防治病虫害发生。</w:t>
      </w:r>
    </w:p>
    <w:p w14:paraId="7739869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（3）全年病虫发生率控制在5％以下；不得出现病虫害大规模爆发现象。</w:t>
      </w:r>
    </w:p>
    <w:p w14:paraId="65854D9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（4）严禁出现因管理不善而造成的生理性病害（例如：缺水或受涝造成的植物枯死；缺肥或施肥不当造成的生理性黄叶、落叶、小叶等；农药药害造成的枯叶、黄叶、落叶）。</w:t>
      </w:r>
    </w:p>
    <w:p w14:paraId="483AD93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（5）对于不耐寒植物必须进行必要的防护措施。</w:t>
      </w:r>
    </w:p>
    <w:p w14:paraId="40E8E3F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（6）禁止使用高毒农药，药剂配比必须符合规范。喷药时应该设立警示标志，道路绿地警示标志设立密度应在50米-100米范围为宜。</w:t>
      </w:r>
    </w:p>
    <w:p w14:paraId="12BA115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（7）冬季对于植物上积雪应立即清除；对于倒伏树木应加以支撑。</w:t>
      </w:r>
    </w:p>
    <w:p w14:paraId="3381F0A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（8）日常养护人员必须身着工装，并且严格按安全生产规范进行操作。日常养护操作过程中，应按照安全操作要求配备警示及安全防护设备。</w:t>
      </w:r>
    </w:p>
    <w:p w14:paraId="12B3BD1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（9）园内各单位应有科学合理的养护计划，并于每周的周五；每月的28号；每年12月5号前；向主管单位报送详细的养护工作计划及总结。</w:t>
      </w:r>
    </w:p>
    <w:p w14:paraId="3B867E7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（10）出现因为外力造成的植物损伤、倒伏等现象，管护单位应及时发现， 及时处理，不得拖延。</w:t>
      </w:r>
    </w:p>
    <w:p w14:paraId="672E1A1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绿地设施维护要求：</w:t>
      </w:r>
    </w:p>
    <w:p w14:paraId="0CF87B4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绿地设施包括喷灌、照明、音响系统和园路、护栏、坐凳、喷泉、雕塑、移动花钵等景观设施。</w:t>
      </w:r>
    </w:p>
    <w:p w14:paraId="320CDBC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1、喷灌设施</w:t>
      </w:r>
    </w:p>
    <w:p w14:paraId="162F274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保护绿化供水设施，保持喷洒正常、开关灵活、管道无漏水。</w:t>
      </w:r>
    </w:p>
    <w:p w14:paraId="001AD01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2、园林照明、音响设施</w:t>
      </w:r>
    </w:p>
    <w:p w14:paraId="1D24E16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绿地上的灯光、音响，要经常进行检修，发现线路破损、灯泡烧毁、灯罩破损、音箱损坏的要及时进行修复、更换，保持设备正常运作。</w:t>
      </w:r>
    </w:p>
    <w:p w14:paraId="6A943B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3、水池喷泉</w:t>
      </w:r>
    </w:p>
    <w:p w14:paraId="5EC9F3F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保持水面及水池内外清洁，水质良好，水量适度，喷泉运作正常。池壁美观，不漏水，设施完好无损；要求及时清除杂物，定时清洗水池。</w:t>
      </w:r>
    </w:p>
    <w:p w14:paraId="0588DA0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4、护栏</w:t>
      </w:r>
    </w:p>
    <w:p w14:paraId="55AC136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护栏要保持整洁完整,定期清理，不能有倾斜的现象，被</w:t>
      </w:r>
      <w:r>
        <w:rPr>
          <w:rFonts w:hint="eastAsia" w:ascii="宋体" w:hAnsi="宋体" w:eastAsia="宋体" w:cs="宋体"/>
          <w:color w:val="auto"/>
          <w:sz w:val="24"/>
          <w:szCs w:val="24"/>
          <w:highlight w:val="none"/>
          <w:lang w:val="en-US" w:eastAsia="zh-CN"/>
        </w:rPr>
        <w:t>损坏</w:t>
      </w:r>
      <w:r>
        <w:rPr>
          <w:rFonts w:hint="eastAsia" w:ascii="宋体" w:hAnsi="宋体" w:eastAsia="宋体" w:cs="宋体"/>
          <w:color w:val="auto"/>
          <w:sz w:val="24"/>
          <w:szCs w:val="24"/>
          <w:highlight w:val="none"/>
        </w:rPr>
        <w:t>的要及时修补。遇到节日庆典和大型活动应派专人定时定点进行清洗和维护.</w:t>
      </w:r>
    </w:p>
    <w:p w14:paraId="1339B84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5、园路</w:t>
      </w:r>
    </w:p>
    <w:p w14:paraId="42C6367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绿地内园路要保持清洁、美观，完好无损。要及时清除路面垃圾杂物，修补破损并保持完好。</w:t>
      </w:r>
    </w:p>
    <w:p w14:paraId="497F026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6、园林雕塑</w:t>
      </w:r>
    </w:p>
    <w:p w14:paraId="242C77C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园林雕塑要保持整洁、美观，完好无损，对其上的乱涂、乱画、乱张贴要及时清理干净，以增强园林美化效果。</w:t>
      </w:r>
    </w:p>
    <w:p w14:paraId="188A21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7、移动花钵</w:t>
      </w:r>
    </w:p>
    <w:p w14:paraId="6FCF094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花钵内的植物生长旺盛，株形优美，叶片、叶色正常，无病虫害，开花植物要及时清理残花和残枝。花钵表面整洁无垃圾和杂物，钵体无乱划、乱画等现象。</w:t>
      </w:r>
    </w:p>
    <w:p w14:paraId="0C008A3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第十二条 绿地保护工作要求：</w:t>
      </w:r>
    </w:p>
    <w:p w14:paraId="4BB6E35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依法严格执行绿化管理条例，加强人员巡查，规划线内绿地不被侵占，绿地完整。保护绿地内的花草树木不受损害，对任何侵占和破坏行为要加以制止并及时报告绿化管理部门。</w:t>
      </w:r>
    </w:p>
    <w:p w14:paraId="508D7CA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十三、西安浐灞国际港绿化养护工作打分标准：</w:t>
      </w:r>
    </w:p>
    <w:p w14:paraId="1322D7A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西安浐灞国际港绿地养护管理工作月度考核标准表》进行打分，绿化养护管理考核由考核评分小组按月以100分为满分进行计扣，对全部考核组成员评分按照加权平均后计算最终平均分值。得分95以上属于合理扣分范围，不扣除当月绿化养护费用；95-90分之间，每1分扣除当月绿化养护费用金额100元；90-85分之间，每1分扣除当月绿化养护费用金额200元；85-75分之间，每1分扣除当月绿化养护费用金额300元；低于75分以下将按违约考虑，按所签订绿化养护合同总金额的10%予以扣除并处以警告。各绿化养护单位得分情况每月定期以通知形式公布，每季度进行汇总评比。</w:t>
      </w:r>
    </w:p>
    <w:p w14:paraId="70211538">
      <w:pPr>
        <w:widowControl/>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附件三：本项目的人员配置情况表</w:t>
      </w:r>
    </w:p>
    <w:tbl>
      <w:tblPr>
        <w:tblStyle w:val="5"/>
        <w:tblW w:w="9285" w:type="dxa"/>
        <w:tblInd w:w="65" w:type="dxa"/>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13"/>
        <w:gridCol w:w="1086"/>
        <w:gridCol w:w="748"/>
        <w:gridCol w:w="750"/>
        <w:gridCol w:w="748"/>
        <w:gridCol w:w="750"/>
        <w:gridCol w:w="1488"/>
        <w:gridCol w:w="1671"/>
        <w:gridCol w:w="1131"/>
      </w:tblGrid>
      <w:tr w14:paraId="1A22C36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913" w:type="dxa"/>
            <w:noWrap w:val="0"/>
            <w:vAlign w:val="center"/>
          </w:tcPr>
          <w:p w14:paraId="39C7B228">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086" w:type="dxa"/>
            <w:noWrap w:val="0"/>
            <w:vAlign w:val="center"/>
          </w:tcPr>
          <w:p w14:paraId="0F6397B0">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姓名</w:t>
            </w:r>
          </w:p>
        </w:tc>
        <w:tc>
          <w:tcPr>
            <w:tcW w:w="748" w:type="dxa"/>
            <w:noWrap w:val="0"/>
            <w:vAlign w:val="center"/>
          </w:tcPr>
          <w:p w14:paraId="5985AA30">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年龄</w:t>
            </w:r>
          </w:p>
        </w:tc>
        <w:tc>
          <w:tcPr>
            <w:tcW w:w="750" w:type="dxa"/>
            <w:noWrap w:val="0"/>
            <w:vAlign w:val="center"/>
          </w:tcPr>
          <w:p w14:paraId="3C0BACCD">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性别</w:t>
            </w:r>
          </w:p>
        </w:tc>
        <w:tc>
          <w:tcPr>
            <w:tcW w:w="748" w:type="dxa"/>
            <w:noWrap w:val="0"/>
            <w:vAlign w:val="center"/>
          </w:tcPr>
          <w:p w14:paraId="2A697AA8">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学历</w:t>
            </w:r>
          </w:p>
        </w:tc>
        <w:tc>
          <w:tcPr>
            <w:tcW w:w="750" w:type="dxa"/>
            <w:noWrap w:val="0"/>
            <w:vAlign w:val="center"/>
          </w:tcPr>
          <w:p w14:paraId="06403955">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专业</w:t>
            </w:r>
          </w:p>
        </w:tc>
        <w:tc>
          <w:tcPr>
            <w:tcW w:w="1488" w:type="dxa"/>
            <w:noWrap w:val="0"/>
            <w:vAlign w:val="center"/>
          </w:tcPr>
          <w:p w14:paraId="5AA36930">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职称 /职务</w:t>
            </w:r>
          </w:p>
        </w:tc>
        <w:tc>
          <w:tcPr>
            <w:tcW w:w="1671" w:type="dxa"/>
            <w:noWrap w:val="0"/>
            <w:vAlign w:val="center"/>
          </w:tcPr>
          <w:p w14:paraId="5051F572">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拟承担职务</w:t>
            </w:r>
          </w:p>
        </w:tc>
        <w:tc>
          <w:tcPr>
            <w:tcW w:w="1131" w:type="dxa"/>
            <w:noWrap w:val="0"/>
            <w:vAlign w:val="center"/>
          </w:tcPr>
          <w:p w14:paraId="6A78211E">
            <w:pP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60D949C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093B32A4">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93A158C">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C93AE03">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C78CBB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BCDA630">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B1725AF">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5096D0D5">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E639E63">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58013859">
            <w:pPr>
              <w:spacing w:line="360" w:lineRule="auto"/>
              <w:jc w:val="center"/>
              <w:outlineLvl w:val="9"/>
              <w:rPr>
                <w:rFonts w:hint="eastAsia" w:ascii="宋体" w:hAnsi="宋体" w:eastAsia="宋体" w:cs="宋体"/>
                <w:color w:val="auto"/>
                <w:sz w:val="24"/>
                <w:szCs w:val="24"/>
                <w:highlight w:val="none"/>
              </w:rPr>
            </w:pPr>
          </w:p>
        </w:tc>
      </w:tr>
      <w:tr w14:paraId="7EC913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913" w:type="dxa"/>
            <w:noWrap w:val="0"/>
            <w:vAlign w:val="center"/>
          </w:tcPr>
          <w:p w14:paraId="1A3B4D19">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7DEFCB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5F5211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E9FEDF1">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28AC308">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EB55487">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147FB120">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7A4DD84A">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18BE33A">
            <w:pPr>
              <w:spacing w:line="360" w:lineRule="auto"/>
              <w:jc w:val="center"/>
              <w:outlineLvl w:val="9"/>
              <w:rPr>
                <w:rFonts w:hint="eastAsia" w:ascii="宋体" w:hAnsi="宋体" w:eastAsia="宋体" w:cs="宋体"/>
                <w:color w:val="auto"/>
                <w:sz w:val="24"/>
                <w:szCs w:val="24"/>
                <w:highlight w:val="none"/>
              </w:rPr>
            </w:pPr>
          </w:p>
        </w:tc>
      </w:tr>
      <w:tr w14:paraId="05959E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3" w:type="dxa"/>
            <w:noWrap w:val="0"/>
            <w:vAlign w:val="center"/>
          </w:tcPr>
          <w:p w14:paraId="1E1A9686">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7E8B0C6">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AA44E5C">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B49ED9D">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DF47ED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E44B0EE">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09BDE7C2">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DD1956C">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722278E9">
            <w:pPr>
              <w:spacing w:line="360" w:lineRule="auto"/>
              <w:jc w:val="center"/>
              <w:outlineLvl w:val="9"/>
              <w:rPr>
                <w:rFonts w:hint="eastAsia" w:ascii="宋体" w:hAnsi="宋体" w:eastAsia="宋体" w:cs="宋体"/>
                <w:color w:val="auto"/>
                <w:sz w:val="24"/>
                <w:szCs w:val="24"/>
                <w:highlight w:val="none"/>
              </w:rPr>
            </w:pPr>
          </w:p>
        </w:tc>
      </w:tr>
      <w:tr w14:paraId="4D35C1B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522F38E4">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C214182">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164E83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52A6750">
            <w:pP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D1799E8">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792EF58">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41BA1E91">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D7032CF">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2DEB4F2">
            <w:pPr>
              <w:spacing w:line="360" w:lineRule="auto"/>
              <w:jc w:val="center"/>
              <w:outlineLvl w:val="9"/>
              <w:rPr>
                <w:rFonts w:hint="eastAsia" w:ascii="宋体" w:hAnsi="宋体" w:eastAsia="宋体" w:cs="宋体"/>
                <w:color w:val="auto"/>
                <w:sz w:val="24"/>
                <w:szCs w:val="24"/>
                <w:highlight w:val="none"/>
              </w:rPr>
            </w:pPr>
          </w:p>
        </w:tc>
      </w:tr>
      <w:tr w14:paraId="30FDC1A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2EEE011C">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BFB669E">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6E012AA">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DB66DE1">
            <w:pP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3B55160">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355EA4B">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5BE6864F">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7969A02">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4D79856E">
            <w:pPr>
              <w:spacing w:line="360" w:lineRule="auto"/>
              <w:jc w:val="center"/>
              <w:outlineLvl w:val="9"/>
              <w:rPr>
                <w:rFonts w:hint="eastAsia" w:ascii="宋体" w:hAnsi="宋体" w:eastAsia="宋体" w:cs="宋体"/>
                <w:color w:val="auto"/>
                <w:sz w:val="24"/>
                <w:szCs w:val="24"/>
                <w:highlight w:val="none"/>
              </w:rPr>
            </w:pPr>
          </w:p>
        </w:tc>
      </w:tr>
      <w:tr w14:paraId="3382F47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40942CF6">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05C41812">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00A1E7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1F40334">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8D0278F">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9A79340">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44C39098">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D973A23">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516727D0">
            <w:pPr>
              <w:spacing w:line="360" w:lineRule="auto"/>
              <w:jc w:val="center"/>
              <w:outlineLvl w:val="9"/>
              <w:rPr>
                <w:rFonts w:hint="eastAsia" w:ascii="宋体" w:hAnsi="宋体" w:eastAsia="宋体" w:cs="宋体"/>
                <w:color w:val="auto"/>
                <w:sz w:val="24"/>
                <w:szCs w:val="24"/>
                <w:highlight w:val="none"/>
              </w:rPr>
            </w:pPr>
          </w:p>
        </w:tc>
      </w:tr>
      <w:tr w14:paraId="3A023B6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724D0AA5">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4A1D8F08">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5E0E69B">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42297B8">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6DD37F1">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61F8FD3">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794E0528">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5F7A2513">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705F2CAA">
            <w:pPr>
              <w:spacing w:line="360" w:lineRule="auto"/>
              <w:jc w:val="center"/>
              <w:outlineLvl w:val="9"/>
              <w:rPr>
                <w:rFonts w:hint="eastAsia" w:ascii="宋体" w:hAnsi="宋体" w:eastAsia="宋体" w:cs="宋体"/>
                <w:color w:val="auto"/>
                <w:sz w:val="24"/>
                <w:szCs w:val="24"/>
                <w:highlight w:val="none"/>
              </w:rPr>
            </w:pPr>
          </w:p>
        </w:tc>
      </w:tr>
      <w:tr w14:paraId="66D9B9C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66231FF9">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F253B04">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F6324D7">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B92DB19">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D6BCB91">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7967CC9">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1099DA93">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54751B56">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A2463A3">
            <w:pPr>
              <w:spacing w:line="360" w:lineRule="auto"/>
              <w:jc w:val="center"/>
              <w:outlineLvl w:val="9"/>
              <w:rPr>
                <w:rFonts w:hint="eastAsia" w:ascii="宋体" w:hAnsi="宋体" w:eastAsia="宋体" w:cs="宋体"/>
                <w:color w:val="auto"/>
                <w:sz w:val="24"/>
                <w:szCs w:val="24"/>
                <w:highlight w:val="none"/>
              </w:rPr>
            </w:pPr>
          </w:p>
        </w:tc>
      </w:tr>
      <w:tr w14:paraId="4C53469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6C865BD8">
            <w:pP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2E0D8A0">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2FC45BD">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9E026A5">
            <w:pP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778003F">
            <w:pP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FDE840D">
            <w:pP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7A67530F">
            <w:pP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078DC0D2">
            <w:pP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51C08F69">
            <w:pPr>
              <w:spacing w:line="360" w:lineRule="auto"/>
              <w:jc w:val="center"/>
              <w:outlineLvl w:val="9"/>
              <w:rPr>
                <w:rFonts w:hint="eastAsia" w:ascii="宋体" w:hAnsi="宋体" w:eastAsia="宋体" w:cs="宋体"/>
                <w:color w:val="auto"/>
                <w:sz w:val="24"/>
                <w:szCs w:val="24"/>
                <w:highlight w:val="none"/>
              </w:rPr>
            </w:pPr>
          </w:p>
        </w:tc>
      </w:tr>
    </w:tbl>
    <w:p w14:paraId="0521DE5C">
      <w:pPr>
        <w:widowControl/>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附件四：投入机械设备情况表</w:t>
      </w:r>
    </w:p>
    <w:tbl>
      <w:tblPr>
        <w:tblStyle w:val="5"/>
        <w:tblW w:w="9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943"/>
        <w:gridCol w:w="1276"/>
        <w:gridCol w:w="850"/>
        <w:gridCol w:w="1841"/>
        <w:gridCol w:w="1136"/>
        <w:gridCol w:w="1686"/>
      </w:tblGrid>
      <w:tr w14:paraId="7B0E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449" w:type="dxa"/>
            <w:gridSpan w:val="7"/>
            <w:noWrap w:val="0"/>
            <w:vAlign w:val="center"/>
          </w:tcPr>
          <w:p w14:paraId="5566BAD5">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1.拟投入本项目的洒水车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清洗车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6E92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17" w:type="dxa"/>
            <w:noWrap w:val="0"/>
            <w:vAlign w:val="center"/>
          </w:tcPr>
          <w:p w14:paraId="4E0C8EE8">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4EDFEAA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2119EB62">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2B34A965">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0A21E833">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171D65FA">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6764D09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D4A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17" w:type="dxa"/>
            <w:noWrap w:val="0"/>
            <w:vAlign w:val="center"/>
          </w:tcPr>
          <w:p w14:paraId="3CD1595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4B6AE64A">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0DF59FB7">
            <w:pPr>
              <w:spacing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57A9DA67">
            <w:pPr>
              <w:spacing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4C037B56">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7AC29675">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0B9715F2">
            <w:pPr>
              <w:spacing w:line="360" w:lineRule="auto"/>
              <w:outlineLvl w:val="9"/>
              <w:rPr>
                <w:rFonts w:hint="eastAsia" w:ascii="宋体" w:hAnsi="宋体" w:eastAsia="宋体" w:cs="宋体"/>
                <w:color w:val="auto"/>
                <w:sz w:val="24"/>
                <w:szCs w:val="24"/>
                <w:highlight w:val="none"/>
              </w:rPr>
            </w:pPr>
          </w:p>
        </w:tc>
      </w:tr>
      <w:tr w14:paraId="42FC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17" w:type="dxa"/>
            <w:noWrap w:val="0"/>
            <w:vAlign w:val="center"/>
          </w:tcPr>
          <w:p w14:paraId="3601057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00612F1B">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21BE9958">
            <w:pPr>
              <w:spacing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1C78F66C">
            <w:pPr>
              <w:spacing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044C0BB8">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6BEB6A93">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1EB213E4">
            <w:pPr>
              <w:spacing w:line="360" w:lineRule="auto"/>
              <w:outlineLvl w:val="9"/>
              <w:rPr>
                <w:rFonts w:hint="eastAsia" w:ascii="宋体" w:hAnsi="宋体" w:eastAsia="宋体" w:cs="宋体"/>
                <w:color w:val="auto"/>
                <w:sz w:val="24"/>
                <w:szCs w:val="24"/>
                <w:highlight w:val="none"/>
              </w:rPr>
            </w:pPr>
          </w:p>
        </w:tc>
      </w:tr>
      <w:tr w14:paraId="6187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449" w:type="dxa"/>
            <w:gridSpan w:val="7"/>
            <w:noWrap w:val="0"/>
            <w:vAlign w:val="center"/>
          </w:tcPr>
          <w:p w14:paraId="6A3200ED">
            <w:pPr>
              <w:numPr>
                <w:ilvl w:val="0"/>
                <w:numId w:val="0"/>
              </w:numPr>
              <w:spacing w:line="360" w:lineRule="auto"/>
              <w:outlineLvl w:val="9"/>
              <w:rPr>
                <w:rFonts w:hint="eastAsia"/>
                <w:highlight w:val="none"/>
              </w:rPr>
            </w:pPr>
            <w:r>
              <w:rPr>
                <w:rFonts w:hint="eastAsia" w:ascii="宋体" w:hAnsi="宋体" w:eastAsia="宋体" w:cs="宋体"/>
                <w:color w:val="auto"/>
                <w:sz w:val="24"/>
                <w:szCs w:val="24"/>
                <w:highlight w:val="none"/>
                <w:shd w:val="clear" w:fill="FFFFFF"/>
                <w:lang w:val="en-US" w:eastAsia="zh-CN" w:bidi="ar-SA"/>
              </w:rPr>
              <w:t>2.</w:t>
            </w:r>
            <w:r>
              <w:rPr>
                <w:rFonts w:hint="eastAsia" w:ascii="宋体" w:hAnsi="宋体" w:eastAsia="宋体" w:cs="宋体"/>
                <w:color w:val="auto"/>
                <w:sz w:val="24"/>
                <w:szCs w:val="24"/>
                <w:highlight w:val="none"/>
              </w:rPr>
              <w:t>拟投入本项目的</w:t>
            </w:r>
            <w:r>
              <w:rPr>
                <w:rFonts w:hint="eastAsia" w:ascii="宋体" w:hAnsi="宋体" w:eastAsia="宋体" w:cs="宋体"/>
                <w:color w:val="auto"/>
                <w:sz w:val="24"/>
                <w:szCs w:val="24"/>
                <w:highlight w:val="none"/>
                <w:lang w:val="en-US" w:eastAsia="zh-CN"/>
              </w:rPr>
              <w:t>病虫害打药机具、</w:t>
            </w:r>
            <w:r>
              <w:rPr>
                <w:rFonts w:hint="eastAsia" w:ascii="宋体" w:hAnsi="宋体" w:eastAsia="宋体" w:cs="宋体"/>
                <w:color w:val="auto"/>
                <w:sz w:val="24"/>
                <w:szCs w:val="24"/>
                <w:highlight w:val="none"/>
              </w:rPr>
              <w:t>绿篱机、</w:t>
            </w:r>
            <w:r>
              <w:rPr>
                <w:rFonts w:hint="eastAsia" w:ascii="宋体" w:hAnsi="宋体" w:eastAsia="宋体" w:cs="宋体"/>
                <w:color w:val="auto"/>
                <w:sz w:val="24"/>
                <w:szCs w:val="24"/>
                <w:highlight w:val="none"/>
                <w:shd w:val="clear" w:color="auto" w:fill="FFFFFF"/>
              </w:rPr>
              <w:t>油锯、打药机、</w:t>
            </w:r>
            <w:r>
              <w:rPr>
                <w:rFonts w:hint="eastAsia" w:ascii="宋体" w:hAnsi="宋体" w:eastAsia="宋体" w:cs="宋体"/>
                <w:color w:val="auto"/>
                <w:sz w:val="24"/>
                <w:szCs w:val="24"/>
                <w:highlight w:val="none"/>
                <w:shd w:val="clear" w:color="auto" w:fill="FFFFFF"/>
                <w:lang w:val="en-US" w:eastAsia="zh-CN"/>
              </w:rPr>
              <w:t>树枝粉碎机、</w:t>
            </w:r>
            <w:r>
              <w:rPr>
                <w:rFonts w:hint="eastAsia" w:ascii="宋体" w:hAnsi="宋体" w:eastAsia="宋体" w:cs="宋体"/>
                <w:spacing w:val="0"/>
                <w:sz w:val="24"/>
                <w:szCs w:val="24"/>
                <w:highlight w:val="none"/>
                <w:lang w:val="en-US" w:eastAsia="zh-CN" w:bidi="ar-SA"/>
              </w:rPr>
              <w:t>割草机、高枝剪/高枝锯、落叶吹风机、</w:t>
            </w:r>
            <w:r>
              <w:rPr>
                <w:rFonts w:hint="eastAsia" w:ascii="宋体" w:hAnsi="宋体" w:eastAsia="宋体" w:cs="宋体"/>
                <w:color w:val="auto"/>
                <w:sz w:val="24"/>
                <w:szCs w:val="24"/>
                <w:highlight w:val="none"/>
                <w:shd w:val="clear" w:color="auto" w:fill="FFFFFF"/>
              </w:rPr>
              <w:t>割灌机</w:t>
            </w:r>
            <w:r>
              <w:rPr>
                <w:rFonts w:hint="eastAsia" w:ascii="宋体" w:hAnsi="宋体" w:eastAsia="宋体" w:cs="宋体"/>
                <w:color w:val="auto"/>
                <w:sz w:val="24"/>
                <w:szCs w:val="24"/>
                <w:highlight w:val="none"/>
                <w:shd w:val="clear" w:color="auto" w:fill="FFFFFF"/>
                <w:lang w:val="en-US" w:eastAsia="zh-CN"/>
              </w:rPr>
              <w:t>等</w:t>
            </w:r>
            <w:r>
              <w:rPr>
                <w:rFonts w:hint="eastAsia" w:ascii="宋体" w:hAnsi="宋体" w:eastAsia="宋体" w:cs="宋体"/>
                <w:color w:val="auto"/>
                <w:sz w:val="24"/>
                <w:szCs w:val="24"/>
                <w:highlight w:val="none"/>
                <w:shd w:val="clear" w:color="auto" w:fill="FFFFFF"/>
              </w:rPr>
              <w:t>；</w:t>
            </w:r>
          </w:p>
        </w:tc>
      </w:tr>
      <w:tr w14:paraId="0EDE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17" w:type="dxa"/>
            <w:noWrap w:val="0"/>
            <w:vAlign w:val="center"/>
          </w:tcPr>
          <w:p w14:paraId="5F5B66DA">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46E12185">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562A5FF7">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45432AAB">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217E8A7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2C7B641D">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153EDBD3">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42F9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75DF8E7E">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615CAFD6">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4274D956">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10433904">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2CDD14E5">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66B9E7C9">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42B8596B">
            <w:pPr>
              <w:spacing w:line="360" w:lineRule="auto"/>
              <w:jc w:val="center"/>
              <w:outlineLvl w:val="9"/>
              <w:rPr>
                <w:rFonts w:hint="eastAsia" w:ascii="宋体" w:hAnsi="宋体" w:eastAsia="宋体" w:cs="宋体"/>
                <w:color w:val="auto"/>
                <w:sz w:val="24"/>
                <w:szCs w:val="24"/>
                <w:highlight w:val="none"/>
              </w:rPr>
            </w:pPr>
          </w:p>
        </w:tc>
      </w:tr>
      <w:tr w14:paraId="1AFA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529EE5D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67C99CF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573376C4">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7663D8E4">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3D0A0EA6">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0197B9FC">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46138EE2">
            <w:pPr>
              <w:spacing w:line="360" w:lineRule="auto"/>
              <w:jc w:val="center"/>
              <w:outlineLvl w:val="9"/>
              <w:rPr>
                <w:rFonts w:hint="eastAsia" w:ascii="宋体" w:hAnsi="宋体" w:eastAsia="宋体" w:cs="宋体"/>
                <w:color w:val="auto"/>
                <w:sz w:val="24"/>
                <w:szCs w:val="24"/>
                <w:highlight w:val="none"/>
              </w:rPr>
            </w:pPr>
          </w:p>
        </w:tc>
      </w:tr>
      <w:tr w14:paraId="0B60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17" w:type="dxa"/>
            <w:noWrap w:val="0"/>
            <w:vAlign w:val="center"/>
          </w:tcPr>
          <w:p w14:paraId="202C9F4B">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943" w:type="dxa"/>
            <w:noWrap w:val="0"/>
            <w:vAlign w:val="center"/>
          </w:tcPr>
          <w:p w14:paraId="179726A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6EA85423">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4E0FD3B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24EB0193">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19E9FD2E">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17FE0B25">
            <w:pPr>
              <w:spacing w:line="360" w:lineRule="auto"/>
              <w:jc w:val="center"/>
              <w:outlineLvl w:val="9"/>
              <w:rPr>
                <w:rFonts w:hint="eastAsia" w:ascii="宋体" w:hAnsi="宋体" w:eastAsia="宋体" w:cs="宋体"/>
                <w:color w:val="auto"/>
                <w:sz w:val="24"/>
                <w:szCs w:val="24"/>
                <w:highlight w:val="none"/>
              </w:rPr>
            </w:pPr>
          </w:p>
        </w:tc>
      </w:tr>
      <w:tr w14:paraId="55B4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17" w:type="dxa"/>
            <w:noWrap w:val="0"/>
            <w:vAlign w:val="center"/>
          </w:tcPr>
          <w:p w14:paraId="1034353C">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943" w:type="dxa"/>
            <w:noWrap w:val="0"/>
            <w:vAlign w:val="center"/>
          </w:tcPr>
          <w:p w14:paraId="4ADA0631">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43DFFF43">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10AF544D">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74F172B4">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4ADA70AE">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539D0B58">
            <w:pPr>
              <w:spacing w:line="360" w:lineRule="auto"/>
              <w:jc w:val="center"/>
              <w:outlineLvl w:val="9"/>
              <w:rPr>
                <w:rFonts w:hint="eastAsia" w:ascii="宋体" w:hAnsi="宋体" w:eastAsia="宋体" w:cs="宋体"/>
                <w:color w:val="auto"/>
                <w:sz w:val="24"/>
                <w:szCs w:val="24"/>
                <w:highlight w:val="none"/>
              </w:rPr>
            </w:pPr>
          </w:p>
        </w:tc>
      </w:tr>
      <w:tr w14:paraId="00F21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17" w:type="dxa"/>
            <w:noWrap w:val="0"/>
            <w:vAlign w:val="center"/>
          </w:tcPr>
          <w:p w14:paraId="4F783E4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943" w:type="dxa"/>
            <w:noWrap w:val="0"/>
            <w:vAlign w:val="center"/>
          </w:tcPr>
          <w:p w14:paraId="0B0DFA7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76ADDF3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158F058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380CBCB0">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7CA02734">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E9319DB">
            <w:pPr>
              <w:spacing w:line="360" w:lineRule="auto"/>
              <w:jc w:val="center"/>
              <w:outlineLvl w:val="9"/>
              <w:rPr>
                <w:rFonts w:hint="eastAsia" w:ascii="宋体" w:hAnsi="宋体" w:eastAsia="宋体" w:cs="宋体"/>
                <w:color w:val="auto"/>
                <w:sz w:val="24"/>
                <w:szCs w:val="24"/>
                <w:highlight w:val="none"/>
              </w:rPr>
            </w:pPr>
          </w:p>
        </w:tc>
      </w:tr>
      <w:tr w14:paraId="5AEF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9449" w:type="dxa"/>
            <w:gridSpan w:val="7"/>
            <w:noWrap w:val="0"/>
            <w:vAlign w:val="center"/>
          </w:tcPr>
          <w:p w14:paraId="012D54AA">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shd w:val="clear" w:color="auto" w:fill="FFFFFF"/>
              </w:rPr>
              <w:t>拟投入本项目的垃圾运输车</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lang w:val="en-US" w:eastAsia="zh-CN"/>
              </w:rPr>
              <w:t>新能源巡查车</w:t>
            </w:r>
            <w:r>
              <w:rPr>
                <w:rFonts w:hint="eastAsia" w:ascii="宋体" w:hAnsi="宋体" w:eastAsia="宋体" w:cs="宋体"/>
                <w:color w:val="auto"/>
                <w:sz w:val="24"/>
                <w:szCs w:val="24"/>
                <w:highlight w:val="none"/>
                <w:shd w:val="clear" w:color="auto" w:fill="FFFFFF"/>
              </w:rPr>
              <w:t>；</w:t>
            </w:r>
          </w:p>
        </w:tc>
      </w:tr>
      <w:tr w14:paraId="45BD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6925DD7C">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2C87252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4C6FDBD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230B2F30">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5982B815">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7DC8A05B">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680006E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F57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57AD5645">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6C4504F6">
            <w:pPr>
              <w:spacing w:line="360" w:lineRule="auto"/>
              <w:outlineLvl w:val="9"/>
              <w:rPr>
                <w:rFonts w:hint="eastAsia" w:ascii="宋体" w:hAnsi="宋体" w:eastAsia="宋体" w:cs="宋体"/>
                <w:color w:val="auto"/>
                <w:sz w:val="24"/>
                <w:szCs w:val="24"/>
                <w:highlight w:val="none"/>
              </w:rPr>
            </w:pPr>
          </w:p>
        </w:tc>
        <w:tc>
          <w:tcPr>
            <w:tcW w:w="1276" w:type="dxa"/>
            <w:noWrap w:val="0"/>
            <w:vAlign w:val="center"/>
          </w:tcPr>
          <w:p w14:paraId="6EE80C31">
            <w:pPr>
              <w:spacing w:line="360" w:lineRule="auto"/>
              <w:outlineLvl w:val="9"/>
              <w:rPr>
                <w:rFonts w:hint="eastAsia" w:ascii="宋体" w:hAnsi="宋体" w:eastAsia="宋体" w:cs="宋体"/>
                <w:color w:val="auto"/>
                <w:sz w:val="24"/>
                <w:szCs w:val="24"/>
                <w:highlight w:val="none"/>
              </w:rPr>
            </w:pPr>
          </w:p>
        </w:tc>
        <w:tc>
          <w:tcPr>
            <w:tcW w:w="850" w:type="dxa"/>
            <w:noWrap w:val="0"/>
            <w:vAlign w:val="center"/>
          </w:tcPr>
          <w:p w14:paraId="23D2373A">
            <w:pPr>
              <w:spacing w:line="360" w:lineRule="auto"/>
              <w:outlineLvl w:val="9"/>
              <w:rPr>
                <w:rFonts w:hint="eastAsia" w:ascii="宋体" w:hAnsi="宋体" w:eastAsia="宋体" w:cs="宋体"/>
                <w:color w:val="auto"/>
                <w:sz w:val="24"/>
                <w:szCs w:val="24"/>
                <w:highlight w:val="none"/>
              </w:rPr>
            </w:pPr>
          </w:p>
        </w:tc>
        <w:tc>
          <w:tcPr>
            <w:tcW w:w="1841" w:type="dxa"/>
            <w:noWrap w:val="0"/>
            <w:vAlign w:val="center"/>
          </w:tcPr>
          <w:p w14:paraId="6941C5F0">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7787952F">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679B75A9">
            <w:pPr>
              <w:spacing w:line="360" w:lineRule="auto"/>
              <w:outlineLvl w:val="9"/>
              <w:rPr>
                <w:rFonts w:hint="eastAsia" w:ascii="宋体" w:hAnsi="宋体" w:eastAsia="宋体" w:cs="宋体"/>
                <w:color w:val="auto"/>
                <w:sz w:val="24"/>
                <w:szCs w:val="24"/>
                <w:highlight w:val="none"/>
              </w:rPr>
            </w:pPr>
          </w:p>
        </w:tc>
      </w:tr>
      <w:tr w14:paraId="491A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2D0B81B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6F16E267">
            <w:pPr>
              <w:spacing w:line="360" w:lineRule="auto"/>
              <w:outlineLvl w:val="9"/>
              <w:rPr>
                <w:rFonts w:hint="eastAsia" w:ascii="宋体" w:hAnsi="宋体" w:eastAsia="宋体" w:cs="宋体"/>
                <w:color w:val="auto"/>
                <w:sz w:val="24"/>
                <w:szCs w:val="24"/>
                <w:highlight w:val="none"/>
              </w:rPr>
            </w:pPr>
          </w:p>
        </w:tc>
        <w:tc>
          <w:tcPr>
            <w:tcW w:w="1276" w:type="dxa"/>
            <w:noWrap w:val="0"/>
            <w:vAlign w:val="center"/>
          </w:tcPr>
          <w:p w14:paraId="77319679">
            <w:pPr>
              <w:spacing w:line="360" w:lineRule="auto"/>
              <w:outlineLvl w:val="9"/>
              <w:rPr>
                <w:rFonts w:hint="eastAsia" w:ascii="宋体" w:hAnsi="宋体" w:eastAsia="宋体" w:cs="宋体"/>
                <w:color w:val="auto"/>
                <w:sz w:val="24"/>
                <w:szCs w:val="24"/>
                <w:highlight w:val="none"/>
              </w:rPr>
            </w:pPr>
          </w:p>
        </w:tc>
        <w:tc>
          <w:tcPr>
            <w:tcW w:w="850" w:type="dxa"/>
            <w:noWrap w:val="0"/>
            <w:vAlign w:val="center"/>
          </w:tcPr>
          <w:p w14:paraId="5E8B1724">
            <w:pPr>
              <w:spacing w:line="360" w:lineRule="auto"/>
              <w:outlineLvl w:val="9"/>
              <w:rPr>
                <w:rFonts w:hint="eastAsia" w:ascii="宋体" w:hAnsi="宋体" w:eastAsia="宋体" w:cs="宋体"/>
                <w:color w:val="auto"/>
                <w:sz w:val="24"/>
                <w:szCs w:val="24"/>
                <w:highlight w:val="none"/>
              </w:rPr>
            </w:pPr>
          </w:p>
        </w:tc>
        <w:tc>
          <w:tcPr>
            <w:tcW w:w="1841" w:type="dxa"/>
            <w:noWrap w:val="0"/>
            <w:vAlign w:val="center"/>
          </w:tcPr>
          <w:p w14:paraId="54088A24">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13751EE1">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7C4E2C8B">
            <w:pPr>
              <w:spacing w:line="360" w:lineRule="auto"/>
              <w:outlineLvl w:val="9"/>
              <w:rPr>
                <w:rFonts w:hint="eastAsia" w:ascii="宋体" w:hAnsi="宋体" w:eastAsia="宋体" w:cs="宋体"/>
                <w:color w:val="auto"/>
                <w:sz w:val="24"/>
                <w:szCs w:val="24"/>
                <w:highlight w:val="none"/>
              </w:rPr>
            </w:pPr>
          </w:p>
        </w:tc>
      </w:tr>
      <w:tr w14:paraId="273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449" w:type="dxa"/>
            <w:gridSpan w:val="7"/>
            <w:noWrap w:val="0"/>
            <w:vAlign w:val="center"/>
          </w:tcPr>
          <w:p w14:paraId="3AD961CD">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4.拟投入的与养护有关的其余设备、器材、工具如(发电机、随车吊、乔木修剪车、打药车)等；</w:t>
            </w:r>
          </w:p>
        </w:tc>
      </w:tr>
      <w:tr w14:paraId="1B70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75D55063">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43" w:type="dxa"/>
            <w:noWrap w:val="0"/>
            <w:vAlign w:val="center"/>
          </w:tcPr>
          <w:p w14:paraId="59F7268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76" w:type="dxa"/>
            <w:noWrap w:val="0"/>
            <w:vAlign w:val="center"/>
          </w:tcPr>
          <w:p w14:paraId="3E1D687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850" w:type="dxa"/>
            <w:noWrap w:val="0"/>
            <w:vAlign w:val="center"/>
          </w:tcPr>
          <w:p w14:paraId="4BDAB688">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41" w:type="dxa"/>
            <w:noWrap w:val="0"/>
            <w:vAlign w:val="center"/>
          </w:tcPr>
          <w:p w14:paraId="6B514FED">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目前状况</w:t>
            </w:r>
          </w:p>
        </w:tc>
        <w:tc>
          <w:tcPr>
            <w:tcW w:w="1136" w:type="dxa"/>
            <w:noWrap w:val="0"/>
            <w:vAlign w:val="center"/>
          </w:tcPr>
          <w:p w14:paraId="0F3D5ED1">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来源</w:t>
            </w:r>
          </w:p>
        </w:tc>
        <w:tc>
          <w:tcPr>
            <w:tcW w:w="1686" w:type="dxa"/>
            <w:noWrap w:val="0"/>
            <w:vAlign w:val="center"/>
          </w:tcPr>
          <w:p w14:paraId="245221DB">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6092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7D19BD8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943" w:type="dxa"/>
            <w:noWrap w:val="0"/>
            <w:vAlign w:val="center"/>
          </w:tcPr>
          <w:p w14:paraId="20F8E0D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77625616">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2550BFE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745C6222">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595FFEC0">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5B222B6C">
            <w:pPr>
              <w:spacing w:line="360" w:lineRule="auto"/>
              <w:jc w:val="center"/>
              <w:outlineLvl w:val="9"/>
              <w:rPr>
                <w:rFonts w:hint="eastAsia" w:ascii="宋体" w:hAnsi="宋体" w:eastAsia="宋体" w:cs="宋体"/>
                <w:color w:val="auto"/>
                <w:sz w:val="24"/>
                <w:szCs w:val="24"/>
                <w:highlight w:val="none"/>
              </w:rPr>
            </w:pPr>
          </w:p>
        </w:tc>
      </w:tr>
      <w:tr w14:paraId="21C8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2881F9CD">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943" w:type="dxa"/>
            <w:noWrap w:val="0"/>
            <w:vAlign w:val="center"/>
          </w:tcPr>
          <w:p w14:paraId="3D8B241E">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66F16F5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37DD454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7F763C7">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19066BBB">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69C1124">
            <w:pPr>
              <w:spacing w:line="360" w:lineRule="auto"/>
              <w:jc w:val="center"/>
              <w:outlineLvl w:val="9"/>
              <w:rPr>
                <w:rFonts w:hint="eastAsia" w:ascii="宋体" w:hAnsi="宋体" w:eastAsia="宋体" w:cs="宋体"/>
                <w:color w:val="auto"/>
                <w:sz w:val="24"/>
                <w:szCs w:val="24"/>
                <w:highlight w:val="none"/>
              </w:rPr>
            </w:pPr>
          </w:p>
        </w:tc>
      </w:tr>
      <w:tr w14:paraId="3D6F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186D2FF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943" w:type="dxa"/>
            <w:noWrap w:val="0"/>
            <w:vAlign w:val="center"/>
          </w:tcPr>
          <w:p w14:paraId="3CB4E84A">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6314F767">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7B8B9AB9">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180E6D74">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3812AD45">
            <w:pPr>
              <w:widowControl/>
              <w:spacing w:after="240" w:afterLines="100"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070E06ED">
            <w:pPr>
              <w:spacing w:line="360" w:lineRule="auto"/>
              <w:jc w:val="center"/>
              <w:outlineLvl w:val="9"/>
              <w:rPr>
                <w:rFonts w:hint="eastAsia" w:ascii="宋体" w:hAnsi="宋体" w:eastAsia="宋体" w:cs="宋体"/>
                <w:color w:val="auto"/>
                <w:sz w:val="24"/>
                <w:szCs w:val="24"/>
                <w:highlight w:val="none"/>
              </w:rPr>
            </w:pPr>
          </w:p>
        </w:tc>
      </w:tr>
      <w:tr w14:paraId="07A8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717" w:type="dxa"/>
            <w:noWrap w:val="0"/>
            <w:vAlign w:val="center"/>
          </w:tcPr>
          <w:p w14:paraId="627EDF56">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943" w:type="dxa"/>
            <w:noWrap w:val="0"/>
            <w:vAlign w:val="center"/>
          </w:tcPr>
          <w:p w14:paraId="61377BB3">
            <w:pPr>
              <w:spacing w:line="360" w:lineRule="auto"/>
              <w:jc w:val="center"/>
              <w:outlineLvl w:val="9"/>
              <w:rPr>
                <w:rFonts w:hint="eastAsia" w:ascii="宋体" w:hAnsi="宋体" w:eastAsia="宋体" w:cs="宋体"/>
                <w:color w:val="auto"/>
                <w:sz w:val="24"/>
                <w:szCs w:val="24"/>
                <w:highlight w:val="none"/>
              </w:rPr>
            </w:pPr>
          </w:p>
        </w:tc>
        <w:tc>
          <w:tcPr>
            <w:tcW w:w="1276" w:type="dxa"/>
            <w:noWrap w:val="0"/>
            <w:vAlign w:val="center"/>
          </w:tcPr>
          <w:p w14:paraId="06FD4664">
            <w:pPr>
              <w:spacing w:line="360" w:lineRule="auto"/>
              <w:jc w:val="center"/>
              <w:outlineLvl w:val="9"/>
              <w:rPr>
                <w:rFonts w:hint="eastAsia" w:ascii="宋体" w:hAnsi="宋体" w:eastAsia="宋体" w:cs="宋体"/>
                <w:color w:val="auto"/>
                <w:sz w:val="24"/>
                <w:szCs w:val="24"/>
                <w:highlight w:val="none"/>
              </w:rPr>
            </w:pPr>
          </w:p>
        </w:tc>
        <w:tc>
          <w:tcPr>
            <w:tcW w:w="850" w:type="dxa"/>
            <w:noWrap w:val="0"/>
            <w:vAlign w:val="center"/>
          </w:tcPr>
          <w:p w14:paraId="785EA243">
            <w:pPr>
              <w:spacing w:line="360" w:lineRule="auto"/>
              <w:jc w:val="center"/>
              <w:outlineLvl w:val="9"/>
              <w:rPr>
                <w:rFonts w:hint="eastAsia" w:ascii="宋体" w:hAnsi="宋体" w:eastAsia="宋体" w:cs="宋体"/>
                <w:color w:val="auto"/>
                <w:sz w:val="24"/>
                <w:szCs w:val="24"/>
                <w:highlight w:val="none"/>
              </w:rPr>
            </w:pPr>
          </w:p>
        </w:tc>
        <w:tc>
          <w:tcPr>
            <w:tcW w:w="1841" w:type="dxa"/>
            <w:noWrap w:val="0"/>
            <w:vAlign w:val="center"/>
          </w:tcPr>
          <w:p w14:paraId="4F212DDC">
            <w:pPr>
              <w:spacing w:line="360" w:lineRule="auto"/>
              <w:jc w:val="center"/>
              <w:outlineLvl w:val="9"/>
              <w:rPr>
                <w:rFonts w:hint="eastAsia" w:ascii="宋体" w:hAnsi="宋体" w:eastAsia="宋体" w:cs="宋体"/>
                <w:color w:val="auto"/>
                <w:sz w:val="24"/>
                <w:szCs w:val="24"/>
                <w:highlight w:val="none"/>
              </w:rPr>
            </w:pPr>
          </w:p>
        </w:tc>
        <w:tc>
          <w:tcPr>
            <w:tcW w:w="1136" w:type="dxa"/>
            <w:noWrap w:val="0"/>
            <w:vAlign w:val="center"/>
          </w:tcPr>
          <w:p w14:paraId="1BB553A0">
            <w:pPr>
              <w:spacing w:line="360" w:lineRule="auto"/>
              <w:jc w:val="center"/>
              <w:outlineLvl w:val="9"/>
              <w:rPr>
                <w:rFonts w:hint="eastAsia" w:ascii="宋体" w:hAnsi="宋体" w:eastAsia="宋体" w:cs="宋体"/>
                <w:color w:val="auto"/>
                <w:sz w:val="24"/>
                <w:szCs w:val="24"/>
                <w:highlight w:val="none"/>
              </w:rPr>
            </w:pPr>
          </w:p>
        </w:tc>
        <w:tc>
          <w:tcPr>
            <w:tcW w:w="1686" w:type="dxa"/>
            <w:noWrap w:val="0"/>
            <w:vAlign w:val="center"/>
          </w:tcPr>
          <w:p w14:paraId="2B1A5CF6">
            <w:pPr>
              <w:spacing w:line="360" w:lineRule="auto"/>
              <w:jc w:val="center"/>
              <w:outlineLvl w:val="9"/>
              <w:rPr>
                <w:rFonts w:hint="eastAsia" w:ascii="宋体" w:hAnsi="宋体" w:eastAsia="宋体" w:cs="宋体"/>
                <w:color w:val="auto"/>
                <w:sz w:val="24"/>
                <w:szCs w:val="24"/>
                <w:highlight w:val="none"/>
              </w:rPr>
            </w:pPr>
          </w:p>
        </w:tc>
      </w:tr>
    </w:tbl>
    <w:p w14:paraId="0231FA26">
      <w:pPr>
        <w:widowControl/>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附件五：西安浐灞国际港绿地管护工作考评办法</w:t>
      </w:r>
    </w:p>
    <w:p w14:paraId="0D826F4C">
      <w:pP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西安浐灞国际港绿地管护工作考评办法</w:t>
      </w:r>
    </w:p>
    <w:p w14:paraId="5719C9DB">
      <w:pPr>
        <w:spacing w:line="360" w:lineRule="auto"/>
        <w:ind w:firstLine="480" w:firstLineChars="200"/>
        <w:outlineLvl w:val="9"/>
        <w:rPr>
          <w:rFonts w:hint="eastAsia" w:ascii="宋体" w:hAnsi="宋体" w:eastAsia="宋体" w:cs="宋体"/>
          <w:color w:val="auto"/>
          <w:sz w:val="24"/>
          <w:szCs w:val="24"/>
          <w:highlight w:val="none"/>
        </w:rPr>
      </w:pPr>
    </w:p>
    <w:p w14:paraId="0B9139E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为了进一步规范绿化管理工作，促进全区养护管理工作规范化、科学化、长效化管理水平不断提高， 全面、客观考评各单位园林绿化管理工作开展情况，特制定本暂行办法。</w:t>
      </w:r>
    </w:p>
    <w:p w14:paraId="1C9F0A7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一、考评对象</w:t>
      </w:r>
    </w:p>
    <w:p w14:paraId="6DE8460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园区绿化养护标段。</w:t>
      </w:r>
    </w:p>
    <w:p w14:paraId="4A2F4FD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二、考评范围</w:t>
      </w:r>
    </w:p>
    <w:p w14:paraId="425E1EC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西安浐灞国际港内建成绿地养护管理工作。</w:t>
      </w:r>
    </w:p>
    <w:p w14:paraId="5202A5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三、考评机构</w:t>
      </w:r>
    </w:p>
    <w:p w14:paraId="276077A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考评工作的组织领导，西安浐灞国际港生态环境局成立专项工作领导小组，负责统筹有关工作的组织协调、实施推进和督促检查。领导小组组长由西安浐灞国际港生态环境局副局长担任，副组长由负责养护管理业务干部担任，成员由绿化养护监理人员、各养护单位项目管理人员担任。副组长与各成员为考评工作人员，为确保考核工作公正考评组人数需在三人以上，具体负责日常检查考评评分工作。组长对考评工作进行督查，确保考评及时、客观、公正。</w:t>
      </w:r>
    </w:p>
    <w:p w14:paraId="20A2355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四、考评方式</w:t>
      </w:r>
    </w:p>
    <w:p w14:paraId="18662A2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（一）月度考评</w:t>
      </w:r>
    </w:p>
    <w:p w14:paraId="3060843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月下旬实地到每个绿化标段进行检查，并按照月度考评打分及处罚标准（详见附件）考核。每月月初考评小组需对各单位的月度检查考评及处罚情况进行汇总，对养护单元养护情况给出优、良、差的评价等级，并报西安浐灞国际港生态环境局审核，审核通过后，进行通报。</w:t>
      </w:r>
    </w:p>
    <w:p w14:paraId="7C27BE1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年度考评</w:t>
      </w:r>
    </w:p>
    <w:p w14:paraId="1FB05A0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西安浐灞国际港生态环境局年底综合全年管理工作的总体情况，对各单位进行年度评分和排名。年度评分内容包括管理工作得分、上级考核工作得分、额外奖励加分。</w:t>
      </w:r>
    </w:p>
    <w:p w14:paraId="4802822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工作得分是指考评小组依据月度考评情况，评出的各单位园林绿化管理工作年度总分。上级检查得分是指考评小组依据市级领导及相关部门、市局检查考核情况，评出的各单位管护项目园林绿化管理年度总分。额外奖励加分是指考评小组在确定各单位管理工作得分和上级考核工作得分后，对在养护管理、工作措施、技术应用方面创新工作取得显著成效的、某项工作具有全区示范意义或落实临时重大任务成绩突出的单位酌情予以额外加分。</w:t>
      </w:r>
    </w:p>
    <w:p w14:paraId="7E983F1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度考评总分为100分，一般情况由管理工作分值和上级考核工作得分组成，管理工作分值占年度考评分值的比例为80%，上级考核工作得分分值占年度考评分值的比例为20%。无上级检查得分者则以管理工作分值为考评总分。</w:t>
      </w:r>
    </w:p>
    <w:p w14:paraId="1133CA9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五、结果运用</w:t>
      </w:r>
    </w:p>
    <w:p w14:paraId="6FCC7AE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月度考核：每月对各养护标段，根据《西安浐灞国际港园林绿化管理工作月度考评及处罚标准》（见附表）进行打分、考核、排名和处罚工作，对结果进行通报，处罚费用在当季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1157DA7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年度考核：年度内月度考核评价累计三次为差的标段，扣除养护单位年度护质保金，对各养护标段园林绿化管理工作的考评结果，做如下运用:一是根据考核分值按月统计，按照考核结果支付养护费用；二是作为园区养护管理单位的评价推选依据；三是作为向管委会领导通告有关企业管理水平优劣的基础和依据；四是作为进行各类责任追究的基础性依据。</w:t>
      </w:r>
    </w:p>
    <w:p w14:paraId="0BD0A40A">
      <w:pPr>
        <w:spacing w:line="360" w:lineRule="auto"/>
        <w:outlineLvl w:val="9"/>
        <w:rPr>
          <w:rFonts w:hint="eastAsia" w:ascii="宋体" w:hAnsi="宋体" w:eastAsia="宋体" w:cs="宋体"/>
          <w:color w:val="auto"/>
          <w:sz w:val="24"/>
          <w:szCs w:val="24"/>
          <w:highlight w:val="none"/>
        </w:rPr>
        <w:sectPr>
          <w:footerReference r:id="rId10" w:type="first"/>
          <w:footerReference r:id="rId8" w:type="default"/>
          <w:footerReference r:id="rId9" w:type="even"/>
          <w:pgSz w:w="11905" w:h="16838"/>
          <w:pgMar w:top="1304" w:right="1134" w:bottom="1304" w:left="1247" w:header="850" w:footer="992" w:gutter="0"/>
          <w:pgNumType w:fmt="numberInDash" w:start="1"/>
          <w:cols w:space="720" w:num="1"/>
          <w:titlePg/>
          <w:docGrid w:linePitch="323" w:charSpace="0"/>
        </w:sectPr>
      </w:pPr>
    </w:p>
    <w:p w14:paraId="5E864D37">
      <w:pP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附件一：西安浐灞国际港园林绿化工作考核标准表（西安浐灞国际港绿地养护管理工作月度考核标准表）</w:t>
      </w:r>
    </w:p>
    <w:p w14:paraId="4769B537">
      <w:pPr>
        <w:spacing w:line="360" w:lineRule="auto"/>
        <w:outlineLvl w:val="9"/>
        <w:rPr>
          <w:rFonts w:hint="eastAsia" w:ascii="宋体" w:hAnsi="宋体" w:eastAsia="宋体" w:cs="宋体"/>
          <w:b/>
          <w:bCs/>
          <w:color w:val="auto"/>
          <w:sz w:val="28"/>
          <w:szCs w:val="28"/>
          <w:highlight w:val="none"/>
        </w:rPr>
      </w:pPr>
    </w:p>
    <w:tbl>
      <w:tblPr>
        <w:tblStyle w:val="5"/>
        <w:tblW w:w="5009"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8"/>
        <w:gridCol w:w="1267"/>
        <w:gridCol w:w="1850"/>
        <w:gridCol w:w="6160"/>
        <w:gridCol w:w="3402"/>
        <w:gridCol w:w="719"/>
      </w:tblGrid>
      <w:tr w14:paraId="4282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noWrap w:val="0"/>
            <w:vAlign w:val="center"/>
          </w:tcPr>
          <w:p w14:paraId="4A93F597">
            <w:pPr>
              <w:jc w:val="center"/>
              <w:rPr>
                <w:rFonts w:ascii="仿宋" w:hAnsi="仿宋" w:eastAsia="仿宋"/>
                <w:sz w:val="24"/>
                <w:szCs w:val="24"/>
                <w:highlight w:val="none"/>
              </w:rPr>
            </w:pPr>
            <w:r>
              <w:rPr>
                <w:rFonts w:ascii="仿宋" w:hAnsi="仿宋" w:eastAsia="仿宋"/>
                <w:sz w:val="24"/>
                <w:szCs w:val="24"/>
                <w:highlight w:val="none"/>
              </w:rPr>
              <w:t>序号</w:t>
            </w:r>
          </w:p>
        </w:tc>
        <w:tc>
          <w:tcPr>
            <w:tcW w:w="444" w:type="pct"/>
            <w:noWrap w:val="0"/>
            <w:vAlign w:val="center"/>
          </w:tcPr>
          <w:p w14:paraId="169EB17C">
            <w:pPr>
              <w:jc w:val="center"/>
              <w:rPr>
                <w:rFonts w:ascii="仿宋" w:hAnsi="仿宋" w:eastAsia="仿宋"/>
                <w:sz w:val="24"/>
                <w:szCs w:val="24"/>
                <w:highlight w:val="none"/>
              </w:rPr>
            </w:pPr>
            <w:r>
              <w:rPr>
                <w:rFonts w:ascii="仿宋" w:hAnsi="仿宋" w:eastAsia="仿宋"/>
                <w:sz w:val="24"/>
                <w:szCs w:val="24"/>
                <w:highlight w:val="none"/>
              </w:rPr>
              <w:t>类别</w:t>
            </w:r>
          </w:p>
        </w:tc>
        <w:tc>
          <w:tcPr>
            <w:tcW w:w="648" w:type="pct"/>
            <w:noWrap w:val="0"/>
            <w:vAlign w:val="center"/>
          </w:tcPr>
          <w:p w14:paraId="38285167">
            <w:pPr>
              <w:jc w:val="center"/>
              <w:rPr>
                <w:rFonts w:ascii="仿宋" w:hAnsi="仿宋" w:eastAsia="仿宋"/>
                <w:sz w:val="24"/>
                <w:szCs w:val="24"/>
                <w:highlight w:val="none"/>
              </w:rPr>
            </w:pPr>
            <w:r>
              <w:rPr>
                <w:rFonts w:ascii="仿宋" w:hAnsi="仿宋" w:eastAsia="仿宋"/>
                <w:sz w:val="24"/>
                <w:szCs w:val="24"/>
                <w:highlight w:val="none"/>
              </w:rPr>
              <w:t>考核项目</w:t>
            </w:r>
          </w:p>
        </w:tc>
        <w:tc>
          <w:tcPr>
            <w:tcW w:w="2158" w:type="pct"/>
            <w:noWrap w:val="0"/>
            <w:vAlign w:val="center"/>
          </w:tcPr>
          <w:p w14:paraId="197BB81D">
            <w:pPr>
              <w:jc w:val="center"/>
              <w:rPr>
                <w:rFonts w:ascii="仿宋" w:hAnsi="仿宋" w:eastAsia="仿宋"/>
                <w:sz w:val="24"/>
                <w:szCs w:val="24"/>
                <w:highlight w:val="none"/>
              </w:rPr>
            </w:pPr>
            <w:r>
              <w:rPr>
                <w:rFonts w:ascii="仿宋" w:hAnsi="仿宋" w:eastAsia="仿宋"/>
                <w:sz w:val="24"/>
                <w:szCs w:val="24"/>
                <w:highlight w:val="none"/>
              </w:rPr>
              <w:t>扣分标准</w:t>
            </w:r>
          </w:p>
        </w:tc>
        <w:tc>
          <w:tcPr>
            <w:tcW w:w="1192" w:type="pct"/>
            <w:noWrap w:val="0"/>
            <w:vAlign w:val="center"/>
          </w:tcPr>
          <w:p w14:paraId="558A1E2F">
            <w:pPr>
              <w:jc w:val="center"/>
              <w:rPr>
                <w:rFonts w:ascii="仿宋" w:hAnsi="仿宋" w:eastAsia="仿宋"/>
                <w:sz w:val="24"/>
                <w:szCs w:val="24"/>
                <w:highlight w:val="none"/>
              </w:rPr>
            </w:pPr>
            <w:r>
              <w:rPr>
                <w:rFonts w:ascii="仿宋" w:hAnsi="仿宋" w:eastAsia="仿宋"/>
                <w:sz w:val="24"/>
                <w:szCs w:val="24"/>
                <w:highlight w:val="none"/>
              </w:rPr>
              <w:t>扣款标准</w:t>
            </w:r>
          </w:p>
        </w:tc>
        <w:tc>
          <w:tcPr>
            <w:tcW w:w="252" w:type="pct"/>
            <w:noWrap w:val="0"/>
            <w:vAlign w:val="center"/>
          </w:tcPr>
          <w:p w14:paraId="53C1D58B">
            <w:pPr>
              <w:jc w:val="center"/>
              <w:rPr>
                <w:rFonts w:ascii="仿宋" w:hAnsi="仿宋" w:eastAsia="仿宋"/>
                <w:sz w:val="24"/>
                <w:szCs w:val="24"/>
                <w:highlight w:val="none"/>
              </w:rPr>
            </w:pPr>
            <w:r>
              <w:rPr>
                <w:rFonts w:ascii="仿宋" w:hAnsi="仿宋" w:eastAsia="仿宋"/>
                <w:sz w:val="24"/>
                <w:szCs w:val="24"/>
                <w:highlight w:val="none"/>
              </w:rPr>
              <w:t>备注</w:t>
            </w:r>
          </w:p>
        </w:tc>
      </w:tr>
      <w:tr w14:paraId="1379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501A0DD">
            <w:pPr>
              <w:rPr>
                <w:rFonts w:ascii="仿宋" w:hAnsi="仿宋" w:eastAsia="仿宋"/>
                <w:sz w:val="24"/>
                <w:szCs w:val="24"/>
                <w:highlight w:val="none"/>
              </w:rPr>
            </w:pPr>
            <w:r>
              <w:rPr>
                <w:rFonts w:ascii="仿宋" w:hAnsi="仿宋" w:eastAsia="仿宋"/>
                <w:sz w:val="24"/>
                <w:szCs w:val="24"/>
                <w:highlight w:val="none"/>
              </w:rPr>
              <w:t>1</w:t>
            </w:r>
          </w:p>
        </w:tc>
        <w:tc>
          <w:tcPr>
            <w:tcW w:w="444" w:type="pct"/>
            <w:vMerge w:val="restart"/>
            <w:noWrap w:val="0"/>
            <w:vAlign w:val="center"/>
          </w:tcPr>
          <w:p w14:paraId="2385F045">
            <w:pPr>
              <w:rPr>
                <w:rFonts w:ascii="仿宋" w:hAnsi="仿宋" w:eastAsia="仿宋"/>
                <w:sz w:val="24"/>
                <w:szCs w:val="24"/>
                <w:highlight w:val="none"/>
              </w:rPr>
            </w:pPr>
            <w:r>
              <w:rPr>
                <w:rFonts w:ascii="仿宋" w:hAnsi="仿宋" w:eastAsia="仿宋"/>
                <w:sz w:val="24"/>
                <w:szCs w:val="24"/>
                <w:highlight w:val="none"/>
              </w:rPr>
              <w:t>绿化养护（50分）</w:t>
            </w:r>
          </w:p>
        </w:tc>
        <w:tc>
          <w:tcPr>
            <w:tcW w:w="648" w:type="pct"/>
            <w:noWrap w:val="0"/>
            <w:vAlign w:val="center"/>
          </w:tcPr>
          <w:p w14:paraId="42659617">
            <w:pPr>
              <w:rPr>
                <w:rFonts w:ascii="仿宋" w:hAnsi="仿宋" w:eastAsia="仿宋"/>
                <w:sz w:val="24"/>
                <w:szCs w:val="24"/>
                <w:highlight w:val="none"/>
              </w:rPr>
            </w:pPr>
            <w:r>
              <w:rPr>
                <w:rFonts w:ascii="仿宋" w:hAnsi="仿宋" w:eastAsia="仿宋"/>
                <w:sz w:val="24"/>
                <w:szCs w:val="24"/>
                <w:highlight w:val="none"/>
              </w:rPr>
              <w:t>足额配备现场管理人员绿化养护工</w:t>
            </w:r>
          </w:p>
        </w:tc>
        <w:tc>
          <w:tcPr>
            <w:tcW w:w="2158" w:type="pct"/>
            <w:noWrap w:val="0"/>
            <w:vAlign w:val="top"/>
          </w:tcPr>
          <w:p w14:paraId="6DF17C51">
            <w:pPr>
              <w:rPr>
                <w:rFonts w:ascii="仿宋" w:hAnsi="仿宋" w:eastAsia="仿宋"/>
                <w:sz w:val="24"/>
                <w:szCs w:val="24"/>
                <w:highlight w:val="none"/>
              </w:rPr>
            </w:pPr>
            <w:r>
              <w:rPr>
                <w:rFonts w:ascii="仿宋" w:hAnsi="仿宋" w:eastAsia="仿宋"/>
                <w:sz w:val="24"/>
                <w:szCs w:val="24"/>
                <w:highlight w:val="none"/>
              </w:rPr>
              <w:t>1、养护工配置标准为现场工人公园、</w:t>
            </w:r>
            <w:r>
              <w:rPr>
                <w:rFonts w:hint="eastAsia" w:ascii="仿宋" w:hAnsi="仿宋" w:eastAsia="仿宋"/>
                <w:sz w:val="24"/>
                <w:szCs w:val="24"/>
                <w:highlight w:val="none"/>
              </w:rPr>
              <w:t>一级养护绿地</w:t>
            </w:r>
            <w:r>
              <w:rPr>
                <w:rFonts w:hint="eastAsia" w:ascii="仿宋" w:hAnsi="仿宋" w:eastAsia="仿宋"/>
                <w:sz w:val="24"/>
                <w:szCs w:val="24"/>
                <w:highlight w:val="none"/>
                <w:lang w:val="en-US" w:eastAsia="zh-CN"/>
              </w:rPr>
              <w:t>10000</w:t>
            </w:r>
            <w:r>
              <w:rPr>
                <w:rFonts w:hint="eastAsia" w:ascii="仿宋" w:hAnsi="仿宋" w:eastAsia="仿宋"/>
                <w:sz w:val="24"/>
                <w:szCs w:val="24"/>
                <w:highlight w:val="none"/>
              </w:rPr>
              <w:t>㎡/人，二级养护绿地1</w:t>
            </w: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000㎡/人，防护林带20000㎡/人，</w:t>
            </w:r>
            <w:r>
              <w:rPr>
                <w:rFonts w:ascii="仿宋" w:hAnsi="仿宋" w:eastAsia="仿宋"/>
                <w:sz w:val="24"/>
                <w:szCs w:val="24"/>
                <w:highlight w:val="none"/>
              </w:rPr>
              <w:t>未按规定足额配备每少1人扣2分；</w:t>
            </w:r>
          </w:p>
          <w:p w14:paraId="76DB9311">
            <w:pPr>
              <w:rPr>
                <w:rFonts w:ascii="仿宋" w:hAnsi="仿宋" w:eastAsia="仿宋"/>
                <w:sz w:val="24"/>
                <w:szCs w:val="24"/>
                <w:highlight w:val="none"/>
              </w:rPr>
            </w:pPr>
            <w:r>
              <w:rPr>
                <w:rFonts w:ascii="仿宋" w:hAnsi="仿宋" w:eastAsia="仿宋"/>
                <w:sz w:val="24"/>
                <w:szCs w:val="24"/>
                <w:highlight w:val="none"/>
              </w:rPr>
              <w:t>2、养护人员未按规定着装每人扣1分；</w:t>
            </w:r>
          </w:p>
          <w:p w14:paraId="098A7D4F">
            <w:pPr>
              <w:rPr>
                <w:rFonts w:ascii="仿宋" w:hAnsi="仿宋" w:eastAsia="仿宋"/>
                <w:sz w:val="24"/>
                <w:szCs w:val="24"/>
                <w:highlight w:val="none"/>
              </w:rPr>
            </w:pPr>
            <w:r>
              <w:rPr>
                <w:rFonts w:ascii="仿宋" w:hAnsi="仿宋" w:eastAsia="仿宋"/>
                <w:sz w:val="24"/>
                <w:szCs w:val="24"/>
                <w:highlight w:val="none"/>
              </w:rPr>
              <w:t>3、养护单位现场负责人员管理人员要求园林绿化相关专业大专以上文凭，具有3年从事绿化工作经验</w:t>
            </w:r>
            <w:r>
              <w:rPr>
                <w:rFonts w:hint="eastAsia" w:ascii="仿宋" w:hAnsi="仿宋" w:eastAsia="仿宋"/>
                <w:sz w:val="24"/>
                <w:szCs w:val="24"/>
                <w:highlight w:val="none"/>
              </w:rPr>
              <w:t>。</w:t>
            </w:r>
            <w:r>
              <w:rPr>
                <w:rFonts w:ascii="仿宋" w:hAnsi="仿宋" w:eastAsia="仿宋"/>
                <w:sz w:val="24"/>
                <w:szCs w:val="24"/>
                <w:highlight w:val="none"/>
              </w:rPr>
              <w:t>养护标段现场技术负责人需具有绿化养护高级工应具备的相关要求、知识、技能及3年以上工作经验，现场标段负责人及技术负责人缺岗</w:t>
            </w:r>
            <w:r>
              <w:rPr>
                <w:rFonts w:hint="eastAsia" w:ascii="仿宋" w:hAnsi="仿宋" w:eastAsia="仿宋"/>
                <w:sz w:val="24"/>
                <w:szCs w:val="24"/>
                <w:highlight w:val="none"/>
              </w:rPr>
              <w:t>，</w:t>
            </w:r>
            <w:r>
              <w:rPr>
                <w:rFonts w:ascii="仿宋" w:hAnsi="仿宋" w:eastAsia="仿宋"/>
                <w:sz w:val="24"/>
                <w:szCs w:val="24"/>
                <w:highlight w:val="none"/>
              </w:rPr>
              <w:t>每次扣5分，资质不达标每次扣3分。</w:t>
            </w:r>
          </w:p>
          <w:p w14:paraId="00122460">
            <w:pPr>
              <w:rPr>
                <w:rFonts w:hint="eastAsia" w:ascii="仿宋" w:hAnsi="仿宋" w:eastAsia="仿宋"/>
                <w:sz w:val="24"/>
                <w:szCs w:val="24"/>
                <w:highlight w:val="none"/>
                <w:lang w:eastAsia="zh-CN"/>
              </w:rPr>
            </w:pPr>
            <w:r>
              <w:rPr>
                <w:rFonts w:ascii="仿宋" w:hAnsi="仿宋" w:eastAsia="仿宋"/>
                <w:sz w:val="24"/>
                <w:szCs w:val="24"/>
                <w:highlight w:val="none"/>
              </w:rPr>
              <w:t>4、技术工人需有5年以上养护工作经验，养护工人中技术工的占比为总人数的30%。按规定未足额配备每少1人扣5分。</w:t>
            </w:r>
          </w:p>
          <w:p w14:paraId="46CFDDE0">
            <w:pPr>
              <w:rPr>
                <w:rFonts w:ascii="仿宋" w:hAnsi="仿宋" w:eastAsia="仿宋"/>
                <w:sz w:val="24"/>
                <w:szCs w:val="24"/>
                <w:highlight w:val="none"/>
              </w:rPr>
            </w:pPr>
            <w:r>
              <w:rPr>
                <w:rFonts w:ascii="仿宋" w:hAnsi="仿宋" w:eastAsia="仿宋"/>
                <w:sz w:val="24"/>
                <w:szCs w:val="24"/>
                <w:highlight w:val="none"/>
              </w:rPr>
              <w:t>5、强化人员专业培训提升，</w:t>
            </w:r>
            <w:r>
              <w:rPr>
                <w:rFonts w:hint="eastAsia" w:ascii="仿宋" w:hAnsi="仿宋" w:eastAsia="仿宋"/>
                <w:sz w:val="24"/>
                <w:szCs w:val="24"/>
                <w:highlight w:val="none"/>
                <w:lang w:val="en-US" w:eastAsia="zh-CN"/>
              </w:rPr>
              <w:t>定期进行</w:t>
            </w:r>
            <w:r>
              <w:rPr>
                <w:rFonts w:ascii="仿宋" w:hAnsi="仿宋" w:eastAsia="仿宋"/>
                <w:sz w:val="24"/>
                <w:szCs w:val="24"/>
                <w:highlight w:val="none"/>
              </w:rPr>
              <w:t>每周一课</w:t>
            </w:r>
            <w:r>
              <w:rPr>
                <w:rFonts w:hint="eastAsia" w:ascii="仿宋" w:hAnsi="仿宋" w:eastAsia="仿宋"/>
                <w:sz w:val="24"/>
                <w:szCs w:val="24"/>
                <w:highlight w:val="none"/>
                <w:lang w:val="en-US" w:eastAsia="zh-CN"/>
              </w:rPr>
              <w:t>及</w:t>
            </w:r>
            <w:r>
              <w:rPr>
                <w:rFonts w:ascii="仿宋" w:hAnsi="仿宋" w:eastAsia="仿宋"/>
                <w:sz w:val="24"/>
                <w:szCs w:val="24"/>
                <w:highlight w:val="none"/>
              </w:rPr>
              <w:t>月度培训</w:t>
            </w:r>
            <w:r>
              <w:rPr>
                <w:rFonts w:hint="eastAsia" w:ascii="仿宋" w:hAnsi="仿宋" w:eastAsia="仿宋"/>
                <w:sz w:val="24"/>
                <w:szCs w:val="24"/>
                <w:highlight w:val="none"/>
                <w:lang w:val="en-US" w:eastAsia="zh-CN"/>
              </w:rPr>
              <w:t>活动，其中每周一课年度不少于20次，月度培训年度不少于5次</w:t>
            </w:r>
            <w:r>
              <w:rPr>
                <w:rFonts w:ascii="仿宋" w:hAnsi="仿宋" w:eastAsia="仿宋"/>
                <w:sz w:val="24"/>
                <w:szCs w:val="24"/>
                <w:highlight w:val="none"/>
              </w:rPr>
              <w:t>。</w:t>
            </w:r>
          </w:p>
        </w:tc>
        <w:tc>
          <w:tcPr>
            <w:tcW w:w="1192" w:type="pct"/>
            <w:noWrap w:val="0"/>
            <w:vAlign w:val="top"/>
          </w:tcPr>
          <w:p w14:paraId="722B631D">
            <w:pPr>
              <w:rPr>
                <w:rFonts w:ascii="仿宋" w:hAnsi="仿宋" w:eastAsia="仿宋"/>
                <w:sz w:val="24"/>
                <w:szCs w:val="24"/>
                <w:highlight w:val="none"/>
              </w:rPr>
            </w:pPr>
          </w:p>
          <w:p w14:paraId="4B5D3ABE">
            <w:pPr>
              <w:rPr>
                <w:rFonts w:hint="default" w:ascii="仿宋" w:hAnsi="仿宋" w:eastAsia="仿宋"/>
                <w:sz w:val="24"/>
                <w:szCs w:val="24"/>
                <w:highlight w:val="none"/>
                <w:lang w:val="en-US" w:eastAsia="zh-CN"/>
              </w:rPr>
            </w:pPr>
            <w:r>
              <w:rPr>
                <w:rFonts w:ascii="仿宋" w:hAnsi="仿宋" w:eastAsia="仿宋"/>
                <w:sz w:val="24"/>
                <w:szCs w:val="24"/>
                <w:highlight w:val="none"/>
              </w:rPr>
              <w:t>工人缺人1次</w:t>
            </w:r>
            <w:r>
              <w:rPr>
                <w:rFonts w:hint="eastAsia" w:ascii="仿宋" w:hAnsi="仿宋" w:eastAsia="仿宋"/>
                <w:sz w:val="24"/>
                <w:szCs w:val="24"/>
                <w:highlight w:val="none"/>
              </w:rPr>
              <w:t>按日工资3倍处罚，每月</w:t>
            </w:r>
            <w:r>
              <w:rPr>
                <w:rFonts w:hint="eastAsia" w:ascii="仿宋" w:hAnsi="仿宋" w:eastAsia="仿宋"/>
                <w:sz w:val="24"/>
                <w:szCs w:val="24"/>
                <w:highlight w:val="none"/>
                <w:lang w:val="en-US" w:eastAsia="zh-CN"/>
              </w:rPr>
              <w:t>累计出现</w:t>
            </w:r>
            <w:r>
              <w:rPr>
                <w:rFonts w:hint="eastAsia" w:ascii="仿宋" w:hAnsi="仿宋" w:eastAsia="仿宋"/>
                <w:sz w:val="24"/>
                <w:szCs w:val="24"/>
                <w:highlight w:val="none"/>
              </w:rPr>
              <w:t>三次以上缺人</w:t>
            </w:r>
            <w:r>
              <w:rPr>
                <w:rFonts w:hint="eastAsia" w:ascii="仿宋" w:hAnsi="仿宋" w:eastAsia="仿宋"/>
                <w:sz w:val="24"/>
                <w:szCs w:val="24"/>
                <w:highlight w:val="none"/>
                <w:lang w:val="en-US" w:eastAsia="zh-CN"/>
              </w:rPr>
              <w:t>问题按照6</w:t>
            </w:r>
            <w:r>
              <w:rPr>
                <w:rFonts w:hint="eastAsia" w:ascii="仿宋" w:hAnsi="仿宋" w:eastAsia="仿宋"/>
                <w:sz w:val="24"/>
                <w:szCs w:val="24"/>
                <w:highlight w:val="none"/>
              </w:rPr>
              <w:t>000元</w:t>
            </w:r>
            <w:r>
              <w:rPr>
                <w:rFonts w:hint="eastAsia" w:ascii="仿宋" w:hAnsi="仿宋" w:eastAsia="仿宋"/>
                <w:sz w:val="24"/>
                <w:szCs w:val="24"/>
                <w:highlight w:val="none"/>
                <w:lang w:val="en-US" w:eastAsia="zh-CN"/>
              </w:rPr>
              <w:t>/人/月标准进行处罚</w:t>
            </w:r>
            <w:r>
              <w:rPr>
                <w:rFonts w:ascii="仿宋" w:hAnsi="仿宋" w:eastAsia="仿宋"/>
                <w:sz w:val="24"/>
                <w:szCs w:val="24"/>
                <w:highlight w:val="none"/>
              </w:rPr>
              <w:t>（如有请假、调岗需提前报备），</w:t>
            </w:r>
            <w:r>
              <w:rPr>
                <w:rFonts w:hint="eastAsia" w:ascii="仿宋" w:hAnsi="仿宋" w:eastAsia="仿宋"/>
                <w:sz w:val="24"/>
                <w:szCs w:val="24"/>
                <w:highlight w:val="none"/>
                <w:lang w:val="en-US" w:eastAsia="zh-CN"/>
              </w:rPr>
              <w:t>对</w:t>
            </w:r>
            <w:r>
              <w:rPr>
                <w:rFonts w:ascii="仿宋" w:hAnsi="仿宋" w:eastAsia="仿宋"/>
                <w:sz w:val="24"/>
                <w:szCs w:val="24"/>
                <w:highlight w:val="none"/>
              </w:rPr>
              <w:t>资质不达标</w:t>
            </w:r>
            <w:r>
              <w:rPr>
                <w:rFonts w:hint="eastAsia" w:ascii="仿宋" w:hAnsi="仿宋" w:eastAsia="仿宋"/>
                <w:sz w:val="24"/>
                <w:szCs w:val="24"/>
                <w:highlight w:val="none"/>
                <w:lang w:val="en-US" w:eastAsia="zh-CN"/>
              </w:rPr>
              <w:t>按照</w:t>
            </w:r>
            <w:r>
              <w:rPr>
                <w:rFonts w:hint="eastAsia" w:ascii="仿宋" w:hAnsi="仿宋" w:eastAsia="仿宋"/>
                <w:sz w:val="24"/>
                <w:szCs w:val="24"/>
                <w:highlight w:val="none"/>
              </w:rPr>
              <w:t>15</w:t>
            </w:r>
            <w:r>
              <w:rPr>
                <w:rFonts w:ascii="仿宋" w:hAnsi="仿宋" w:eastAsia="仿宋"/>
                <w:sz w:val="24"/>
                <w:szCs w:val="24"/>
                <w:highlight w:val="none"/>
              </w:rPr>
              <w:t>00元</w:t>
            </w:r>
            <w:r>
              <w:rPr>
                <w:rFonts w:hint="eastAsia" w:ascii="仿宋" w:hAnsi="仿宋" w:eastAsia="仿宋"/>
                <w:sz w:val="24"/>
                <w:szCs w:val="24"/>
                <w:highlight w:val="none"/>
                <w:lang w:val="en-US" w:eastAsia="zh-CN"/>
              </w:rPr>
              <w:t>/人/月标准进行处罚</w:t>
            </w:r>
            <w:r>
              <w:rPr>
                <w:rFonts w:ascii="仿宋" w:hAnsi="仿宋" w:eastAsia="仿宋"/>
                <w:sz w:val="24"/>
                <w:szCs w:val="24"/>
                <w:highlight w:val="none"/>
              </w:rPr>
              <w:t>；脱岗</w:t>
            </w:r>
            <w:r>
              <w:rPr>
                <w:rFonts w:hint="eastAsia" w:ascii="仿宋" w:hAnsi="仿宋" w:eastAsia="仿宋"/>
                <w:sz w:val="24"/>
                <w:szCs w:val="24"/>
                <w:highlight w:val="none"/>
                <w:lang w:val="en-US" w:eastAsia="zh-CN"/>
              </w:rPr>
              <w:t>问题按照</w:t>
            </w:r>
            <w:r>
              <w:rPr>
                <w:rFonts w:hint="eastAsia" w:ascii="仿宋" w:hAnsi="仿宋" w:eastAsia="仿宋"/>
                <w:sz w:val="24"/>
                <w:szCs w:val="24"/>
                <w:highlight w:val="none"/>
              </w:rPr>
              <w:t>5</w:t>
            </w:r>
            <w:r>
              <w:rPr>
                <w:rFonts w:ascii="仿宋" w:hAnsi="仿宋" w:eastAsia="仿宋"/>
                <w:sz w:val="24"/>
                <w:szCs w:val="24"/>
                <w:highlight w:val="none"/>
              </w:rPr>
              <w:t>00元</w:t>
            </w:r>
            <w:r>
              <w:rPr>
                <w:rFonts w:hint="eastAsia" w:ascii="仿宋" w:hAnsi="仿宋" w:eastAsia="仿宋"/>
                <w:sz w:val="24"/>
                <w:szCs w:val="24"/>
                <w:highlight w:val="none"/>
                <w:lang w:val="en-US" w:eastAsia="zh-CN"/>
              </w:rPr>
              <w:t>/人/次标准进行处罚</w:t>
            </w:r>
            <w:r>
              <w:rPr>
                <w:rFonts w:ascii="仿宋" w:hAnsi="仿宋" w:eastAsia="仿宋"/>
                <w:sz w:val="24"/>
                <w:szCs w:val="24"/>
                <w:highlight w:val="none"/>
              </w:rPr>
              <w:t>，管理人员要求不达标的</w:t>
            </w:r>
            <w:r>
              <w:rPr>
                <w:rFonts w:hint="eastAsia" w:ascii="仿宋" w:hAnsi="仿宋" w:eastAsia="仿宋"/>
                <w:sz w:val="24"/>
                <w:szCs w:val="24"/>
                <w:highlight w:val="none"/>
                <w:lang w:val="en-US" w:eastAsia="zh-CN"/>
              </w:rPr>
              <w:t>按照</w:t>
            </w:r>
            <w:r>
              <w:rPr>
                <w:rFonts w:hint="eastAsia" w:ascii="仿宋" w:hAnsi="仿宋" w:eastAsia="仿宋"/>
                <w:color w:val="FF0000"/>
                <w:sz w:val="24"/>
                <w:szCs w:val="24"/>
                <w:highlight w:val="none"/>
                <w:lang w:val="en-US" w:eastAsia="zh-CN"/>
              </w:rPr>
              <w:t>10</w:t>
            </w:r>
            <w:r>
              <w:rPr>
                <w:rFonts w:hint="eastAsia" w:ascii="仿宋" w:hAnsi="仿宋" w:eastAsia="仿宋"/>
                <w:color w:val="FF0000"/>
                <w:sz w:val="24"/>
                <w:szCs w:val="24"/>
                <w:highlight w:val="none"/>
              </w:rPr>
              <w:t>0</w:t>
            </w:r>
            <w:r>
              <w:rPr>
                <w:rFonts w:ascii="仿宋" w:hAnsi="仿宋" w:eastAsia="仿宋"/>
                <w:color w:val="FF0000"/>
                <w:sz w:val="24"/>
                <w:szCs w:val="24"/>
                <w:highlight w:val="none"/>
              </w:rPr>
              <w:t>00</w:t>
            </w:r>
            <w:r>
              <w:rPr>
                <w:rFonts w:ascii="仿宋" w:hAnsi="仿宋" w:eastAsia="仿宋"/>
                <w:sz w:val="24"/>
                <w:szCs w:val="24"/>
                <w:highlight w:val="none"/>
              </w:rPr>
              <w:t>元</w:t>
            </w:r>
            <w:r>
              <w:rPr>
                <w:rFonts w:hint="eastAsia" w:ascii="仿宋" w:hAnsi="仿宋" w:eastAsia="仿宋"/>
                <w:sz w:val="24"/>
                <w:szCs w:val="24"/>
                <w:highlight w:val="none"/>
                <w:lang w:val="en-US" w:eastAsia="zh-CN"/>
              </w:rPr>
              <w:t>/人/月标准进行处罚</w:t>
            </w:r>
            <w:r>
              <w:rPr>
                <w:rFonts w:ascii="仿宋" w:hAnsi="仿宋" w:eastAsia="仿宋"/>
                <w:sz w:val="24"/>
                <w:szCs w:val="24"/>
                <w:highlight w:val="none"/>
              </w:rPr>
              <w:t>，未按要求</w:t>
            </w:r>
            <w:r>
              <w:rPr>
                <w:rFonts w:hint="eastAsia" w:ascii="仿宋" w:hAnsi="仿宋" w:eastAsia="仿宋"/>
                <w:sz w:val="24"/>
                <w:szCs w:val="24"/>
                <w:highlight w:val="none"/>
                <w:lang w:val="en-US" w:eastAsia="zh-CN"/>
              </w:rPr>
              <w:t>足额配备</w:t>
            </w:r>
            <w:r>
              <w:rPr>
                <w:rFonts w:ascii="仿宋" w:hAnsi="仿宋" w:eastAsia="仿宋"/>
                <w:sz w:val="24"/>
                <w:szCs w:val="24"/>
                <w:highlight w:val="none"/>
              </w:rPr>
              <w:t>管理人员的</w:t>
            </w:r>
            <w:r>
              <w:rPr>
                <w:rFonts w:hint="eastAsia" w:ascii="仿宋" w:hAnsi="仿宋" w:eastAsia="仿宋"/>
                <w:sz w:val="24"/>
                <w:szCs w:val="24"/>
                <w:highlight w:val="none"/>
                <w:lang w:val="en-US" w:eastAsia="zh-CN"/>
              </w:rPr>
              <w:t>按照</w:t>
            </w:r>
            <w:r>
              <w:rPr>
                <w:rFonts w:hint="eastAsia" w:ascii="仿宋" w:hAnsi="仿宋" w:eastAsia="仿宋"/>
                <w:sz w:val="24"/>
                <w:szCs w:val="24"/>
                <w:highlight w:val="none"/>
              </w:rPr>
              <w:t>15000</w:t>
            </w:r>
            <w:r>
              <w:rPr>
                <w:rFonts w:ascii="仿宋" w:hAnsi="仿宋" w:eastAsia="仿宋"/>
                <w:sz w:val="24"/>
                <w:szCs w:val="24"/>
                <w:highlight w:val="none"/>
              </w:rPr>
              <w:t>元</w:t>
            </w:r>
            <w:r>
              <w:rPr>
                <w:rFonts w:hint="eastAsia" w:ascii="仿宋" w:hAnsi="仿宋" w:eastAsia="仿宋"/>
                <w:sz w:val="24"/>
                <w:szCs w:val="24"/>
                <w:highlight w:val="none"/>
                <w:lang w:val="en-US" w:eastAsia="zh-CN"/>
              </w:rPr>
              <w:t>/人/月进行处罚</w:t>
            </w:r>
            <w:r>
              <w:rPr>
                <w:rFonts w:ascii="仿宋" w:hAnsi="仿宋" w:eastAsia="仿宋"/>
                <w:sz w:val="24"/>
                <w:szCs w:val="24"/>
                <w:highlight w:val="none"/>
              </w:rPr>
              <w:t>，未按要求开展培训的</w:t>
            </w:r>
            <w:r>
              <w:rPr>
                <w:rFonts w:hint="eastAsia" w:ascii="仿宋" w:hAnsi="仿宋" w:eastAsia="仿宋"/>
                <w:sz w:val="24"/>
                <w:szCs w:val="24"/>
                <w:highlight w:val="none"/>
                <w:lang w:val="en-US" w:eastAsia="zh-CN"/>
              </w:rPr>
              <w:t>按照</w:t>
            </w:r>
            <w:r>
              <w:rPr>
                <w:rFonts w:ascii="仿宋" w:hAnsi="仿宋" w:eastAsia="仿宋"/>
                <w:sz w:val="24"/>
                <w:szCs w:val="24"/>
                <w:highlight w:val="none"/>
              </w:rPr>
              <w:t>1万元</w:t>
            </w:r>
            <w:r>
              <w:rPr>
                <w:rFonts w:hint="eastAsia" w:ascii="仿宋" w:hAnsi="仿宋" w:eastAsia="仿宋"/>
                <w:sz w:val="24"/>
                <w:szCs w:val="24"/>
                <w:highlight w:val="none"/>
                <w:lang w:val="en-US" w:eastAsia="zh-CN"/>
              </w:rPr>
              <w:t>/次标准进行处罚</w:t>
            </w:r>
          </w:p>
        </w:tc>
        <w:tc>
          <w:tcPr>
            <w:tcW w:w="252" w:type="pct"/>
            <w:noWrap w:val="0"/>
            <w:vAlign w:val="top"/>
          </w:tcPr>
          <w:p w14:paraId="14ED8187">
            <w:pPr>
              <w:rPr>
                <w:rFonts w:ascii="仿宋" w:hAnsi="仿宋" w:eastAsia="仿宋"/>
                <w:sz w:val="24"/>
                <w:szCs w:val="24"/>
                <w:highlight w:val="none"/>
              </w:rPr>
            </w:pPr>
          </w:p>
        </w:tc>
      </w:tr>
      <w:tr w14:paraId="6D06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304" w:type="pct"/>
            <w:vMerge w:val="continue"/>
            <w:noWrap w:val="0"/>
            <w:vAlign w:val="top"/>
          </w:tcPr>
          <w:p w14:paraId="42025DA5">
            <w:pPr>
              <w:rPr>
                <w:rFonts w:ascii="仿宋" w:hAnsi="仿宋" w:eastAsia="仿宋"/>
                <w:sz w:val="24"/>
                <w:szCs w:val="24"/>
                <w:highlight w:val="none"/>
              </w:rPr>
            </w:pPr>
          </w:p>
        </w:tc>
        <w:tc>
          <w:tcPr>
            <w:tcW w:w="444" w:type="pct"/>
            <w:vMerge w:val="continue"/>
            <w:noWrap w:val="0"/>
            <w:vAlign w:val="top"/>
          </w:tcPr>
          <w:p w14:paraId="1ACD06D2">
            <w:pPr>
              <w:rPr>
                <w:rFonts w:ascii="仿宋" w:hAnsi="仿宋" w:eastAsia="仿宋"/>
                <w:sz w:val="24"/>
                <w:szCs w:val="24"/>
                <w:highlight w:val="none"/>
              </w:rPr>
            </w:pPr>
          </w:p>
        </w:tc>
        <w:tc>
          <w:tcPr>
            <w:tcW w:w="648" w:type="pct"/>
            <w:noWrap w:val="0"/>
            <w:vAlign w:val="center"/>
          </w:tcPr>
          <w:p w14:paraId="4D94FFBD">
            <w:pPr>
              <w:rPr>
                <w:rFonts w:hint="default" w:ascii="仿宋" w:hAnsi="仿宋" w:eastAsia="仿宋"/>
                <w:sz w:val="24"/>
                <w:szCs w:val="24"/>
                <w:highlight w:val="none"/>
                <w:lang w:val="en-US" w:eastAsia="zh-CN"/>
              </w:rPr>
            </w:pPr>
            <w:r>
              <w:rPr>
                <w:rFonts w:ascii="仿宋" w:hAnsi="仿宋" w:eastAsia="仿宋"/>
                <w:sz w:val="24"/>
                <w:szCs w:val="24"/>
                <w:highlight w:val="none"/>
              </w:rPr>
              <w:t>绿</w:t>
            </w:r>
            <w:r>
              <w:rPr>
                <w:rFonts w:hint="eastAsia" w:ascii="仿宋" w:hAnsi="仿宋" w:eastAsia="仿宋"/>
                <w:sz w:val="24"/>
                <w:szCs w:val="24"/>
                <w:highlight w:val="none"/>
                <w:lang w:val="en-US" w:eastAsia="zh-CN"/>
              </w:rPr>
              <w:t>化带</w:t>
            </w:r>
            <w:r>
              <w:rPr>
                <w:rFonts w:ascii="仿宋" w:hAnsi="仿宋" w:eastAsia="仿宋"/>
                <w:sz w:val="24"/>
                <w:szCs w:val="24"/>
                <w:highlight w:val="none"/>
              </w:rPr>
              <w:t>清掏</w:t>
            </w:r>
            <w:r>
              <w:rPr>
                <w:rFonts w:hint="eastAsia" w:ascii="仿宋" w:hAnsi="仿宋" w:eastAsia="仿宋"/>
                <w:sz w:val="24"/>
                <w:szCs w:val="24"/>
                <w:highlight w:val="none"/>
                <w:lang w:val="en-US" w:eastAsia="zh-CN"/>
              </w:rPr>
              <w:t>及绿地、园路、广场、游乐场等区域的保洁</w:t>
            </w:r>
          </w:p>
        </w:tc>
        <w:tc>
          <w:tcPr>
            <w:tcW w:w="2158" w:type="pct"/>
            <w:noWrap w:val="0"/>
            <w:vAlign w:val="top"/>
          </w:tcPr>
          <w:p w14:paraId="3FE33FCB">
            <w:pPr>
              <w:rPr>
                <w:rFonts w:ascii="仿宋" w:hAnsi="仿宋" w:eastAsia="仿宋"/>
                <w:sz w:val="24"/>
                <w:szCs w:val="24"/>
                <w:highlight w:val="none"/>
              </w:rPr>
            </w:pPr>
            <w:r>
              <w:rPr>
                <w:rFonts w:ascii="仿宋" w:hAnsi="仿宋" w:eastAsia="仿宋"/>
                <w:sz w:val="24"/>
                <w:szCs w:val="24"/>
                <w:highlight w:val="none"/>
              </w:rPr>
              <w:t>1、绿化带内有白色垃圾或杂草的，垃圾每处扣1分，绿地杂草按照每平米扣1分；</w:t>
            </w:r>
          </w:p>
          <w:p w14:paraId="0F580453">
            <w:pPr>
              <w:rPr>
                <w:rFonts w:ascii="仿宋" w:hAnsi="仿宋" w:eastAsia="仿宋"/>
                <w:sz w:val="24"/>
                <w:szCs w:val="24"/>
                <w:highlight w:val="none"/>
              </w:rPr>
            </w:pPr>
            <w:r>
              <w:rPr>
                <w:rFonts w:ascii="仿宋" w:hAnsi="仿宋" w:eastAsia="仿宋"/>
                <w:sz w:val="24"/>
                <w:szCs w:val="24"/>
                <w:highlight w:val="none"/>
              </w:rPr>
              <w:t>2、绿化带清理、清掏出的垃圾要求人走垃圾清，沿途堆积的，每处扣2分。</w:t>
            </w:r>
          </w:p>
          <w:p w14:paraId="04259F9B">
            <w:pPr>
              <w:rPr>
                <w:rFonts w:ascii="仿宋" w:hAnsi="仿宋" w:eastAsia="仿宋"/>
                <w:sz w:val="24"/>
                <w:szCs w:val="24"/>
                <w:highlight w:val="none"/>
              </w:rPr>
            </w:pPr>
            <w:r>
              <w:rPr>
                <w:rFonts w:ascii="仿宋" w:hAnsi="仿宋" w:eastAsia="仿宋"/>
                <w:sz w:val="24"/>
                <w:szCs w:val="24"/>
                <w:highlight w:val="none"/>
              </w:rPr>
              <w:t>3、建立绿篱清掏常效化管理机制，每年早春与秋冬交替之际，组织两次彻底的清掏工作，确保绿化带土层低于道沿10公分（特殊情况除外），清掏工作不达标的，每㎡扣0.5分。</w:t>
            </w:r>
          </w:p>
          <w:p w14:paraId="3541E818">
            <w:pPr>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lang w:val="en-US" w:eastAsia="zh-CN"/>
              </w:rPr>
              <w:t>4、园路、广场、绿地等区域及时清扫，垃圾杂物及时捡拾，未开展清扫工作扣5分，未及时捡拾垃圾杂物的发现一处扣0.5分。</w:t>
            </w:r>
          </w:p>
          <w:p w14:paraId="48774895">
            <w:pPr>
              <w:rPr>
                <w:rFonts w:hint="eastAsia" w:ascii="仿宋" w:hAnsi="仿宋" w:eastAsia="仿宋" w:cs="Times New Roman"/>
                <w:sz w:val="24"/>
                <w:szCs w:val="24"/>
                <w:highlight w:val="none"/>
                <w:lang w:val="en-US" w:eastAsia="zh-CN"/>
              </w:rPr>
            </w:pPr>
            <w:r>
              <w:rPr>
                <w:rFonts w:hint="eastAsia" w:ascii="仿宋" w:hAnsi="仿宋" w:eastAsia="仿宋" w:cs="Times New Roman"/>
                <w:sz w:val="24"/>
                <w:szCs w:val="24"/>
                <w:highlight w:val="none"/>
                <w:lang w:val="en-US" w:eastAsia="zh-CN"/>
              </w:rPr>
              <w:t>5、公园广场内垃圾桶、果皮箱内垃圾及时清掏，无堆积垃圾，无恶臭异味，一处不达标扣1分。</w:t>
            </w:r>
          </w:p>
          <w:p w14:paraId="42D5DAEC">
            <w:pPr>
              <w:rPr>
                <w:highlight w:val="none"/>
              </w:rPr>
            </w:pPr>
            <w:r>
              <w:rPr>
                <w:rFonts w:hint="eastAsia" w:ascii="仿宋" w:hAnsi="仿宋" w:eastAsia="仿宋" w:cs="Times New Roman"/>
                <w:sz w:val="24"/>
                <w:szCs w:val="24"/>
                <w:highlight w:val="none"/>
                <w:lang w:val="en-US" w:eastAsia="zh-CN"/>
              </w:rPr>
              <w:t>6、绿地区域内无乱贴乱画，乱打乱盖，擅自占用和堆放杂物现象，一次不达标标扣1分。                        7、绿地内护栏、座椅、垃圾桶等设施定期擦洗，干净整洁，未及时擦洗的每处扣0.5分。</w:t>
            </w:r>
          </w:p>
        </w:tc>
        <w:tc>
          <w:tcPr>
            <w:tcW w:w="1192" w:type="pct"/>
            <w:noWrap w:val="0"/>
            <w:vAlign w:val="top"/>
          </w:tcPr>
          <w:p w14:paraId="24C41998">
            <w:pPr>
              <w:rPr>
                <w:rFonts w:ascii="仿宋" w:hAnsi="仿宋" w:eastAsia="仿宋"/>
                <w:sz w:val="24"/>
                <w:szCs w:val="24"/>
                <w:highlight w:val="none"/>
              </w:rPr>
            </w:pPr>
            <w:r>
              <w:rPr>
                <w:rFonts w:ascii="仿宋" w:hAnsi="仿宋" w:eastAsia="仿宋"/>
                <w:sz w:val="24"/>
                <w:szCs w:val="24"/>
                <w:highlight w:val="none"/>
              </w:rPr>
              <w:t>无保洁方案或方案不合格或未按照方案实施的按照1万元处罚，垃圾杂物每次检查5000㎡范围内超过5处的按照100元/处罚款；出现现场垃圾堆积，未及时清理（工完场清）的按照</w:t>
            </w:r>
            <w:r>
              <w:rPr>
                <w:rFonts w:hint="eastAsia" w:ascii="仿宋" w:hAnsi="仿宋" w:eastAsia="仿宋"/>
                <w:sz w:val="24"/>
                <w:szCs w:val="24"/>
                <w:highlight w:val="none"/>
              </w:rPr>
              <w:t>5</w:t>
            </w:r>
            <w:r>
              <w:rPr>
                <w:rFonts w:ascii="仿宋" w:hAnsi="仿宋" w:eastAsia="仿宋"/>
                <w:sz w:val="24"/>
                <w:szCs w:val="24"/>
                <w:highlight w:val="none"/>
              </w:rPr>
              <w:t>00元/堆进行处罚</w:t>
            </w:r>
          </w:p>
        </w:tc>
        <w:tc>
          <w:tcPr>
            <w:tcW w:w="252" w:type="pct"/>
            <w:noWrap w:val="0"/>
            <w:vAlign w:val="top"/>
          </w:tcPr>
          <w:p w14:paraId="118134F4">
            <w:pPr>
              <w:rPr>
                <w:rFonts w:ascii="仿宋" w:hAnsi="仿宋" w:eastAsia="仿宋"/>
                <w:sz w:val="24"/>
                <w:szCs w:val="24"/>
                <w:highlight w:val="none"/>
              </w:rPr>
            </w:pPr>
          </w:p>
        </w:tc>
      </w:tr>
      <w:tr w14:paraId="26CBB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A1963CE">
            <w:pPr>
              <w:rPr>
                <w:rFonts w:ascii="仿宋" w:hAnsi="仿宋" w:eastAsia="仿宋"/>
                <w:sz w:val="24"/>
                <w:szCs w:val="24"/>
                <w:highlight w:val="none"/>
              </w:rPr>
            </w:pPr>
          </w:p>
        </w:tc>
        <w:tc>
          <w:tcPr>
            <w:tcW w:w="444" w:type="pct"/>
            <w:vMerge w:val="continue"/>
            <w:noWrap w:val="0"/>
            <w:vAlign w:val="top"/>
          </w:tcPr>
          <w:p w14:paraId="58A4043A">
            <w:pPr>
              <w:rPr>
                <w:rFonts w:ascii="仿宋" w:hAnsi="仿宋" w:eastAsia="仿宋"/>
                <w:sz w:val="24"/>
                <w:szCs w:val="24"/>
                <w:highlight w:val="none"/>
              </w:rPr>
            </w:pPr>
          </w:p>
        </w:tc>
        <w:tc>
          <w:tcPr>
            <w:tcW w:w="648" w:type="pct"/>
            <w:noWrap w:val="0"/>
            <w:vAlign w:val="center"/>
          </w:tcPr>
          <w:p w14:paraId="45334A06">
            <w:pPr>
              <w:rPr>
                <w:rFonts w:ascii="仿宋" w:hAnsi="仿宋" w:eastAsia="仿宋"/>
                <w:sz w:val="24"/>
                <w:szCs w:val="24"/>
                <w:highlight w:val="none"/>
              </w:rPr>
            </w:pPr>
            <w:r>
              <w:rPr>
                <w:rFonts w:ascii="仿宋" w:hAnsi="仿宋" w:eastAsia="仿宋"/>
                <w:sz w:val="24"/>
                <w:szCs w:val="24"/>
                <w:highlight w:val="none"/>
              </w:rPr>
              <w:t>绿化带灌溉工作</w:t>
            </w:r>
          </w:p>
        </w:tc>
        <w:tc>
          <w:tcPr>
            <w:tcW w:w="2158" w:type="pct"/>
            <w:noWrap w:val="0"/>
            <w:vAlign w:val="top"/>
          </w:tcPr>
          <w:p w14:paraId="336520A7">
            <w:pPr>
              <w:rPr>
                <w:rFonts w:ascii="仿宋" w:hAnsi="仿宋" w:eastAsia="仿宋"/>
                <w:sz w:val="24"/>
                <w:szCs w:val="24"/>
                <w:highlight w:val="none"/>
              </w:rPr>
            </w:pPr>
            <w:r>
              <w:rPr>
                <w:rFonts w:ascii="仿宋" w:hAnsi="仿宋" w:eastAsia="仿宋"/>
                <w:sz w:val="24"/>
                <w:szCs w:val="24"/>
                <w:highlight w:val="none"/>
              </w:rPr>
              <w:t>1、无浇灌台账、无浇灌实施方案扣10分；</w:t>
            </w:r>
          </w:p>
          <w:p w14:paraId="16D6451B">
            <w:pPr>
              <w:rPr>
                <w:rFonts w:ascii="仿宋" w:hAnsi="仿宋" w:eastAsia="仿宋"/>
                <w:sz w:val="24"/>
                <w:szCs w:val="24"/>
                <w:highlight w:val="none"/>
              </w:rPr>
            </w:pPr>
            <w:r>
              <w:rPr>
                <w:rFonts w:ascii="仿宋" w:hAnsi="仿宋" w:eastAsia="仿宋"/>
                <w:sz w:val="24"/>
                <w:szCs w:val="24"/>
                <w:highlight w:val="none"/>
              </w:rPr>
              <w:t>2、绿地要求每年在入冬和开春两季分开开展冬灌和返青两次灌溉工作，同时全年浇灌次数不少于12次。在连续半个月无有效降水的情况下，要开展抗旱工作。因苗木浇水次数不达标而造成苗木死亡每处扣5分；</w:t>
            </w:r>
          </w:p>
          <w:p w14:paraId="6EC933B1">
            <w:pPr>
              <w:rPr>
                <w:rFonts w:ascii="仿宋" w:hAnsi="仿宋" w:eastAsia="仿宋"/>
                <w:sz w:val="24"/>
                <w:szCs w:val="24"/>
                <w:highlight w:val="none"/>
              </w:rPr>
            </w:pPr>
            <w:r>
              <w:rPr>
                <w:rFonts w:ascii="仿宋" w:hAnsi="仿宋" w:eastAsia="仿宋"/>
                <w:sz w:val="24"/>
                <w:szCs w:val="24"/>
                <w:highlight w:val="none"/>
              </w:rPr>
              <w:t>3、灌溉车辆在交通高峰期作业的，每车次扣2分。</w:t>
            </w:r>
          </w:p>
          <w:p w14:paraId="32A8EF68">
            <w:pPr>
              <w:rPr>
                <w:rFonts w:ascii="仿宋" w:hAnsi="仿宋" w:eastAsia="仿宋"/>
                <w:sz w:val="24"/>
                <w:szCs w:val="24"/>
                <w:highlight w:val="none"/>
              </w:rPr>
            </w:pPr>
            <w:r>
              <w:rPr>
                <w:rFonts w:ascii="仿宋" w:hAnsi="仿宋" w:eastAsia="仿宋"/>
                <w:sz w:val="24"/>
                <w:szCs w:val="24"/>
                <w:highlight w:val="none"/>
              </w:rPr>
              <w:t>4、道路绿地每半月对绿植进行一次冲洗，未实施每次扣5分。</w:t>
            </w:r>
          </w:p>
        </w:tc>
        <w:tc>
          <w:tcPr>
            <w:tcW w:w="1192" w:type="pct"/>
            <w:noWrap w:val="0"/>
            <w:vAlign w:val="top"/>
          </w:tcPr>
          <w:p w14:paraId="0F4C8987">
            <w:pPr>
              <w:rPr>
                <w:rFonts w:ascii="仿宋" w:hAnsi="仿宋" w:eastAsia="仿宋"/>
                <w:sz w:val="24"/>
                <w:szCs w:val="24"/>
                <w:highlight w:val="none"/>
              </w:rPr>
            </w:pPr>
            <w:r>
              <w:rPr>
                <w:rFonts w:ascii="仿宋" w:hAnsi="仿宋" w:eastAsia="仿宋"/>
                <w:sz w:val="24"/>
                <w:szCs w:val="24"/>
                <w:highlight w:val="none"/>
              </w:rPr>
              <w:t>无浇灌方案或方案不合格的按照1万元扣除，未实施或绿地干旱验收不合格的绿地按照</w:t>
            </w:r>
            <w:r>
              <w:rPr>
                <w:rFonts w:hint="eastAsia" w:ascii="仿宋" w:hAnsi="仿宋" w:eastAsia="仿宋"/>
                <w:sz w:val="24"/>
                <w:szCs w:val="24"/>
                <w:highlight w:val="none"/>
              </w:rPr>
              <w:t>0.3</w:t>
            </w:r>
            <w:r>
              <w:rPr>
                <w:rFonts w:ascii="仿宋" w:hAnsi="仿宋" w:eastAsia="仿宋"/>
                <w:sz w:val="24"/>
                <w:szCs w:val="24"/>
                <w:highlight w:val="none"/>
              </w:rPr>
              <w:t>元/㎡/次进行扣款</w:t>
            </w:r>
          </w:p>
        </w:tc>
        <w:tc>
          <w:tcPr>
            <w:tcW w:w="252" w:type="pct"/>
            <w:noWrap w:val="0"/>
            <w:vAlign w:val="top"/>
          </w:tcPr>
          <w:p w14:paraId="01F44FFC">
            <w:pPr>
              <w:rPr>
                <w:rFonts w:ascii="仿宋" w:hAnsi="仿宋" w:eastAsia="仿宋"/>
                <w:sz w:val="24"/>
                <w:szCs w:val="24"/>
                <w:highlight w:val="none"/>
              </w:rPr>
            </w:pPr>
          </w:p>
        </w:tc>
      </w:tr>
      <w:tr w14:paraId="5FBE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61A0315">
            <w:pPr>
              <w:rPr>
                <w:rFonts w:ascii="仿宋" w:hAnsi="仿宋" w:eastAsia="仿宋"/>
                <w:sz w:val="24"/>
                <w:szCs w:val="24"/>
                <w:highlight w:val="none"/>
              </w:rPr>
            </w:pPr>
          </w:p>
        </w:tc>
        <w:tc>
          <w:tcPr>
            <w:tcW w:w="444" w:type="pct"/>
            <w:vMerge w:val="continue"/>
            <w:noWrap w:val="0"/>
            <w:vAlign w:val="top"/>
          </w:tcPr>
          <w:p w14:paraId="21AE194C">
            <w:pPr>
              <w:rPr>
                <w:rFonts w:ascii="仿宋" w:hAnsi="仿宋" w:eastAsia="仿宋"/>
                <w:sz w:val="24"/>
                <w:szCs w:val="24"/>
                <w:highlight w:val="none"/>
              </w:rPr>
            </w:pPr>
          </w:p>
        </w:tc>
        <w:tc>
          <w:tcPr>
            <w:tcW w:w="648" w:type="pct"/>
            <w:noWrap w:val="0"/>
            <w:vAlign w:val="center"/>
          </w:tcPr>
          <w:p w14:paraId="278AF59B">
            <w:pPr>
              <w:rPr>
                <w:rFonts w:ascii="仿宋" w:hAnsi="仿宋" w:eastAsia="仿宋"/>
                <w:sz w:val="24"/>
                <w:szCs w:val="24"/>
                <w:highlight w:val="none"/>
              </w:rPr>
            </w:pPr>
            <w:r>
              <w:rPr>
                <w:rFonts w:ascii="仿宋" w:hAnsi="仿宋" w:eastAsia="仿宋"/>
                <w:sz w:val="24"/>
                <w:szCs w:val="24"/>
                <w:highlight w:val="none"/>
              </w:rPr>
              <w:t>苗木整形修剪、绿地乔木及行道树管理</w:t>
            </w:r>
          </w:p>
        </w:tc>
        <w:tc>
          <w:tcPr>
            <w:tcW w:w="2158" w:type="pct"/>
            <w:noWrap w:val="0"/>
            <w:vAlign w:val="top"/>
          </w:tcPr>
          <w:p w14:paraId="2331B657">
            <w:pPr>
              <w:rPr>
                <w:rFonts w:ascii="仿宋" w:hAnsi="仿宋" w:eastAsia="仿宋"/>
                <w:sz w:val="24"/>
                <w:szCs w:val="24"/>
                <w:highlight w:val="none"/>
              </w:rPr>
            </w:pPr>
            <w:r>
              <w:rPr>
                <w:rFonts w:ascii="仿宋" w:hAnsi="仿宋" w:eastAsia="仿宋"/>
                <w:sz w:val="24"/>
                <w:szCs w:val="24"/>
                <w:highlight w:val="none"/>
              </w:rPr>
              <w:t>1、无修剪实施方案、无修剪台账扣10分；</w:t>
            </w:r>
          </w:p>
          <w:p w14:paraId="15DBB03C">
            <w:pPr>
              <w:rPr>
                <w:rFonts w:ascii="仿宋" w:hAnsi="仿宋" w:eastAsia="仿宋"/>
                <w:sz w:val="24"/>
                <w:szCs w:val="24"/>
                <w:highlight w:val="none"/>
              </w:rPr>
            </w:pPr>
            <w:r>
              <w:rPr>
                <w:rFonts w:ascii="仿宋" w:hAnsi="仿宋" w:eastAsia="仿宋"/>
                <w:sz w:val="24"/>
                <w:szCs w:val="24"/>
                <w:highlight w:val="none"/>
              </w:rPr>
              <w:t>2、草坪、绿篱春冬季每月修剪一次，夏秋季每半月修剪一次，草坪高度冷季型不得超过8㎝（暖季型不得超过</w:t>
            </w:r>
            <w:r>
              <w:rPr>
                <w:rFonts w:hint="eastAsia" w:ascii="仿宋" w:hAnsi="仿宋" w:eastAsia="仿宋"/>
                <w:sz w:val="24"/>
                <w:szCs w:val="24"/>
                <w:highlight w:val="none"/>
              </w:rPr>
              <w:t>5</w:t>
            </w:r>
            <w:r>
              <w:rPr>
                <w:rFonts w:ascii="仿宋" w:hAnsi="仿宋" w:eastAsia="仿宋"/>
                <w:sz w:val="24"/>
                <w:szCs w:val="24"/>
                <w:highlight w:val="none"/>
              </w:rPr>
              <w:t>㎝），绿篱不得高前期修剪高度5㎝；落叶乔木每两个月修剪一次；常绿乔木每半年修剪一次；花灌木春冬季每季度修剪一次、夏秋季每季度修剪二次；未按以上规定作业的，每平米（每株）扣1分；</w:t>
            </w:r>
          </w:p>
          <w:p w14:paraId="496804F3">
            <w:pPr>
              <w:rPr>
                <w:rFonts w:ascii="仿宋" w:hAnsi="仿宋" w:eastAsia="仿宋"/>
                <w:sz w:val="24"/>
                <w:szCs w:val="24"/>
                <w:highlight w:val="none"/>
              </w:rPr>
            </w:pPr>
            <w:r>
              <w:rPr>
                <w:rFonts w:ascii="仿宋" w:hAnsi="仿宋" w:eastAsia="仿宋"/>
                <w:sz w:val="24"/>
                <w:szCs w:val="24"/>
                <w:highlight w:val="none"/>
              </w:rPr>
              <w:t>3、乔木枝叶疯长、灌木杂生乱长、造型无形，导致视线不通透、植物外形不美甚至制约苗木正常生长的每处扣2分。遮挡交通信号灯与交通标识牌的苗木未及时修剪的，每处扣2分；</w:t>
            </w:r>
          </w:p>
          <w:p w14:paraId="53297464">
            <w:pPr>
              <w:rPr>
                <w:rFonts w:ascii="仿宋" w:hAnsi="仿宋" w:eastAsia="仿宋"/>
                <w:sz w:val="24"/>
                <w:szCs w:val="24"/>
                <w:highlight w:val="none"/>
              </w:rPr>
            </w:pPr>
            <w:r>
              <w:rPr>
                <w:rFonts w:ascii="仿宋" w:hAnsi="仿宋" w:eastAsia="仿宋"/>
                <w:sz w:val="24"/>
                <w:szCs w:val="24"/>
                <w:highlight w:val="none"/>
              </w:rPr>
              <w:t>4、行道树乱贴乱挂，新栽行道树上草绳、保护被、塑料膜去除不及时，每处扣1分；</w:t>
            </w:r>
          </w:p>
          <w:p w14:paraId="2AC730FB">
            <w:pPr>
              <w:rPr>
                <w:highlight w:val="none"/>
              </w:rPr>
            </w:pPr>
            <w:r>
              <w:rPr>
                <w:rFonts w:ascii="仿宋" w:hAnsi="仿宋" w:eastAsia="仿宋"/>
                <w:sz w:val="24"/>
                <w:szCs w:val="24"/>
                <w:highlight w:val="none"/>
              </w:rPr>
              <w:t>5、支撑设施杂乱无章，不够规范统一的每处扣1分；</w:t>
            </w:r>
          </w:p>
        </w:tc>
        <w:tc>
          <w:tcPr>
            <w:tcW w:w="1192" w:type="pct"/>
            <w:noWrap w:val="0"/>
            <w:vAlign w:val="top"/>
          </w:tcPr>
          <w:p w14:paraId="34B81CEB">
            <w:pPr>
              <w:rPr>
                <w:rFonts w:ascii="仿宋" w:hAnsi="仿宋" w:eastAsia="仿宋"/>
                <w:sz w:val="24"/>
                <w:szCs w:val="24"/>
                <w:highlight w:val="none"/>
              </w:rPr>
            </w:pPr>
          </w:p>
          <w:p w14:paraId="6A9E26C2">
            <w:pPr>
              <w:rPr>
                <w:rFonts w:ascii="仿宋" w:hAnsi="仿宋" w:eastAsia="仿宋"/>
                <w:sz w:val="24"/>
                <w:szCs w:val="24"/>
                <w:highlight w:val="none"/>
              </w:rPr>
            </w:pPr>
          </w:p>
          <w:p w14:paraId="46BB19D2">
            <w:pPr>
              <w:rPr>
                <w:rFonts w:ascii="仿宋" w:hAnsi="仿宋" w:eastAsia="仿宋"/>
                <w:sz w:val="24"/>
                <w:szCs w:val="24"/>
                <w:highlight w:val="none"/>
              </w:rPr>
            </w:pPr>
            <w:r>
              <w:rPr>
                <w:rFonts w:ascii="仿宋" w:hAnsi="仿宋" w:eastAsia="仿宋"/>
                <w:sz w:val="24"/>
                <w:szCs w:val="24"/>
                <w:highlight w:val="none"/>
              </w:rPr>
              <w:t>无修剪方案或方案不合格的按照1万元处罚，草坪、绿篱修剪不及时或不合格，每平米扣除</w:t>
            </w:r>
            <w:r>
              <w:rPr>
                <w:rFonts w:hint="eastAsia" w:ascii="仿宋" w:hAnsi="仿宋" w:eastAsia="仿宋"/>
                <w:sz w:val="24"/>
                <w:szCs w:val="24"/>
                <w:highlight w:val="none"/>
                <w:lang w:val="en-US" w:eastAsia="zh-CN"/>
              </w:rPr>
              <w:t>2</w:t>
            </w:r>
            <w:r>
              <w:rPr>
                <w:rFonts w:ascii="仿宋" w:hAnsi="仿宋" w:eastAsia="仿宋"/>
                <w:sz w:val="24"/>
                <w:szCs w:val="24"/>
                <w:highlight w:val="none"/>
              </w:rPr>
              <w:t>元/㎡；乔木、灌木修剪不及时或不合格，按照</w:t>
            </w:r>
            <w:r>
              <w:rPr>
                <w:rFonts w:hint="eastAsia" w:ascii="仿宋" w:hAnsi="仿宋" w:eastAsia="仿宋"/>
                <w:sz w:val="24"/>
                <w:szCs w:val="24"/>
                <w:highlight w:val="none"/>
                <w:lang w:val="en-US" w:eastAsia="zh-CN"/>
              </w:rPr>
              <w:t>200</w:t>
            </w:r>
            <w:r>
              <w:rPr>
                <w:rFonts w:ascii="仿宋" w:hAnsi="仿宋" w:eastAsia="仿宋"/>
                <w:sz w:val="24"/>
                <w:szCs w:val="24"/>
                <w:highlight w:val="none"/>
              </w:rPr>
              <w:t>元/株进行处罚。</w:t>
            </w:r>
          </w:p>
        </w:tc>
        <w:tc>
          <w:tcPr>
            <w:tcW w:w="252" w:type="pct"/>
            <w:noWrap w:val="0"/>
            <w:vAlign w:val="top"/>
          </w:tcPr>
          <w:p w14:paraId="01611A66">
            <w:pPr>
              <w:rPr>
                <w:rFonts w:ascii="仿宋" w:hAnsi="仿宋" w:eastAsia="仿宋"/>
                <w:sz w:val="24"/>
                <w:szCs w:val="24"/>
                <w:highlight w:val="none"/>
              </w:rPr>
            </w:pPr>
          </w:p>
        </w:tc>
      </w:tr>
      <w:tr w14:paraId="00D5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2E072F8">
            <w:pPr>
              <w:rPr>
                <w:rFonts w:ascii="仿宋" w:hAnsi="仿宋" w:eastAsia="仿宋"/>
                <w:sz w:val="24"/>
                <w:szCs w:val="24"/>
                <w:highlight w:val="none"/>
              </w:rPr>
            </w:pPr>
          </w:p>
        </w:tc>
        <w:tc>
          <w:tcPr>
            <w:tcW w:w="444" w:type="pct"/>
            <w:vMerge w:val="continue"/>
            <w:noWrap w:val="0"/>
            <w:vAlign w:val="top"/>
          </w:tcPr>
          <w:p w14:paraId="3B588826">
            <w:pPr>
              <w:rPr>
                <w:rFonts w:ascii="仿宋" w:hAnsi="仿宋" w:eastAsia="仿宋"/>
                <w:sz w:val="24"/>
                <w:szCs w:val="24"/>
                <w:highlight w:val="none"/>
              </w:rPr>
            </w:pPr>
          </w:p>
        </w:tc>
        <w:tc>
          <w:tcPr>
            <w:tcW w:w="648" w:type="pct"/>
            <w:noWrap w:val="0"/>
            <w:vAlign w:val="center"/>
          </w:tcPr>
          <w:p w14:paraId="6143603E">
            <w:pPr>
              <w:rPr>
                <w:rFonts w:ascii="仿宋" w:hAnsi="仿宋" w:eastAsia="仿宋"/>
                <w:sz w:val="24"/>
                <w:szCs w:val="24"/>
                <w:highlight w:val="none"/>
              </w:rPr>
            </w:pPr>
            <w:r>
              <w:rPr>
                <w:rFonts w:ascii="仿宋" w:hAnsi="仿宋" w:eastAsia="仿宋"/>
                <w:sz w:val="24"/>
                <w:szCs w:val="24"/>
                <w:highlight w:val="none"/>
              </w:rPr>
              <w:t>树木扶正</w:t>
            </w:r>
          </w:p>
        </w:tc>
        <w:tc>
          <w:tcPr>
            <w:tcW w:w="2158" w:type="pct"/>
            <w:noWrap w:val="0"/>
            <w:vAlign w:val="top"/>
          </w:tcPr>
          <w:p w14:paraId="5B6C3324">
            <w:pPr>
              <w:rPr>
                <w:rFonts w:ascii="仿宋" w:hAnsi="仿宋" w:eastAsia="仿宋"/>
                <w:sz w:val="24"/>
                <w:szCs w:val="24"/>
                <w:highlight w:val="none"/>
              </w:rPr>
            </w:pPr>
            <w:r>
              <w:rPr>
                <w:rFonts w:ascii="仿宋" w:hAnsi="仿宋" w:eastAsia="仿宋"/>
                <w:sz w:val="24"/>
                <w:szCs w:val="24"/>
                <w:highlight w:val="none"/>
              </w:rPr>
              <w:t>树木歪斜未及时扶正的扣2分</w:t>
            </w:r>
          </w:p>
        </w:tc>
        <w:tc>
          <w:tcPr>
            <w:tcW w:w="1192" w:type="pct"/>
            <w:noWrap w:val="0"/>
            <w:vAlign w:val="top"/>
          </w:tcPr>
          <w:p w14:paraId="501E777C">
            <w:pPr>
              <w:rPr>
                <w:rFonts w:ascii="仿宋" w:hAnsi="仿宋" w:eastAsia="仿宋"/>
                <w:sz w:val="24"/>
                <w:szCs w:val="24"/>
                <w:highlight w:val="none"/>
              </w:rPr>
            </w:pPr>
            <w:r>
              <w:rPr>
                <w:rFonts w:ascii="仿宋" w:hAnsi="仿宋" w:eastAsia="仿宋"/>
                <w:sz w:val="24"/>
                <w:szCs w:val="24"/>
                <w:highlight w:val="none"/>
              </w:rPr>
              <w:t>无方案或方案不合格的按照</w:t>
            </w:r>
            <w:r>
              <w:rPr>
                <w:rFonts w:hint="eastAsia" w:ascii="仿宋" w:hAnsi="仿宋" w:eastAsia="仿宋"/>
                <w:sz w:val="24"/>
                <w:szCs w:val="24"/>
                <w:highlight w:val="none"/>
              </w:rPr>
              <w:t>1</w:t>
            </w:r>
            <w:r>
              <w:rPr>
                <w:rFonts w:ascii="仿宋" w:hAnsi="仿宋" w:eastAsia="仿宋"/>
                <w:sz w:val="24"/>
                <w:szCs w:val="24"/>
                <w:highlight w:val="none"/>
              </w:rPr>
              <w:t>万元/次扣除，苗木不正未在上一个绿化季扶正的</w:t>
            </w:r>
            <w:r>
              <w:rPr>
                <w:rFonts w:hint="eastAsia" w:ascii="仿宋" w:hAnsi="仿宋" w:eastAsia="仿宋"/>
                <w:color w:val="FF0000"/>
                <w:sz w:val="24"/>
                <w:szCs w:val="24"/>
                <w:highlight w:val="none"/>
                <w:lang w:val="en-US" w:eastAsia="zh-CN"/>
              </w:rPr>
              <w:t>10</w:t>
            </w:r>
            <w:r>
              <w:rPr>
                <w:rFonts w:ascii="仿宋" w:hAnsi="仿宋" w:eastAsia="仿宋"/>
                <w:color w:val="FF0000"/>
                <w:sz w:val="24"/>
                <w:szCs w:val="24"/>
                <w:highlight w:val="none"/>
              </w:rPr>
              <w:t>00元/</w:t>
            </w:r>
            <w:r>
              <w:rPr>
                <w:rFonts w:ascii="仿宋" w:hAnsi="仿宋" w:eastAsia="仿宋"/>
                <w:sz w:val="24"/>
                <w:szCs w:val="24"/>
                <w:highlight w:val="none"/>
              </w:rPr>
              <w:t>株进行扣除；遇极端天气或应急需要未按时限扶正的</w:t>
            </w:r>
            <w:r>
              <w:rPr>
                <w:rFonts w:hint="eastAsia" w:ascii="仿宋" w:hAnsi="仿宋" w:eastAsia="仿宋"/>
                <w:sz w:val="24"/>
                <w:szCs w:val="24"/>
                <w:highlight w:val="none"/>
              </w:rPr>
              <w:t>3</w:t>
            </w:r>
            <w:r>
              <w:rPr>
                <w:rFonts w:ascii="仿宋" w:hAnsi="仿宋" w:eastAsia="仿宋"/>
                <w:sz w:val="24"/>
                <w:szCs w:val="24"/>
                <w:highlight w:val="none"/>
              </w:rPr>
              <w:t>000元/次扣除</w:t>
            </w:r>
          </w:p>
        </w:tc>
        <w:tc>
          <w:tcPr>
            <w:tcW w:w="252" w:type="pct"/>
            <w:noWrap w:val="0"/>
            <w:vAlign w:val="top"/>
          </w:tcPr>
          <w:p w14:paraId="7C7B5A52">
            <w:pPr>
              <w:rPr>
                <w:rFonts w:ascii="仿宋" w:hAnsi="仿宋" w:eastAsia="仿宋"/>
                <w:sz w:val="24"/>
                <w:szCs w:val="24"/>
                <w:highlight w:val="none"/>
              </w:rPr>
            </w:pPr>
          </w:p>
        </w:tc>
      </w:tr>
      <w:tr w14:paraId="490E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2FC3093">
            <w:pPr>
              <w:rPr>
                <w:rFonts w:ascii="仿宋" w:hAnsi="仿宋" w:eastAsia="仿宋"/>
                <w:sz w:val="24"/>
                <w:szCs w:val="24"/>
                <w:highlight w:val="none"/>
              </w:rPr>
            </w:pPr>
          </w:p>
        </w:tc>
        <w:tc>
          <w:tcPr>
            <w:tcW w:w="444" w:type="pct"/>
            <w:vMerge w:val="continue"/>
            <w:noWrap w:val="0"/>
            <w:vAlign w:val="top"/>
          </w:tcPr>
          <w:p w14:paraId="3BDC28FF">
            <w:pPr>
              <w:rPr>
                <w:rFonts w:ascii="仿宋" w:hAnsi="仿宋" w:eastAsia="仿宋"/>
                <w:sz w:val="24"/>
                <w:szCs w:val="24"/>
                <w:highlight w:val="none"/>
              </w:rPr>
            </w:pPr>
          </w:p>
        </w:tc>
        <w:tc>
          <w:tcPr>
            <w:tcW w:w="648" w:type="pct"/>
            <w:noWrap w:val="0"/>
            <w:vAlign w:val="center"/>
          </w:tcPr>
          <w:p w14:paraId="004A3A6B">
            <w:pPr>
              <w:rPr>
                <w:rFonts w:ascii="仿宋" w:hAnsi="仿宋" w:eastAsia="仿宋"/>
                <w:sz w:val="24"/>
                <w:szCs w:val="24"/>
                <w:highlight w:val="none"/>
              </w:rPr>
            </w:pPr>
            <w:r>
              <w:rPr>
                <w:rFonts w:ascii="仿宋" w:hAnsi="仿宋" w:eastAsia="仿宋"/>
                <w:sz w:val="24"/>
                <w:szCs w:val="24"/>
                <w:highlight w:val="none"/>
              </w:rPr>
              <w:t>苗木补栽</w:t>
            </w:r>
          </w:p>
        </w:tc>
        <w:tc>
          <w:tcPr>
            <w:tcW w:w="2158" w:type="pct"/>
            <w:noWrap w:val="0"/>
            <w:vAlign w:val="top"/>
          </w:tcPr>
          <w:p w14:paraId="145C9004">
            <w:pPr>
              <w:rPr>
                <w:rFonts w:ascii="仿宋" w:hAnsi="仿宋" w:eastAsia="仿宋"/>
                <w:sz w:val="24"/>
                <w:szCs w:val="24"/>
                <w:highlight w:val="none"/>
              </w:rPr>
            </w:pPr>
            <w:r>
              <w:rPr>
                <w:rFonts w:ascii="仿宋" w:hAnsi="仿宋" w:eastAsia="仿宋"/>
                <w:sz w:val="24"/>
                <w:szCs w:val="24"/>
                <w:highlight w:val="none"/>
              </w:rPr>
              <w:t>1、每年的春、秋两季组织两次苗木补栽工作，确保行道树无缺株，绿篱无断垄及斑秃现象。行道树和绿篱有缺株或断垄的，每处扣1分。</w:t>
            </w:r>
          </w:p>
          <w:p w14:paraId="69F0FB5B">
            <w:pPr>
              <w:rPr>
                <w:rFonts w:ascii="仿宋" w:hAnsi="仿宋" w:eastAsia="仿宋"/>
                <w:sz w:val="24"/>
                <w:szCs w:val="24"/>
                <w:highlight w:val="none"/>
              </w:rPr>
            </w:pPr>
            <w:r>
              <w:rPr>
                <w:rFonts w:ascii="仿宋" w:hAnsi="仿宋" w:eastAsia="仿宋"/>
                <w:sz w:val="24"/>
                <w:szCs w:val="24"/>
                <w:highlight w:val="none"/>
              </w:rPr>
              <w:t>2、草坪管理维护不精细，造成斑秃的每㎡扣2分。</w:t>
            </w:r>
          </w:p>
          <w:p w14:paraId="5962BFE9">
            <w:pPr>
              <w:rPr>
                <w:rFonts w:ascii="仿宋" w:hAnsi="仿宋" w:eastAsia="仿宋"/>
                <w:sz w:val="24"/>
                <w:szCs w:val="24"/>
                <w:highlight w:val="none"/>
              </w:rPr>
            </w:pPr>
            <w:r>
              <w:rPr>
                <w:rFonts w:ascii="仿宋" w:hAnsi="仿宋" w:eastAsia="仿宋"/>
                <w:sz w:val="24"/>
                <w:szCs w:val="24"/>
                <w:highlight w:val="none"/>
              </w:rPr>
              <w:t>3、无修剪台账、无修剪实施方案扣10分；</w:t>
            </w:r>
          </w:p>
        </w:tc>
        <w:tc>
          <w:tcPr>
            <w:tcW w:w="1192" w:type="pct"/>
            <w:noWrap w:val="0"/>
            <w:vAlign w:val="top"/>
          </w:tcPr>
          <w:p w14:paraId="1DB2B691">
            <w:pPr>
              <w:rPr>
                <w:rFonts w:ascii="仿宋" w:hAnsi="仿宋" w:eastAsia="仿宋"/>
                <w:sz w:val="24"/>
                <w:szCs w:val="24"/>
                <w:highlight w:val="none"/>
              </w:rPr>
            </w:pPr>
            <w:r>
              <w:rPr>
                <w:rFonts w:ascii="仿宋" w:hAnsi="仿宋" w:eastAsia="仿宋"/>
                <w:sz w:val="24"/>
                <w:szCs w:val="24"/>
                <w:highlight w:val="none"/>
              </w:rPr>
              <w:t>无方案的或方案不合格的按照1万元/次扣除，乔木、灌木按照</w:t>
            </w:r>
            <w:r>
              <w:rPr>
                <w:rFonts w:hint="eastAsia" w:ascii="仿宋" w:hAnsi="仿宋" w:eastAsia="仿宋"/>
                <w:sz w:val="24"/>
                <w:szCs w:val="24"/>
                <w:highlight w:val="none"/>
              </w:rPr>
              <w:t>3</w:t>
            </w:r>
            <w:r>
              <w:rPr>
                <w:rFonts w:ascii="仿宋" w:hAnsi="仿宋" w:eastAsia="仿宋"/>
                <w:sz w:val="24"/>
                <w:szCs w:val="24"/>
                <w:highlight w:val="none"/>
              </w:rPr>
              <w:t>000元/株进行扣款，绿篱按照</w:t>
            </w:r>
            <w:r>
              <w:rPr>
                <w:rFonts w:hint="eastAsia" w:ascii="仿宋" w:hAnsi="仿宋" w:eastAsia="仿宋"/>
                <w:sz w:val="24"/>
                <w:szCs w:val="24"/>
                <w:highlight w:val="none"/>
              </w:rPr>
              <w:t>3</w:t>
            </w:r>
            <w:r>
              <w:rPr>
                <w:rFonts w:ascii="仿宋" w:hAnsi="仿宋" w:eastAsia="仿宋"/>
                <w:sz w:val="24"/>
                <w:szCs w:val="24"/>
                <w:highlight w:val="none"/>
              </w:rPr>
              <w:t>000元/㎡进行扣款，地被</w:t>
            </w:r>
            <w:r>
              <w:rPr>
                <w:rFonts w:hint="eastAsia" w:ascii="仿宋" w:hAnsi="仿宋" w:eastAsia="仿宋"/>
                <w:sz w:val="24"/>
                <w:szCs w:val="24"/>
                <w:highlight w:val="none"/>
              </w:rPr>
              <w:t>、</w:t>
            </w:r>
            <w:r>
              <w:rPr>
                <w:rFonts w:ascii="仿宋" w:hAnsi="仿宋" w:eastAsia="仿宋"/>
                <w:sz w:val="24"/>
                <w:szCs w:val="24"/>
                <w:highlight w:val="none"/>
              </w:rPr>
              <w:t>草坪按照</w:t>
            </w:r>
            <w:r>
              <w:rPr>
                <w:rFonts w:hint="eastAsia" w:ascii="仿宋" w:hAnsi="仿宋" w:eastAsia="仿宋"/>
                <w:sz w:val="24"/>
                <w:szCs w:val="24"/>
                <w:highlight w:val="none"/>
              </w:rPr>
              <w:t>5</w:t>
            </w:r>
            <w:r>
              <w:rPr>
                <w:rFonts w:ascii="仿宋" w:hAnsi="仿宋" w:eastAsia="仿宋"/>
                <w:sz w:val="24"/>
                <w:szCs w:val="24"/>
                <w:highlight w:val="none"/>
              </w:rPr>
              <w:t>00元/㎡进行扣款</w:t>
            </w:r>
          </w:p>
        </w:tc>
        <w:tc>
          <w:tcPr>
            <w:tcW w:w="252" w:type="pct"/>
            <w:noWrap w:val="0"/>
            <w:vAlign w:val="top"/>
          </w:tcPr>
          <w:p w14:paraId="3D1B9A36">
            <w:pPr>
              <w:rPr>
                <w:rFonts w:ascii="仿宋" w:hAnsi="仿宋" w:eastAsia="仿宋"/>
                <w:sz w:val="24"/>
                <w:szCs w:val="24"/>
                <w:highlight w:val="none"/>
              </w:rPr>
            </w:pPr>
          </w:p>
        </w:tc>
      </w:tr>
      <w:tr w14:paraId="312F5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1DB3423">
            <w:pPr>
              <w:rPr>
                <w:rFonts w:ascii="仿宋" w:hAnsi="仿宋" w:eastAsia="仿宋"/>
                <w:sz w:val="24"/>
                <w:szCs w:val="24"/>
                <w:highlight w:val="none"/>
              </w:rPr>
            </w:pPr>
          </w:p>
        </w:tc>
        <w:tc>
          <w:tcPr>
            <w:tcW w:w="444" w:type="pct"/>
            <w:vMerge w:val="continue"/>
            <w:noWrap w:val="0"/>
            <w:vAlign w:val="top"/>
          </w:tcPr>
          <w:p w14:paraId="4FF8F6D4">
            <w:pPr>
              <w:rPr>
                <w:rFonts w:ascii="仿宋" w:hAnsi="仿宋" w:eastAsia="仿宋"/>
                <w:sz w:val="24"/>
                <w:szCs w:val="24"/>
                <w:highlight w:val="none"/>
              </w:rPr>
            </w:pPr>
          </w:p>
        </w:tc>
        <w:tc>
          <w:tcPr>
            <w:tcW w:w="648" w:type="pct"/>
            <w:noWrap w:val="0"/>
            <w:vAlign w:val="center"/>
          </w:tcPr>
          <w:p w14:paraId="70326D4A">
            <w:pPr>
              <w:rPr>
                <w:rFonts w:ascii="仿宋" w:hAnsi="仿宋" w:eastAsia="仿宋"/>
                <w:sz w:val="24"/>
                <w:szCs w:val="24"/>
                <w:highlight w:val="none"/>
              </w:rPr>
            </w:pPr>
            <w:r>
              <w:rPr>
                <w:rFonts w:ascii="仿宋" w:hAnsi="仿宋" w:eastAsia="仿宋"/>
                <w:sz w:val="24"/>
                <w:szCs w:val="24"/>
                <w:highlight w:val="none"/>
              </w:rPr>
              <w:t>施肥</w:t>
            </w:r>
          </w:p>
        </w:tc>
        <w:tc>
          <w:tcPr>
            <w:tcW w:w="2158" w:type="pct"/>
            <w:noWrap w:val="0"/>
            <w:vAlign w:val="top"/>
          </w:tcPr>
          <w:p w14:paraId="2BD25642">
            <w:pPr>
              <w:rPr>
                <w:rFonts w:ascii="仿宋" w:hAnsi="仿宋" w:eastAsia="仿宋"/>
                <w:sz w:val="24"/>
                <w:szCs w:val="24"/>
                <w:highlight w:val="none"/>
              </w:rPr>
            </w:pPr>
            <w:r>
              <w:rPr>
                <w:rFonts w:ascii="仿宋" w:hAnsi="仿宋" w:eastAsia="仿宋"/>
                <w:sz w:val="24"/>
                <w:szCs w:val="24"/>
                <w:highlight w:val="none"/>
              </w:rPr>
              <w:t>无施肥方案、无完整台账扣5分；未按照方案实施扣5分；未及时组织人员施肥每次扣3分；无台账扣3分；</w:t>
            </w:r>
          </w:p>
        </w:tc>
        <w:tc>
          <w:tcPr>
            <w:tcW w:w="1192" w:type="pct"/>
            <w:noWrap w:val="0"/>
            <w:vAlign w:val="top"/>
          </w:tcPr>
          <w:p w14:paraId="5F33B0AD">
            <w:pPr>
              <w:rPr>
                <w:rFonts w:ascii="仿宋" w:hAnsi="仿宋" w:eastAsia="仿宋"/>
                <w:sz w:val="24"/>
                <w:szCs w:val="24"/>
                <w:highlight w:val="none"/>
              </w:rPr>
            </w:pPr>
            <w:r>
              <w:rPr>
                <w:rFonts w:ascii="仿宋" w:hAnsi="仿宋" w:eastAsia="仿宋"/>
                <w:sz w:val="24"/>
                <w:szCs w:val="24"/>
                <w:highlight w:val="none"/>
              </w:rPr>
              <w:t>无方案或方案不合格的按照1万元扣除，未实施或验收不合格的乔木、灌木等按照</w:t>
            </w:r>
            <w:r>
              <w:rPr>
                <w:rFonts w:hint="eastAsia" w:ascii="仿宋" w:hAnsi="仿宋" w:eastAsia="仿宋"/>
                <w:sz w:val="24"/>
                <w:szCs w:val="24"/>
                <w:highlight w:val="none"/>
                <w:lang w:val="en-US" w:eastAsia="zh-CN"/>
              </w:rPr>
              <w:t>100</w:t>
            </w:r>
            <w:r>
              <w:rPr>
                <w:rFonts w:ascii="仿宋" w:hAnsi="仿宋" w:eastAsia="仿宋"/>
                <w:sz w:val="24"/>
                <w:szCs w:val="24"/>
                <w:highlight w:val="none"/>
              </w:rPr>
              <w:t>元/株进行扣款</w:t>
            </w:r>
          </w:p>
        </w:tc>
        <w:tc>
          <w:tcPr>
            <w:tcW w:w="252" w:type="pct"/>
            <w:noWrap w:val="0"/>
            <w:vAlign w:val="top"/>
          </w:tcPr>
          <w:p w14:paraId="71BE784A">
            <w:pPr>
              <w:rPr>
                <w:rFonts w:ascii="仿宋" w:hAnsi="仿宋" w:eastAsia="仿宋"/>
                <w:sz w:val="24"/>
                <w:szCs w:val="24"/>
                <w:highlight w:val="none"/>
              </w:rPr>
            </w:pPr>
          </w:p>
        </w:tc>
      </w:tr>
      <w:tr w14:paraId="60B0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BC90C05">
            <w:pPr>
              <w:rPr>
                <w:rFonts w:ascii="仿宋" w:hAnsi="仿宋" w:eastAsia="仿宋"/>
                <w:sz w:val="24"/>
                <w:szCs w:val="24"/>
                <w:highlight w:val="none"/>
              </w:rPr>
            </w:pPr>
          </w:p>
        </w:tc>
        <w:tc>
          <w:tcPr>
            <w:tcW w:w="444" w:type="pct"/>
            <w:vMerge w:val="continue"/>
            <w:noWrap w:val="0"/>
            <w:vAlign w:val="top"/>
          </w:tcPr>
          <w:p w14:paraId="57469FAB">
            <w:pPr>
              <w:rPr>
                <w:rFonts w:ascii="仿宋" w:hAnsi="仿宋" w:eastAsia="仿宋"/>
                <w:sz w:val="24"/>
                <w:szCs w:val="24"/>
                <w:highlight w:val="none"/>
              </w:rPr>
            </w:pPr>
          </w:p>
        </w:tc>
        <w:tc>
          <w:tcPr>
            <w:tcW w:w="648" w:type="pct"/>
            <w:noWrap w:val="0"/>
            <w:vAlign w:val="center"/>
          </w:tcPr>
          <w:p w14:paraId="33D83D92">
            <w:pPr>
              <w:rPr>
                <w:rFonts w:ascii="仿宋" w:hAnsi="仿宋" w:eastAsia="仿宋"/>
                <w:sz w:val="24"/>
                <w:szCs w:val="24"/>
                <w:highlight w:val="none"/>
              </w:rPr>
            </w:pPr>
            <w:r>
              <w:rPr>
                <w:rFonts w:ascii="仿宋" w:hAnsi="仿宋" w:eastAsia="仿宋"/>
                <w:sz w:val="24"/>
                <w:szCs w:val="24"/>
                <w:highlight w:val="none"/>
              </w:rPr>
              <w:t>病虫害防治</w:t>
            </w:r>
          </w:p>
        </w:tc>
        <w:tc>
          <w:tcPr>
            <w:tcW w:w="2158" w:type="pct"/>
            <w:noWrap w:val="0"/>
            <w:vAlign w:val="top"/>
          </w:tcPr>
          <w:p w14:paraId="11BD980A">
            <w:pPr>
              <w:rPr>
                <w:rFonts w:ascii="仿宋" w:hAnsi="仿宋" w:eastAsia="仿宋"/>
                <w:sz w:val="24"/>
                <w:szCs w:val="24"/>
                <w:highlight w:val="none"/>
              </w:rPr>
            </w:pPr>
            <w:r>
              <w:rPr>
                <w:rFonts w:ascii="仿宋" w:hAnsi="仿宋" w:eastAsia="仿宋"/>
                <w:sz w:val="24"/>
                <w:szCs w:val="24"/>
                <w:highlight w:val="none"/>
              </w:rPr>
              <w:t>1、根据园林植物病虫害预测、预报信息，做好预案，以防为主、防治结合，做好病虫害的防治工作。没有病虫害防治预案的扣5分，未按照方案实施扣5分；无台账扣3分；</w:t>
            </w:r>
          </w:p>
          <w:p w14:paraId="67D0747A">
            <w:pPr>
              <w:rPr>
                <w:rFonts w:ascii="仿宋" w:hAnsi="仿宋" w:eastAsia="仿宋"/>
                <w:sz w:val="24"/>
                <w:szCs w:val="24"/>
                <w:highlight w:val="none"/>
              </w:rPr>
            </w:pPr>
            <w:r>
              <w:rPr>
                <w:rFonts w:ascii="仿宋" w:hAnsi="仿宋" w:eastAsia="仿宋"/>
                <w:sz w:val="24"/>
                <w:szCs w:val="24"/>
                <w:highlight w:val="none"/>
              </w:rPr>
              <w:t>2、出现病虫害未及时处理的扣10分。</w:t>
            </w:r>
          </w:p>
        </w:tc>
        <w:tc>
          <w:tcPr>
            <w:tcW w:w="1192" w:type="pct"/>
            <w:noWrap w:val="0"/>
            <w:vAlign w:val="top"/>
          </w:tcPr>
          <w:p w14:paraId="08EAF1B3">
            <w:pPr>
              <w:rPr>
                <w:rFonts w:ascii="仿宋" w:hAnsi="仿宋" w:eastAsia="仿宋"/>
                <w:sz w:val="24"/>
                <w:szCs w:val="24"/>
                <w:highlight w:val="none"/>
              </w:rPr>
            </w:pPr>
            <w:r>
              <w:rPr>
                <w:rFonts w:ascii="仿宋" w:hAnsi="仿宋" w:eastAsia="仿宋"/>
                <w:sz w:val="24"/>
                <w:szCs w:val="24"/>
                <w:highlight w:val="none"/>
              </w:rPr>
              <w:t>无方案的或方案不合格的按照1万元扣除，防治不到位或未实施的，乔木、灌木按照</w:t>
            </w:r>
            <w:r>
              <w:rPr>
                <w:rFonts w:hint="eastAsia" w:ascii="仿宋" w:hAnsi="仿宋" w:eastAsia="仿宋"/>
                <w:sz w:val="24"/>
                <w:szCs w:val="24"/>
                <w:highlight w:val="none"/>
              </w:rPr>
              <w:t>3</w:t>
            </w:r>
            <w:r>
              <w:rPr>
                <w:rFonts w:ascii="仿宋" w:hAnsi="仿宋" w:eastAsia="仿宋"/>
                <w:sz w:val="24"/>
                <w:szCs w:val="24"/>
                <w:highlight w:val="none"/>
              </w:rPr>
              <w:t>元/株进行扣款，绿篱、地被、草坪按照</w:t>
            </w:r>
            <w:r>
              <w:rPr>
                <w:rFonts w:hint="eastAsia" w:ascii="仿宋" w:hAnsi="仿宋" w:eastAsia="仿宋"/>
                <w:sz w:val="24"/>
                <w:szCs w:val="24"/>
                <w:highlight w:val="none"/>
              </w:rPr>
              <w:t>0.3</w:t>
            </w:r>
            <w:r>
              <w:rPr>
                <w:rFonts w:ascii="仿宋" w:hAnsi="仿宋" w:eastAsia="仿宋"/>
                <w:sz w:val="24"/>
                <w:szCs w:val="24"/>
                <w:highlight w:val="none"/>
              </w:rPr>
              <w:t>元/㎡进行扣款</w:t>
            </w:r>
          </w:p>
        </w:tc>
        <w:tc>
          <w:tcPr>
            <w:tcW w:w="252" w:type="pct"/>
            <w:noWrap w:val="0"/>
            <w:vAlign w:val="top"/>
          </w:tcPr>
          <w:p w14:paraId="65852715">
            <w:pPr>
              <w:rPr>
                <w:rFonts w:ascii="仿宋" w:hAnsi="仿宋" w:eastAsia="仿宋"/>
                <w:sz w:val="24"/>
                <w:szCs w:val="24"/>
                <w:highlight w:val="none"/>
              </w:rPr>
            </w:pPr>
          </w:p>
        </w:tc>
      </w:tr>
      <w:tr w14:paraId="0ADE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81E1C9A">
            <w:pPr>
              <w:rPr>
                <w:rFonts w:ascii="仿宋" w:hAnsi="仿宋" w:eastAsia="仿宋"/>
                <w:sz w:val="24"/>
                <w:szCs w:val="24"/>
                <w:highlight w:val="none"/>
              </w:rPr>
            </w:pPr>
          </w:p>
        </w:tc>
        <w:tc>
          <w:tcPr>
            <w:tcW w:w="444" w:type="pct"/>
            <w:vMerge w:val="continue"/>
            <w:noWrap w:val="0"/>
            <w:vAlign w:val="top"/>
          </w:tcPr>
          <w:p w14:paraId="0F42684C">
            <w:pPr>
              <w:rPr>
                <w:rFonts w:ascii="仿宋" w:hAnsi="仿宋" w:eastAsia="仿宋"/>
                <w:sz w:val="24"/>
                <w:szCs w:val="24"/>
                <w:highlight w:val="none"/>
              </w:rPr>
            </w:pPr>
          </w:p>
        </w:tc>
        <w:tc>
          <w:tcPr>
            <w:tcW w:w="648" w:type="pct"/>
            <w:noWrap w:val="0"/>
            <w:vAlign w:val="center"/>
          </w:tcPr>
          <w:p w14:paraId="1DBE6DE4">
            <w:pPr>
              <w:rPr>
                <w:rFonts w:ascii="仿宋" w:hAnsi="仿宋" w:eastAsia="仿宋"/>
                <w:sz w:val="24"/>
                <w:szCs w:val="24"/>
                <w:highlight w:val="none"/>
                <w:lang w:eastAsia="en-US"/>
              </w:rPr>
            </w:pPr>
            <w:r>
              <w:rPr>
                <w:rFonts w:ascii="仿宋" w:hAnsi="仿宋" w:eastAsia="仿宋"/>
                <w:sz w:val="24"/>
                <w:szCs w:val="24"/>
                <w:highlight w:val="none"/>
              </w:rPr>
              <w:t>除杂、松土</w:t>
            </w:r>
          </w:p>
        </w:tc>
        <w:tc>
          <w:tcPr>
            <w:tcW w:w="2158" w:type="pct"/>
            <w:noWrap w:val="0"/>
            <w:vAlign w:val="top"/>
          </w:tcPr>
          <w:p w14:paraId="6A2BE317">
            <w:pPr>
              <w:rPr>
                <w:rFonts w:ascii="仿宋" w:hAnsi="仿宋" w:eastAsia="仿宋"/>
                <w:sz w:val="24"/>
                <w:szCs w:val="24"/>
                <w:highlight w:val="none"/>
              </w:rPr>
            </w:pPr>
            <w:r>
              <w:rPr>
                <w:rFonts w:ascii="仿宋" w:hAnsi="仿宋" w:eastAsia="仿宋"/>
                <w:sz w:val="24"/>
                <w:szCs w:val="24"/>
                <w:highlight w:val="none"/>
              </w:rPr>
              <w:t>未及时编制除杂、松土方案，扣5分，现场土地板结未松土的按照2分</w:t>
            </w:r>
            <w:r>
              <w:rPr>
                <w:rFonts w:hint="eastAsia" w:ascii="仿宋" w:hAnsi="仿宋" w:eastAsia="仿宋"/>
                <w:sz w:val="24"/>
                <w:szCs w:val="24"/>
                <w:highlight w:val="none"/>
              </w:rPr>
              <w:t>/</w:t>
            </w:r>
            <w:r>
              <w:rPr>
                <w:rFonts w:ascii="仿宋" w:hAnsi="仿宋" w:eastAsia="仿宋"/>
                <w:sz w:val="24"/>
                <w:szCs w:val="24"/>
                <w:highlight w:val="none"/>
              </w:rPr>
              <w:t>处标准进行扣分。</w:t>
            </w:r>
          </w:p>
        </w:tc>
        <w:tc>
          <w:tcPr>
            <w:tcW w:w="1192" w:type="pct"/>
            <w:noWrap w:val="0"/>
            <w:vAlign w:val="top"/>
          </w:tcPr>
          <w:p w14:paraId="19386965">
            <w:pPr>
              <w:rPr>
                <w:rFonts w:ascii="仿宋" w:hAnsi="仿宋" w:eastAsia="仿宋"/>
                <w:sz w:val="24"/>
                <w:szCs w:val="24"/>
                <w:highlight w:val="none"/>
              </w:rPr>
            </w:pPr>
            <w:r>
              <w:rPr>
                <w:rFonts w:ascii="仿宋" w:hAnsi="仿宋" w:eastAsia="仿宋"/>
                <w:sz w:val="24"/>
                <w:szCs w:val="24"/>
                <w:highlight w:val="none"/>
              </w:rPr>
              <w:t>无方案或方案不合格的按照1万元扣除，未实施或验收不合格的按照</w:t>
            </w:r>
            <w:r>
              <w:rPr>
                <w:rFonts w:hint="eastAsia" w:ascii="仿宋" w:hAnsi="仿宋" w:eastAsia="仿宋"/>
                <w:sz w:val="24"/>
                <w:szCs w:val="24"/>
                <w:highlight w:val="none"/>
              </w:rPr>
              <w:t>0.3</w:t>
            </w:r>
            <w:r>
              <w:rPr>
                <w:rFonts w:ascii="仿宋" w:hAnsi="仿宋" w:eastAsia="仿宋"/>
                <w:sz w:val="24"/>
                <w:szCs w:val="24"/>
                <w:highlight w:val="none"/>
              </w:rPr>
              <w:t>元/㎡/次进行扣款</w:t>
            </w:r>
          </w:p>
        </w:tc>
        <w:tc>
          <w:tcPr>
            <w:tcW w:w="252" w:type="pct"/>
            <w:noWrap w:val="0"/>
            <w:vAlign w:val="top"/>
          </w:tcPr>
          <w:p w14:paraId="789B3E20">
            <w:pPr>
              <w:rPr>
                <w:rFonts w:ascii="仿宋" w:hAnsi="仿宋" w:eastAsia="仿宋"/>
                <w:sz w:val="24"/>
                <w:szCs w:val="24"/>
                <w:highlight w:val="none"/>
              </w:rPr>
            </w:pPr>
          </w:p>
        </w:tc>
      </w:tr>
      <w:tr w14:paraId="008D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0F9EF63E">
            <w:pPr>
              <w:rPr>
                <w:rFonts w:ascii="仿宋" w:hAnsi="仿宋" w:eastAsia="仿宋"/>
                <w:sz w:val="24"/>
                <w:szCs w:val="24"/>
                <w:highlight w:val="none"/>
              </w:rPr>
            </w:pPr>
            <w:r>
              <w:rPr>
                <w:rFonts w:ascii="仿宋" w:hAnsi="仿宋" w:eastAsia="仿宋"/>
                <w:sz w:val="24"/>
                <w:szCs w:val="24"/>
                <w:highlight w:val="none"/>
              </w:rPr>
              <w:t>2</w:t>
            </w:r>
          </w:p>
        </w:tc>
        <w:tc>
          <w:tcPr>
            <w:tcW w:w="444" w:type="pct"/>
            <w:vMerge w:val="restart"/>
            <w:noWrap w:val="0"/>
            <w:vAlign w:val="center"/>
          </w:tcPr>
          <w:p w14:paraId="1EC66998">
            <w:pPr>
              <w:rPr>
                <w:rFonts w:ascii="仿宋" w:hAnsi="仿宋" w:eastAsia="仿宋"/>
                <w:sz w:val="24"/>
                <w:szCs w:val="24"/>
                <w:highlight w:val="none"/>
              </w:rPr>
            </w:pPr>
            <w:r>
              <w:rPr>
                <w:rFonts w:hint="eastAsia" w:ascii="仿宋" w:hAnsi="仿宋" w:eastAsia="仿宋"/>
                <w:sz w:val="24"/>
                <w:szCs w:val="24"/>
                <w:highlight w:val="none"/>
              </w:rPr>
              <w:t>设施维护管理（20分）</w:t>
            </w:r>
          </w:p>
        </w:tc>
        <w:tc>
          <w:tcPr>
            <w:tcW w:w="648" w:type="pct"/>
            <w:noWrap w:val="0"/>
            <w:vAlign w:val="center"/>
          </w:tcPr>
          <w:p w14:paraId="460BCC8F">
            <w:pPr>
              <w:rPr>
                <w:rFonts w:ascii="仿宋" w:hAnsi="仿宋" w:eastAsia="仿宋"/>
                <w:sz w:val="24"/>
                <w:szCs w:val="24"/>
                <w:highlight w:val="none"/>
              </w:rPr>
            </w:pPr>
            <w:r>
              <w:rPr>
                <w:rFonts w:ascii="仿宋" w:hAnsi="仿宋" w:eastAsia="仿宋"/>
                <w:sz w:val="24"/>
                <w:szCs w:val="24"/>
                <w:highlight w:val="none"/>
              </w:rPr>
              <w:t>城市景观喷泉和绿化景观亮化设施管理工作</w:t>
            </w:r>
          </w:p>
        </w:tc>
        <w:tc>
          <w:tcPr>
            <w:tcW w:w="2158" w:type="pct"/>
            <w:noWrap w:val="0"/>
            <w:vAlign w:val="top"/>
          </w:tcPr>
          <w:p w14:paraId="29EE3B6C">
            <w:pPr>
              <w:rPr>
                <w:rFonts w:hint="default" w:ascii="仿宋" w:hAnsi="仿宋" w:eastAsia="仿宋" w:cs="Times New Roman"/>
                <w:sz w:val="24"/>
                <w:szCs w:val="24"/>
                <w:highlight w:val="none"/>
                <w:lang w:val="en-US" w:eastAsia="zh-CN"/>
              </w:rPr>
            </w:pPr>
            <w:r>
              <w:rPr>
                <w:rFonts w:ascii="仿宋" w:hAnsi="仿宋" w:eastAsia="仿宋" w:cs="Times New Roman"/>
                <w:sz w:val="24"/>
                <w:szCs w:val="24"/>
                <w:highlight w:val="none"/>
              </w:rPr>
              <w:t>1、</w:t>
            </w:r>
            <w:r>
              <w:rPr>
                <w:rFonts w:hint="default" w:ascii="仿宋" w:hAnsi="仿宋" w:eastAsia="仿宋" w:cs="Times New Roman"/>
                <w:sz w:val="24"/>
                <w:szCs w:val="24"/>
                <w:highlight w:val="none"/>
                <w:lang w:val="en-US" w:eastAsia="zh-CN"/>
              </w:rPr>
              <w:t>果皮箱、护栏、道牙、井盖、花基、园路及广场地面等</w:t>
            </w:r>
            <w:r>
              <w:rPr>
                <w:rFonts w:hint="eastAsia" w:ascii="仿宋" w:hAnsi="仿宋" w:eastAsia="仿宋" w:cs="Times New Roman"/>
                <w:sz w:val="24"/>
                <w:szCs w:val="24"/>
                <w:highlight w:val="none"/>
                <w:lang w:val="en-US" w:eastAsia="zh-CN"/>
              </w:rPr>
              <w:t>设施</w:t>
            </w:r>
            <w:r>
              <w:rPr>
                <w:rFonts w:hint="default" w:ascii="仿宋" w:hAnsi="仿宋" w:eastAsia="仿宋" w:cs="Times New Roman"/>
                <w:sz w:val="24"/>
                <w:szCs w:val="24"/>
                <w:highlight w:val="none"/>
                <w:lang w:val="en-US" w:eastAsia="zh-CN"/>
              </w:rPr>
              <w:t>维护良好，破损处及时维修或更换，</w:t>
            </w:r>
            <w:r>
              <w:rPr>
                <w:rFonts w:hint="eastAsia" w:ascii="仿宋" w:hAnsi="仿宋" w:eastAsia="仿宋" w:cs="Times New Roman"/>
                <w:sz w:val="24"/>
                <w:szCs w:val="24"/>
                <w:highlight w:val="none"/>
                <w:lang w:val="en-US" w:eastAsia="zh-CN"/>
              </w:rPr>
              <w:t>发现问题</w:t>
            </w:r>
            <w:r>
              <w:rPr>
                <w:rFonts w:hint="eastAsia" w:ascii="仿宋" w:hAnsi="仿宋" w:eastAsia="仿宋"/>
                <w:sz w:val="24"/>
                <w:szCs w:val="24"/>
                <w:highlight w:val="none"/>
                <w:lang w:val="en-US" w:eastAsia="zh-CN"/>
              </w:rPr>
              <w:t>未及时处理的</w:t>
            </w:r>
            <w:r>
              <w:rPr>
                <w:rFonts w:hint="default" w:ascii="仿宋" w:hAnsi="仿宋" w:eastAsia="仿宋" w:cs="Times New Roman"/>
                <w:sz w:val="24"/>
                <w:szCs w:val="24"/>
                <w:highlight w:val="none"/>
                <w:lang w:val="en-US" w:eastAsia="zh-CN"/>
              </w:rPr>
              <w:t>一处扣</w:t>
            </w:r>
            <w:r>
              <w:rPr>
                <w:rFonts w:hint="eastAsia" w:ascii="仿宋" w:hAnsi="仿宋" w:eastAsia="仿宋" w:cs="Times New Roman"/>
                <w:sz w:val="24"/>
                <w:szCs w:val="24"/>
                <w:highlight w:val="none"/>
                <w:lang w:val="en-US" w:eastAsia="zh-CN"/>
              </w:rPr>
              <w:t>1</w:t>
            </w:r>
            <w:r>
              <w:rPr>
                <w:rFonts w:hint="default" w:ascii="仿宋" w:hAnsi="仿宋" w:eastAsia="仿宋" w:cs="Times New Roman"/>
                <w:sz w:val="24"/>
                <w:szCs w:val="24"/>
                <w:highlight w:val="none"/>
                <w:lang w:val="en-US" w:eastAsia="zh-CN"/>
              </w:rPr>
              <w:t>分。</w:t>
            </w:r>
          </w:p>
          <w:p w14:paraId="44E4390A">
            <w:pPr>
              <w:rPr>
                <w:rFonts w:hint="default" w:ascii="仿宋" w:hAnsi="仿宋" w:eastAsia="仿宋" w:cs="Times New Roman"/>
                <w:sz w:val="24"/>
                <w:szCs w:val="24"/>
                <w:highlight w:val="none"/>
                <w:lang w:val="en-US" w:eastAsia="zh-CN"/>
              </w:rPr>
            </w:pPr>
            <w:r>
              <w:rPr>
                <w:rFonts w:hint="default" w:ascii="仿宋" w:hAnsi="仿宋" w:eastAsia="仿宋" w:cs="Times New Roman"/>
                <w:sz w:val="24"/>
                <w:szCs w:val="24"/>
                <w:highlight w:val="none"/>
                <w:lang w:val="en-US" w:eastAsia="zh-CN"/>
              </w:rPr>
              <w:t>2、各类标识牌、护栏、树池花池、亭廊、花架、景石、桌椅、灯饰、园林小品等设施按规定设置和使用，保持完好、整洁，损毁、缺失处及时维修或更换，</w:t>
            </w:r>
            <w:r>
              <w:rPr>
                <w:rFonts w:hint="eastAsia" w:ascii="仿宋" w:hAnsi="仿宋" w:eastAsia="仿宋" w:cs="Times New Roman"/>
                <w:sz w:val="24"/>
                <w:szCs w:val="24"/>
                <w:highlight w:val="none"/>
                <w:lang w:val="en-US" w:eastAsia="zh-CN"/>
              </w:rPr>
              <w:t>发现问题</w:t>
            </w:r>
            <w:r>
              <w:rPr>
                <w:rFonts w:hint="eastAsia" w:ascii="仿宋" w:hAnsi="仿宋" w:eastAsia="仿宋"/>
                <w:sz w:val="24"/>
                <w:szCs w:val="24"/>
                <w:highlight w:val="none"/>
                <w:lang w:val="en-US" w:eastAsia="zh-CN"/>
              </w:rPr>
              <w:t>未及时处理的</w:t>
            </w:r>
            <w:r>
              <w:rPr>
                <w:rFonts w:hint="default" w:ascii="仿宋" w:hAnsi="仿宋" w:eastAsia="仿宋" w:cs="Times New Roman"/>
                <w:sz w:val="24"/>
                <w:szCs w:val="24"/>
                <w:highlight w:val="none"/>
                <w:lang w:val="en-US" w:eastAsia="zh-CN"/>
              </w:rPr>
              <w:t>一处扣</w:t>
            </w:r>
            <w:r>
              <w:rPr>
                <w:rFonts w:hint="eastAsia" w:ascii="仿宋" w:hAnsi="仿宋" w:eastAsia="仿宋" w:cs="Times New Roman"/>
                <w:sz w:val="24"/>
                <w:szCs w:val="24"/>
                <w:highlight w:val="none"/>
                <w:lang w:val="en-US" w:eastAsia="zh-CN"/>
              </w:rPr>
              <w:t>1</w:t>
            </w:r>
            <w:r>
              <w:rPr>
                <w:rFonts w:hint="default" w:ascii="仿宋" w:hAnsi="仿宋" w:eastAsia="仿宋" w:cs="Times New Roman"/>
                <w:sz w:val="24"/>
                <w:szCs w:val="24"/>
                <w:highlight w:val="none"/>
                <w:lang w:val="en-US" w:eastAsia="zh-CN"/>
              </w:rPr>
              <w:t>分。</w:t>
            </w:r>
          </w:p>
          <w:p w14:paraId="44AE94E2">
            <w:pPr>
              <w:rPr>
                <w:rFonts w:hint="eastAsia" w:ascii="仿宋" w:hAnsi="仿宋" w:eastAsia="仿宋"/>
                <w:sz w:val="24"/>
                <w:szCs w:val="24"/>
                <w:highlight w:val="none"/>
                <w:lang w:val="en-US" w:eastAsia="zh-CN"/>
              </w:rPr>
            </w:pPr>
            <w:r>
              <w:rPr>
                <w:rFonts w:ascii="仿宋" w:hAnsi="仿宋" w:eastAsia="仿宋"/>
                <w:sz w:val="24"/>
                <w:szCs w:val="24"/>
                <w:highlight w:val="none"/>
              </w:rPr>
              <w:t>。</w:t>
            </w:r>
            <w:r>
              <w:rPr>
                <w:rFonts w:hint="eastAsia" w:ascii="仿宋" w:hAnsi="仿宋" w:eastAsia="仿宋"/>
                <w:sz w:val="24"/>
                <w:szCs w:val="24"/>
                <w:highlight w:val="none"/>
                <w:lang w:val="en-US" w:eastAsia="zh-CN"/>
              </w:rPr>
              <w:t>3、公园内儿童游乐设施、健身器材定期巡检，发现问题及时上报、处理，对不能及时处理的进行封闭、警示，未及时上报、处理、警示的发现一处扣2分。</w:t>
            </w:r>
          </w:p>
          <w:p w14:paraId="6AE3418A">
            <w:pPr>
              <w:rPr>
                <w:rFonts w:hint="default"/>
                <w:highlight w:val="none"/>
                <w:lang w:val="en-US" w:eastAsia="zh-CN"/>
              </w:rPr>
            </w:pPr>
            <w:r>
              <w:rPr>
                <w:rFonts w:hint="eastAsia" w:ascii="仿宋" w:hAnsi="仿宋" w:eastAsia="仿宋" w:cs="Times New Roman"/>
                <w:sz w:val="24"/>
                <w:szCs w:val="24"/>
                <w:highlight w:val="none"/>
                <w:lang w:val="en-US" w:eastAsia="zh-CN"/>
              </w:rPr>
              <w:t>4、</w:t>
            </w:r>
            <w:r>
              <w:rPr>
                <w:rFonts w:hint="default" w:ascii="仿宋" w:hAnsi="仿宋" w:eastAsia="仿宋" w:cs="Times New Roman"/>
                <w:sz w:val="24"/>
                <w:szCs w:val="24"/>
                <w:highlight w:val="none"/>
                <w:lang w:val="en-US" w:eastAsia="zh-CN"/>
              </w:rPr>
              <w:t>绿化养护设施(喷灌设施等)完好，定期检查和维修保养，同时建立.台账，记录不完善的发现一次扣</w:t>
            </w:r>
            <w:r>
              <w:rPr>
                <w:rFonts w:hint="eastAsia" w:ascii="仿宋" w:hAnsi="仿宋" w:eastAsia="仿宋" w:cs="Times New Roman"/>
                <w:sz w:val="24"/>
                <w:szCs w:val="24"/>
                <w:highlight w:val="none"/>
                <w:lang w:val="en-US" w:eastAsia="zh-CN"/>
              </w:rPr>
              <w:t>1</w:t>
            </w:r>
            <w:r>
              <w:rPr>
                <w:rFonts w:hint="default" w:ascii="仿宋" w:hAnsi="仿宋" w:eastAsia="仿宋" w:cs="Times New Roman"/>
                <w:sz w:val="24"/>
                <w:szCs w:val="24"/>
                <w:highlight w:val="none"/>
                <w:lang w:val="en-US" w:eastAsia="zh-CN"/>
              </w:rPr>
              <w:t>分。</w:t>
            </w:r>
          </w:p>
        </w:tc>
        <w:tc>
          <w:tcPr>
            <w:tcW w:w="1192" w:type="pct"/>
            <w:vMerge w:val="restart"/>
            <w:noWrap w:val="0"/>
            <w:vAlign w:val="top"/>
          </w:tcPr>
          <w:p w14:paraId="3DE3904A">
            <w:pPr>
              <w:jc w:val="left"/>
              <w:rPr>
                <w:rFonts w:hint="default" w:ascii="仿宋" w:hAnsi="仿宋" w:eastAsia="仿宋"/>
                <w:sz w:val="24"/>
                <w:szCs w:val="24"/>
                <w:highlight w:val="none"/>
                <w:lang w:val="en-US" w:eastAsia="zh-CN"/>
              </w:rPr>
            </w:pPr>
            <w:r>
              <w:rPr>
                <w:rFonts w:hint="eastAsia" w:ascii="仿宋" w:hAnsi="仿宋" w:eastAsia="仿宋"/>
                <w:sz w:val="24"/>
                <w:szCs w:val="24"/>
                <w:highlight w:val="none"/>
              </w:rPr>
              <w:t>定期开展设施排查维修工作，未进行排查的问题每处扣500元，未按要求维护的每处扣除1</w:t>
            </w:r>
            <w:r>
              <w:rPr>
                <w:rFonts w:hint="eastAsia" w:ascii="仿宋" w:hAnsi="仿宋" w:eastAsia="仿宋"/>
                <w:sz w:val="24"/>
                <w:szCs w:val="24"/>
                <w:highlight w:val="none"/>
                <w:lang w:val="en-US" w:eastAsia="zh-CN"/>
              </w:rPr>
              <w:t>0</w:t>
            </w:r>
            <w:r>
              <w:rPr>
                <w:rFonts w:hint="eastAsia" w:ascii="仿宋" w:hAnsi="仿宋" w:eastAsia="仿宋"/>
                <w:sz w:val="24"/>
                <w:szCs w:val="24"/>
                <w:highlight w:val="none"/>
              </w:rPr>
              <w:t>00元；</w:t>
            </w:r>
            <w:r>
              <w:rPr>
                <w:rFonts w:hint="eastAsia" w:ascii="仿宋" w:hAnsi="仿宋" w:eastAsia="仿宋"/>
                <w:sz w:val="24"/>
                <w:szCs w:val="24"/>
                <w:highlight w:val="none"/>
                <w:lang w:val="en-US" w:eastAsia="zh-CN"/>
              </w:rPr>
              <w:t>因未及时维修造成安全事故的承担相应责任。</w:t>
            </w:r>
          </w:p>
        </w:tc>
        <w:tc>
          <w:tcPr>
            <w:tcW w:w="252" w:type="pct"/>
            <w:noWrap w:val="0"/>
            <w:vAlign w:val="top"/>
          </w:tcPr>
          <w:p w14:paraId="795978CA">
            <w:pPr>
              <w:rPr>
                <w:rFonts w:ascii="仿宋" w:hAnsi="仿宋" w:eastAsia="仿宋"/>
                <w:sz w:val="24"/>
                <w:szCs w:val="24"/>
                <w:highlight w:val="none"/>
              </w:rPr>
            </w:pPr>
          </w:p>
        </w:tc>
      </w:tr>
      <w:tr w14:paraId="2DD08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ACD0122">
            <w:pPr>
              <w:rPr>
                <w:rFonts w:ascii="仿宋" w:hAnsi="仿宋" w:eastAsia="仿宋"/>
                <w:sz w:val="24"/>
                <w:szCs w:val="24"/>
                <w:highlight w:val="none"/>
              </w:rPr>
            </w:pPr>
          </w:p>
        </w:tc>
        <w:tc>
          <w:tcPr>
            <w:tcW w:w="444" w:type="pct"/>
            <w:vMerge w:val="continue"/>
            <w:noWrap w:val="0"/>
            <w:vAlign w:val="top"/>
          </w:tcPr>
          <w:p w14:paraId="4A5C47DF">
            <w:pPr>
              <w:rPr>
                <w:rFonts w:ascii="仿宋" w:hAnsi="仿宋" w:eastAsia="仿宋"/>
                <w:sz w:val="24"/>
                <w:szCs w:val="24"/>
                <w:highlight w:val="none"/>
              </w:rPr>
            </w:pPr>
          </w:p>
        </w:tc>
        <w:tc>
          <w:tcPr>
            <w:tcW w:w="648" w:type="pct"/>
            <w:noWrap w:val="0"/>
            <w:vAlign w:val="center"/>
          </w:tcPr>
          <w:p w14:paraId="54E97490">
            <w:pPr>
              <w:rPr>
                <w:rFonts w:ascii="仿宋" w:hAnsi="仿宋" w:eastAsia="仿宋"/>
                <w:sz w:val="24"/>
                <w:szCs w:val="24"/>
                <w:highlight w:val="none"/>
              </w:rPr>
            </w:pPr>
            <w:r>
              <w:rPr>
                <w:rFonts w:ascii="仿宋" w:hAnsi="仿宋" w:eastAsia="仿宋"/>
                <w:sz w:val="24"/>
                <w:szCs w:val="24"/>
                <w:highlight w:val="none"/>
              </w:rPr>
              <w:t>绿化护栏维修及绿地冲洗</w:t>
            </w:r>
          </w:p>
        </w:tc>
        <w:tc>
          <w:tcPr>
            <w:tcW w:w="2158" w:type="pct"/>
            <w:noWrap w:val="0"/>
            <w:vAlign w:val="top"/>
          </w:tcPr>
          <w:p w14:paraId="06533E6B">
            <w:pPr>
              <w:rPr>
                <w:rFonts w:ascii="仿宋" w:hAnsi="仿宋" w:eastAsia="仿宋"/>
                <w:sz w:val="24"/>
                <w:szCs w:val="24"/>
                <w:highlight w:val="none"/>
              </w:rPr>
            </w:pPr>
            <w:r>
              <w:rPr>
                <w:rFonts w:ascii="仿宋" w:hAnsi="仿宋" w:eastAsia="仿宋"/>
                <w:sz w:val="24"/>
                <w:szCs w:val="24"/>
                <w:highlight w:val="none"/>
              </w:rPr>
              <w:t>1、绿化带护栏每周擦洗一次，每半月维护整修一次，遇重大节日和重大活动时，重点进行擦洗整修，保持护栏整洁美观。未按规定擦洗，每米扣1分（不足1米按1米计算）；破损未及时维修每处扣2分。</w:t>
            </w:r>
          </w:p>
          <w:p w14:paraId="75C28BD7">
            <w:pPr>
              <w:rPr>
                <w:rFonts w:ascii="仿宋" w:hAnsi="仿宋" w:eastAsia="仿宋"/>
                <w:sz w:val="24"/>
                <w:szCs w:val="24"/>
                <w:highlight w:val="none"/>
              </w:rPr>
            </w:pPr>
            <w:r>
              <w:rPr>
                <w:rFonts w:ascii="仿宋" w:hAnsi="仿宋" w:eastAsia="仿宋"/>
                <w:sz w:val="24"/>
                <w:szCs w:val="24"/>
                <w:highlight w:val="none"/>
              </w:rPr>
              <w:t>2、每次降雨后，绿化带护栏必须在一天内清洗完毕。未在规定时间完成任务的，每条道路扣5分；</w:t>
            </w:r>
          </w:p>
          <w:p w14:paraId="74779EE3">
            <w:pPr>
              <w:rPr>
                <w:rFonts w:ascii="仿宋" w:hAnsi="仿宋" w:eastAsia="仿宋"/>
                <w:sz w:val="24"/>
                <w:szCs w:val="24"/>
                <w:highlight w:val="none"/>
              </w:rPr>
            </w:pPr>
            <w:r>
              <w:rPr>
                <w:rFonts w:ascii="仿宋" w:hAnsi="仿宋" w:eastAsia="仿宋"/>
                <w:sz w:val="24"/>
                <w:szCs w:val="24"/>
                <w:highlight w:val="none"/>
              </w:rPr>
              <w:t>3、持续半个月无有效降水，要及时进行绿化带大冲洗，冲洗时间为晚22:00至次日7:00。每轮冲洗，必须在三天内完成所有管理道路的绿化带冲洗任务。未能按要求完成大冲洗的，每条路段扣3分。</w:t>
            </w:r>
          </w:p>
        </w:tc>
        <w:tc>
          <w:tcPr>
            <w:tcW w:w="1192" w:type="pct"/>
            <w:vMerge w:val="continue"/>
            <w:noWrap w:val="0"/>
            <w:vAlign w:val="top"/>
          </w:tcPr>
          <w:p w14:paraId="26B5DF2B">
            <w:pPr>
              <w:jc w:val="left"/>
              <w:rPr>
                <w:rFonts w:ascii="仿宋" w:hAnsi="仿宋" w:eastAsia="仿宋"/>
                <w:sz w:val="24"/>
                <w:szCs w:val="24"/>
                <w:highlight w:val="none"/>
              </w:rPr>
            </w:pPr>
          </w:p>
        </w:tc>
        <w:tc>
          <w:tcPr>
            <w:tcW w:w="252" w:type="pct"/>
            <w:noWrap w:val="0"/>
            <w:vAlign w:val="top"/>
          </w:tcPr>
          <w:p w14:paraId="6E2E0260">
            <w:pPr>
              <w:rPr>
                <w:rFonts w:ascii="仿宋" w:hAnsi="仿宋" w:eastAsia="仿宋"/>
                <w:sz w:val="24"/>
                <w:szCs w:val="24"/>
                <w:highlight w:val="none"/>
              </w:rPr>
            </w:pPr>
          </w:p>
        </w:tc>
      </w:tr>
      <w:tr w14:paraId="00DF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1827B11">
            <w:pPr>
              <w:rPr>
                <w:rFonts w:ascii="仿宋" w:hAnsi="仿宋" w:eastAsia="仿宋"/>
                <w:sz w:val="24"/>
                <w:szCs w:val="24"/>
                <w:highlight w:val="none"/>
              </w:rPr>
            </w:pPr>
          </w:p>
        </w:tc>
        <w:tc>
          <w:tcPr>
            <w:tcW w:w="444" w:type="pct"/>
            <w:vMerge w:val="continue"/>
            <w:noWrap w:val="0"/>
            <w:vAlign w:val="top"/>
          </w:tcPr>
          <w:p w14:paraId="365AB9CC">
            <w:pPr>
              <w:rPr>
                <w:rFonts w:ascii="仿宋" w:hAnsi="仿宋" w:eastAsia="仿宋"/>
                <w:sz w:val="24"/>
                <w:szCs w:val="24"/>
                <w:highlight w:val="none"/>
              </w:rPr>
            </w:pPr>
          </w:p>
        </w:tc>
        <w:tc>
          <w:tcPr>
            <w:tcW w:w="648" w:type="pct"/>
            <w:noWrap w:val="0"/>
            <w:vAlign w:val="center"/>
          </w:tcPr>
          <w:p w14:paraId="252FCB40">
            <w:pPr>
              <w:rPr>
                <w:rFonts w:ascii="仿宋" w:hAnsi="仿宋" w:eastAsia="仿宋"/>
                <w:sz w:val="24"/>
                <w:szCs w:val="24"/>
                <w:highlight w:val="none"/>
              </w:rPr>
            </w:pPr>
            <w:r>
              <w:rPr>
                <w:rFonts w:ascii="仿宋" w:hAnsi="仿宋" w:eastAsia="仿宋"/>
                <w:sz w:val="24"/>
                <w:szCs w:val="24"/>
                <w:highlight w:val="none"/>
              </w:rPr>
              <w:t>绿地巡查</w:t>
            </w:r>
          </w:p>
        </w:tc>
        <w:tc>
          <w:tcPr>
            <w:tcW w:w="2158" w:type="pct"/>
            <w:noWrap w:val="0"/>
            <w:vAlign w:val="top"/>
          </w:tcPr>
          <w:p w14:paraId="4391D87C">
            <w:pPr>
              <w:numPr>
                <w:ilvl w:val="0"/>
                <w:numId w:val="2"/>
              </w:numPr>
              <w:rPr>
                <w:rFonts w:ascii="仿宋" w:hAnsi="仿宋" w:eastAsia="仿宋"/>
                <w:sz w:val="24"/>
                <w:szCs w:val="24"/>
                <w:highlight w:val="none"/>
              </w:rPr>
            </w:pPr>
            <w:r>
              <w:rPr>
                <w:rFonts w:ascii="仿宋" w:hAnsi="仿宋" w:eastAsia="仿宋"/>
                <w:sz w:val="24"/>
                <w:szCs w:val="24"/>
                <w:highlight w:val="none"/>
              </w:rPr>
              <w:t>各绿化单位加强巡查，做好日常巡查记录，发现问题及时处理。发现违规占用绿地或非法破坏绿地的情况要及时阻止并上报，随后将情况书面报送生态环境局，进行处理，未建立巡查记录的扣10分，未及时发现违规占用或非法破坏绿地的扣10分。</w:t>
            </w:r>
          </w:p>
          <w:p w14:paraId="234B539C">
            <w:pPr>
              <w:numPr>
                <w:ilvl w:val="0"/>
                <w:numId w:val="2"/>
              </w:numPr>
              <w:rPr>
                <w:highlight w:val="none"/>
              </w:rPr>
            </w:pPr>
            <w:r>
              <w:rPr>
                <w:rFonts w:hint="eastAsia" w:ascii="仿宋" w:hAnsi="仿宋" w:eastAsia="仿宋"/>
                <w:sz w:val="24"/>
                <w:szCs w:val="24"/>
                <w:highlight w:val="none"/>
                <w:lang w:val="en-US" w:eastAsia="zh-CN"/>
              </w:rPr>
              <w:t>每</w:t>
            </w:r>
            <w:r>
              <w:rPr>
                <w:rFonts w:hint="eastAsia" w:ascii="仿宋" w:hAnsi="仿宋" w:eastAsia="仿宋"/>
                <w:color w:val="FF0000"/>
                <w:sz w:val="24"/>
                <w:szCs w:val="24"/>
                <w:highlight w:val="none"/>
                <w:lang w:val="en-US" w:eastAsia="zh-CN"/>
              </w:rPr>
              <w:t>12-15万</w:t>
            </w:r>
            <w:r>
              <w:rPr>
                <w:rFonts w:hint="eastAsia" w:ascii="仿宋" w:hAnsi="仿宋" w:eastAsia="仿宋"/>
                <w:sz w:val="24"/>
                <w:szCs w:val="24"/>
                <w:highlight w:val="none"/>
                <w:lang w:val="en-US" w:eastAsia="zh-CN"/>
              </w:rPr>
              <w:t>㎡配备一名秩序维护人员，秩序维护人员应统一着装，仪容整洁，文明用语。及时制止和劝离违规垂钓、野泳、露天烧烤、乱倒垃圾、摆摊叫卖、流动商贩等行为，及时制止围垦河道（绿地）种菜等行为，及时劝导在河边游玩的市民，防范溺水，制止机动车辆进入绿道。未配备的没缺1人扣除5分。</w:t>
            </w:r>
          </w:p>
        </w:tc>
        <w:tc>
          <w:tcPr>
            <w:tcW w:w="1192" w:type="pct"/>
            <w:noWrap w:val="0"/>
            <w:vAlign w:val="top"/>
          </w:tcPr>
          <w:p w14:paraId="3C446A98">
            <w:pPr>
              <w:rPr>
                <w:rFonts w:ascii="仿宋" w:hAnsi="仿宋" w:eastAsia="仿宋"/>
                <w:sz w:val="24"/>
                <w:szCs w:val="24"/>
                <w:highlight w:val="none"/>
              </w:rPr>
            </w:pPr>
            <w:r>
              <w:rPr>
                <w:rFonts w:hint="eastAsia" w:ascii="仿宋" w:hAnsi="仿宋" w:eastAsia="仿宋"/>
                <w:sz w:val="24"/>
                <w:szCs w:val="24"/>
                <w:highlight w:val="none"/>
              </w:rPr>
              <w:t>未建立巡查记录的每月扣除</w:t>
            </w:r>
            <w:r>
              <w:rPr>
                <w:rFonts w:ascii="仿宋" w:hAnsi="仿宋" w:eastAsia="仿宋"/>
                <w:sz w:val="24"/>
                <w:szCs w:val="24"/>
                <w:highlight w:val="none"/>
              </w:rPr>
              <w:t>3000</w:t>
            </w:r>
            <w:r>
              <w:rPr>
                <w:rFonts w:hint="eastAsia" w:ascii="仿宋" w:hAnsi="仿宋" w:eastAsia="仿宋"/>
                <w:sz w:val="24"/>
                <w:szCs w:val="24"/>
                <w:highlight w:val="none"/>
              </w:rPr>
              <w:t>元，违规占用、破坏绿地未及时发现的每处扣款</w:t>
            </w:r>
            <w:r>
              <w:rPr>
                <w:rFonts w:hint="eastAsia" w:ascii="仿宋" w:hAnsi="仿宋" w:eastAsia="仿宋"/>
                <w:sz w:val="24"/>
                <w:szCs w:val="24"/>
                <w:highlight w:val="none"/>
                <w:lang w:val="en-US" w:eastAsia="zh-CN"/>
              </w:rPr>
              <w:t>5</w:t>
            </w:r>
            <w:r>
              <w:rPr>
                <w:rFonts w:ascii="仿宋" w:hAnsi="仿宋" w:eastAsia="仿宋"/>
                <w:sz w:val="24"/>
                <w:szCs w:val="24"/>
                <w:highlight w:val="none"/>
              </w:rPr>
              <w:t>000</w:t>
            </w:r>
            <w:r>
              <w:rPr>
                <w:rFonts w:hint="eastAsia" w:ascii="仿宋" w:hAnsi="仿宋" w:eastAsia="仿宋"/>
                <w:sz w:val="24"/>
                <w:szCs w:val="24"/>
                <w:highlight w:val="none"/>
              </w:rPr>
              <w:t>元。</w:t>
            </w:r>
          </w:p>
        </w:tc>
        <w:tc>
          <w:tcPr>
            <w:tcW w:w="252" w:type="pct"/>
            <w:noWrap w:val="0"/>
            <w:vAlign w:val="top"/>
          </w:tcPr>
          <w:p w14:paraId="2D4DC7A8">
            <w:pPr>
              <w:rPr>
                <w:rFonts w:ascii="仿宋" w:hAnsi="仿宋" w:eastAsia="仿宋"/>
                <w:sz w:val="24"/>
                <w:szCs w:val="24"/>
                <w:highlight w:val="none"/>
              </w:rPr>
            </w:pPr>
          </w:p>
        </w:tc>
      </w:tr>
      <w:tr w14:paraId="05E1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07670DB">
            <w:pPr>
              <w:rPr>
                <w:rFonts w:ascii="仿宋" w:hAnsi="仿宋" w:eastAsia="仿宋"/>
                <w:sz w:val="24"/>
                <w:szCs w:val="24"/>
                <w:highlight w:val="none"/>
              </w:rPr>
            </w:pPr>
            <w:r>
              <w:rPr>
                <w:rFonts w:ascii="仿宋" w:hAnsi="仿宋" w:eastAsia="仿宋"/>
                <w:sz w:val="24"/>
                <w:szCs w:val="24"/>
                <w:highlight w:val="none"/>
              </w:rPr>
              <w:t>3</w:t>
            </w:r>
          </w:p>
        </w:tc>
        <w:tc>
          <w:tcPr>
            <w:tcW w:w="444" w:type="pct"/>
            <w:vMerge w:val="restart"/>
            <w:noWrap w:val="0"/>
            <w:vAlign w:val="center"/>
          </w:tcPr>
          <w:p w14:paraId="7F9BD7AC">
            <w:pPr>
              <w:rPr>
                <w:rFonts w:ascii="仿宋" w:hAnsi="仿宋" w:eastAsia="仿宋"/>
                <w:sz w:val="24"/>
                <w:szCs w:val="24"/>
                <w:highlight w:val="none"/>
              </w:rPr>
            </w:pPr>
            <w:r>
              <w:rPr>
                <w:rFonts w:hint="eastAsia" w:ascii="仿宋" w:hAnsi="仿宋" w:eastAsia="仿宋"/>
                <w:sz w:val="24"/>
                <w:szCs w:val="24"/>
                <w:highlight w:val="none"/>
              </w:rPr>
              <w:t>其他（30分）</w:t>
            </w:r>
          </w:p>
        </w:tc>
        <w:tc>
          <w:tcPr>
            <w:tcW w:w="648" w:type="pct"/>
            <w:noWrap w:val="0"/>
            <w:vAlign w:val="center"/>
          </w:tcPr>
          <w:p w14:paraId="1464483E">
            <w:pPr>
              <w:rPr>
                <w:rFonts w:ascii="仿宋" w:hAnsi="仿宋" w:eastAsia="仿宋"/>
                <w:sz w:val="24"/>
                <w:szCs w:val="24"/>
                <w:highlight w:val="none"/>
              </w:rPr>
            </w:pPr>
            <w:r>
              <w:rPr>
                <w:rFonts w:ascii="仿宋" w:hAnsi="仿宋" w:eastAsia="仿宋"/>
                <w:sz w:val="24"/>
                <w:szCs w:val="24"/>
                <w:highlight w:val="none"/>
              </w:rPr>
              <w:t>安全管理</w:t>
            </w:r>
          </w:p>
        </w:tc>
        <w:tc>
          <w:tcPr>
            <w:tcW w:w="2158" w:type="pct"/>
            <w:noWrap w:val="0"/>
            <w:vAlign w:val="top"/>
          </w:tcPr>
          <w:p w14:paraId="68F51947">
            <w:pPr>
              <w:rPr>
                <w:rFonts w:ascii="仿宋" w:hAnsi="仿宋" w:eastAsia="仿宋"/>
                <w:sz w:val="24"/>
                <w:szCs w:val="24"/>
                <w:highlight w:val="none"/>
              </w:rPr>
            </w:pPr>
            <w:r>
              <w:rPr>
                <w:rFonts w:ascii="仿宋" w:hAnsi="仿宋" w:eastAsia="仿宋"/>
                <w:sz w:val="24"/>
                <w:szCs w:val="24"/>
                <w:highlight w:val="none"/>
              </w:rPr>
              <w:t>1、养护工人及驾驶员上岗作业时，身体状况良好，无带病或疲劳作业；未达到发现一次扣2分；</w:t>
            </w:r>
          </w:p>
          <w:p w14:paraId="3F0C81F1">
            <w:pPr>
              <w:rPr>
                <w:rFonts w:ascii="仿宋" w:hAnsi="仿宋" w:eastAsia="仿宋"/>
                <w:sz w:val="24"/>
                <w:szCs w:val="24"/>
                <w:highlight w:val="none"/>
              </w:rPr>
            </w:pPr>
            <w:r>
              <w:rPr>
                <w:rFonts w:ascii="仿宋" w:hAnsi="仿宋" w:eastAsia="仿宋"/>
                <w:sz w:val="24"/>
                <w:szCs w:val="24"/>
                <w:highlight w:val="none"/>
              </w:rPr>
              <w:t>2、车体整洁完好，保养维护及时，驾驶员遵守交通规则，安全行驶作业，未达到发现一次扣2分；</w:t>
            </w:r>
          </w:p>
          <w:p w14:paraId="6231643F">
            <w:pPr>
              <w:rPr>
                <w:rFonts w:ascii="仿宋" w:hAnsi="仿宋" w:eastAsia="仿宋"/>
                <w:sz w:val="24"/>
                <w:szCs w:val="24"/>
                <w:highlight w:val="none"/>
              </w:rPr>
            </w:pPr>
            <w:r>
              <w:rPr>
                <w:rFonts w:ascii="仿宋" w:hAnsi="仿宋" w:eastAsia="仿宋"/>
                <w:sz w:val="24"/>
                <w:szCs w:val="24"/>
                <w:highlight w:val="none"/>
              </w:rPr>
              <w:t>3、车辆临时停放整齐，无开车快猛急现象，未达到发现一次扣1分；</w:t>
            </w:r>
          </w:p>
          <w:p w14:paraId="2549A166">
            <w:pPr>
              <w:rPr>
                <w:rFonts w:ascii="仿宋" w:hAnsi="仿宋" w:eastAsia="仿宋"/>
                <w:sz w:val="24"/>
                <w:szCs w:val="24"/>
                <w:highlight w:val="none"/>
              </w:rPr>
            </w:pPr>
            <w:r>
              <w:rPr>
                <w:rFonts w:ascii="仿宋" w:hAnsi="仿宋" w:eastAsia="仿宋"/>
                <w:sz w:val="24"/>
                <w:szCs w:val="24"/>
                <w:highlight w:val="none"/>
              </w:rPr>
              <w:t>4、绿化车辆排气排污不达标的每辆扣5分；</w:t>
            </w:r>
          </w:p>
          <w:p w14:paraId="5482FD43">
            <w:pPr>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lang w:val="en-US" w:eastAsia="zh-CN"/>
              </w:rPr>
              <w:t>管理用房</w:t>
            </w:r>
            <w:r>
              <w:rPr>
                <w:rFonts w:ascii="仿宋" w:hAnsi="仿宋" w:eastAsia="仿宋"/>
                <w:sz w:val="24"/>
                <w:szCs w:val="24"/>
                <w:highlight w:val="none"/>
              </w:rPr>
              <w:t>内消防器材到位，线路设置整齐规范，无易燃易爆等危险品存</w:t>
            </w:r>
            <w:r>
              <w:rPr>
                <w:rFonts w:hint="eastAsia" w:ascii="仿宋" w:hAnsi="仿宋" w:eastAsia="仿宋"/>
                <w:sz w:val="24"/>
                <w:szCs w:val="24"/>
                <w:highlight w:val="none"/>
              </w:rPr>
              <w:t>放。</w:t>
            </w:r>
            <w:r>
              <w:rPr>
                <w:rFonts w:ascii="仿宋" w:hAnsi="仿宋" w:eastAsia="仿宋"/>
                <w:sz w:val="24"/>
                <w:szCs w:val="24"/>
                <w:highlight w:val="none"/>
              </w:rPr>
              <w:t>未达到每处扣2分；</w:t>
            </w:r>
          </w:p>
          <w:p w14:paraId="06730DAF">
            <w:pPr>
              <w:rPr>
                <w:rFonts w:ascii="仿宋" w:hAnsi="仿宋" w:eastAsia="仿宋"/>
                <w:sz w:val="24"/>
                <w:szCs w:val="24"/>
                <w:highlight w:val="none"/>
              </w:rPr>
            </w:pPr>
            <w:r>
              <w:rPr>
                <w:rFonts w:ascii="仿宋" w:hAnsi="仿宋" w:eastAsia="仿宋"/>
                <w:sz w:val="24"/>
                <w:szCs w:val="24"/>
                <w:highlight w:val="none"/>
              </w:rPr>
              <w:t>6、道路及附属绿地养护作业时未按规范要求隔离安全作业区扣2分；</w:t>
            </w:r>
          </w:p>
          <w:p w14:paraId="16A0BB0A">
            <w:pPr>
              <w:rPr>
                <w:rFonts w:ascii="仿宋" w:hAnsi="仿宋" w:eastAsia="仿宋"/>
                <w:sz w:val="24"/>
                <w:szCs w:val="24"/>
                <w:highlight w:val="none"/>
              </w:rPr>
            </w:pPr>
            <w:r>
              <w:rPr>
                <w:rFonts w:ascii="仿宋" w:hAnsi="仿宋" w:eastAsia="仿宋"/>
                <w:sz w:val="24"/>
                <w:szCs w:val="24"/>
                <w:highlight w:val="none"/>
              </w:rPr>
              <w:t>7、绿地内临时用电不规范，存在安全隐患的每处扣2分；</w:t>
            </w:r>
          </w:p>
          <w:p w14:paraId="365ADFB6">
            <w:pPr>
              <w:rPr>
                <w:rFonts w:ascii="仿宋" w:hAnsi="仿宋" w:eastAsia="仿宋"/>
                <w:sz w:val="24"/>
                <w:szCs w:val="24"/>
                <w:highlight w:val="none"/>
              </w:rPr>
            </w:pPr>
            <w:r>
              <w:rPr>
                <w:rFonts w:ascii="仿宋" w:hAnsi="仿宋" w:eastAsia="仿宋"/>
                <w:sz w:val="24"/>
                <w:szCs w:val="24"/>
                <w:highlight w:val="none"/>
              </w:rPr>
              <w:t>8、绿地有害生物预防所用农药未按规范管理和使用的扣10分；</w:t>
            </w:r>
          </w:p>
          <w:p w14:paraId="47A4D771">
            <w:pPr>
              <w:rPr>
                <w:rFonts w:ascii="仿宋" w:hAnsi="仿宋" w:eastAsia="仿宋"/>
                <w:sz w:val="24"/>
                <w:szCs w:val="24"/>
                <w:highlight w:val="none"/>
              </w:rPr>
            </w:pPr>
            <w:r>
              <w:rPr>
                <w:rFonts w:ascii="仿宋" w:hAnsi="仿宋" w:eastAsia="仿宋"/>
                <w:sz w:val="24"/>
                <w:szCs w:val="24"/>
                <w:highlight w:val="none"/>
              </w:rPr>
              <w:t>9、未制定安全生产应急预案扣10分；</w:t>
            </w:r>
          </w:p>
          <w:p w14:paraId="3EA55F65">
            <w:pPr>
              <w:rPr>
                <w:rFonts w:ascii="仿宋" w:hAnsi="仿宋" w:eastAsia="仿宋"/>
                <w:sz w:val="24"/>
                <w:szCs w:val="24"/>
                <w:highlight w:val="none"/>
              </w:rPr>
            </w:pPr>
            <w:r>
              <w:rPr>
                <w:rFonts w:ascii="仿宋" w:hAnsi="仿宋" w:eastAsia="仿宋"/>
                <w:sz w:val="24"/>
                <w:szCs w:val="24"/>
                <w:highlight w:val="none"/>
              </w:rPr>
              <w:t>10、员工未进行安全培训和应急培训扣10分。</w:t>
            </w:r>
          </w:p>
          <w:p w14:paraId="366C4FF3">
            <w:pPr>
              <w:rPr>
                <w:rFonts w:ascii="仿宋" w:hAnsi="仿宋" w:eastAsia="仿宋"/>
                <w:sz w:val="24"/>
                <w:szCs w:val="24"/>
                <w:highlight w:val="none"/>
              </w:rPr>
            </w:pPr>
            <w:r>
              <w:rPr>
                <w:rFonts w:ascii="仿宋" w:hAnsi="仿宋" w:eastAsia="仿宋"/>
                <w:sz w:val="24"/>
                <w:szCs w:val="24"/>
                <w:highlight w:val="none"/>
              </w:rPr>
              <w:t>11、对遮挡交通指示牌的树枝、苗木清理不及时的每处扣3分。</w:t>
            </w:r>
          </w:p>
        </w:tc>
        <w:tc>
          <w:tcPr>
            <w:tcW w:w="1192" w:type="pct"/>
            <w:noWrap w:val="0"/>
            <w:vAlign w:val="center"/>
          </w:tcPr>
          <w:p w14:paraId="57CCF269">
            <w:pPr>
              <w:rPr>
                <w:rFonts w:ascii="仿宋" w:hAnsi="仿宋" w:eastAsia="仿宋"/>
                <w:sz w:val="24"/>
                <w:szCs w:val="24"/>
                <w:highlight w:val="none"/>
              </w:rPr>
            </w:pPr>
            <w:r>
              <w:rPr>
                <w:rFonts w:ascii="仿宋" w:hAnsi="仿宋" w:eastAsia="仿宋"/>
                <w:sz w:val="24"/>
                <w:szCs w:val="24"/>
                <w:highlight w:val="none"/>
              </w:rPr>
              <w:t>对管理中存在安全隐患整治不及时的每次扣款罚款1万元，对通报安全问题未按要求整改的每次罚款</w:t>
            </w:r>
            <w:r>
              <w:rPr>
                <w:rFonts w:hint="eastAsia" w:ascii="仿宋" w:hAnsi="仿宋" w:eastAsia="仿宋"/>
                <w:sz w:val="24"/>
                <w:szCs w:val="24"/>
                <w:highlight w:val="none"/>
              </w:rPr>
              <w:t>6</w:t>
            </w:r>
            <w:r>
              <w:rPr>
                <w:rFonts w:ascii="仿宋" w:hAnsi="仿宋" w:eastAsia="仿宋"/>
                <w:sz w:val="24"/>
                <w:szCs w:val="24"/>
                <w:highlight w:val="none"/>
              </w:rPr>
              <w:t>万元。</w:t>
            </w:r>
          </w:p>
        </w:tc>
        <w:tc>
          <w:tcPr>
            <w:tcW w:w="252" w:type="pct"/>
            <w:noWrap w:val="0"/>
            <w:vAlign w:val="top"/>
          </w:tcPr>
          <w:p w14:paraId="1C23AD8D">
            <w:pPr>
              <w:rPr>
                <w:rFonts w:ascii="仿宋" w:hAnsi="仿宋" w:eastAsia="仿宋"/>
                <w:sz w:val="24"/>
                <w:szCs w:val="24"/>
                <w:highlight w:val="none"/>
              </w:rPr>
            </w:pPr>
          </w:p>
        </w:tc>
      </w:tr>
      <w:tr w14:paraId="6C04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2451E7C">
            <w:pPr>
              <w:rPr>
                <w:rFonts w:ascii="仿宋" w:hAnsi="仿宋" w:eastAsia="仿宋"/>
                <w:sz w:val="24"/>
                <w:szCs w:val="24"/>
                <w:highlight w:val="none"/>
              </w:rPr>
            </w:pPr>
          </w:p>
        </w:tc>
        <w:tc>
          <w:tcPr>
            <w:tcW w:w="444" w:type="pct"/>
            <w:vMerge w:val="continue"/>
            <w:noWrap w:val="0"/>
            <w:vAlign w:val="top"/>
          </w:tcPr>
          <w:p w14:paraId="023F236C">
            <w:pPr>
              <w:rPr>
                <w:rFonts w:ascii="仿宋" w:hAnsi="仿宋" w:eastAsia="仿宋"/>
                <w:sz w:val="24"/>
                <w:szCs w:val="24"/>
                <w:highlight w:val="none"/>
              </w:rPr>
            </w:pPr>
          </w:p>
        </w:tc>
        <w:tc>
          <w:tcPr>
            <w:tcW w:w="648" w:type="pct"/>
            <w:noWrap w:val="0"/>
            <w:vAlign w:val="center"/>
          </w:tcPr>
          <w:p w14:paraId="37C78921">
            <w:pPr>
              <w:rPr>
                <w:rFonts w:ascii="仿宋" w:hAnsi="仿宋" w:eastAsia="仿宋"/>
                <w:sz w:val="24"/>
                <w:szCs w:val="24"/>
                <w:highlight w:val="none"/>
              </w:rPr>
            </w:pPr>
            <w:r>
              <w:rPr>
                <w:rFonts w:ascii="仿宋" w:hAnsi="仿宋" w:eastAsia="仿宋"/>
                <w:sz w:val="24"/>
                <w:szCs w:val="24"/>
                <w:highlight w:val="none"/>
              </w:rPr>
              <w:t>管护资料</w:t>
            </w:r>
          </w:p>
        </w:tc>
        <w:tc>
          <w:tcPr>
            <w:tcW w:w="2158" w:type="pct"/>
            <w:noWrap w:val="0"/>
            <w:vAlign w:val="top"/>
          </w:tcPr>
          <w:p w14:paraId="79654F11">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未按照要求上交本周、月、年养护计划、工作总结，未提交一次扣3分；</w:t>
            </w:r>
          </w:p>
          <w:p w14:paraId="4CEF9817">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未设专人记录养护日志、不认真记录养护日志，发现一次扣2分；</w:t>
            </w:r>
          </w:p>
          <w:p w14:paraId="4EFF395A">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无完整养护技术台账，技术交底资料扣5分；</w:t>
            </w:r>
          </w:p>
          <w:p w14:paraId="7A7EEAB1">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无养护台账每次扣10分。</w:t>
            </w:r>
          </w:p>
          <w:p w14:paraId="6C2EF8A3">
            <w:pPr>
              <w:widowControl/>
              <w:numPr>
                <w:ilvl w:val="0"/>
                <w:numId w:val="3"/>
              </w:numPr>
              <w:jc w:val="left"/>
              <w:rPr>
                <w:rFonts w:ascii="仿宋" w:hAnsi="仿宋" w:eastAsia="仿宋"/>
                <w:sz w:val="24"/>
                <w:szCs w:val="24"/>
                <w:highlight w:val="none"/>
              </w:rPr>
            </w:pPr>
            <w:r>
              <w:rPr>
                <w:rFonts w:ascii="仿宋" w:hAnsi="仿宋" w:eastAsia="仿宋"/>
                <w:sz w:val="24"/>
                <w:szCs w:val="24"/>
                <w:highlight w:val="none"/>
              </w:rPr>
              <w:t>每月养护单位要对各标段养护情况进行自检工作，无自检报告的每次扣5分</w:t>
            </w:r>
          </w:p>
        </w:tc>
        <w:tc>
          <w:tcPr>
            <w:tcW w:w="1192" w:type="pct"/>
            <w:noWrap w:val="0"/>
            <w:vAlign w:val="top"/>
          </w:tcPr>
          <w:p w14:paraId="18573FB3">
            <w:pPr>
              <w:rPr>
                <w:rFonts w:ascii="仿宋" w:hAnsi="仿宋" w:eastAsia="仿宋"/>
                <w:sz w:val="24"/>
                <w:szCs w:val="24"/>
                <w:highlight w:val="none"/>
              </w:rPr>
            </w:pPr>
            <w:r>
              <w:rPr>
                <w:rFonts w:ascii="仿宋" w:hAnsi="仿宋" w:eastAsia="仿宋"/>
                <w:sz w:val="24"/>
                <w:szCs w:val="24"/>
                <w:highlight w:val="none"/>
              </w:rPr>
              <w:t>未报送或未按时报送周、月、年计划的一次扣</w:t>
            </w:r>
            <w:r>
              <w:rPr>
                <w:rFonts w:hint="eastAsia" w:ascii="仿宋" w:hAnsi="仿宋" w:eastAsia="仿宋"/>
                <w:sz w:val="24"/>
                <w:szCs w:val="24"/>
                <w:highlight w:val="none"/>
              </w:rPr>
              <w:t>3</w:t>
            </w:r>
            <w:r>
              <w:rPr>
                <w:rFonts w:ascii="仿宋" w:hAnsi="仿宋" w:eastAsia="仿宋"/>
                <w:sz w:val="24"/>
                <w:szCs w:val="24"/>
                <w:highlight w:val="none"/>
              </w:rPr>
              <w:t>000元，计划调整两次不合格的一次扣</w:t>
            </w:r>
            <w:r>
              <w:rPr>
                <w:rFonts w:hint="eastAsia" w:ascii="仿宋" w:hAnsi="仿宋" w:eastAsia="仿宋"/>
                <w:sz w:val="24"/>
                <w:szCs w:val="24"/>
                <w:highlight w:val="none"/>
              </w:rPr>
              <w:t>2</w:t>
            </w:r>
            <w:r>
              <w:rPr>
                <w:rFonts w:ascii="仿宋" w:hAnsi="仿宋" w:eastAsia="仿宋"/>
                <w:sz w:val="24"/>
                <w:szCs w:val="24"/>
                <w:highlight w:val="none"/>
              </w:rPr>
              <w:t>000元；无养护台账的每次扣除</w:t>
            </w:r>
            <w:r>
              <w:rPr>
                <w:rFonts w:hint="eastAsia" w:ascii="仿宋" w:hAnsi="仿宋" w:eastAsia="仿宋"/>
                <w:sz w:val="24"/>
                <w:szCs w:val="24"/>
                <w:highlight w:val="none"/>
              </w:rPr>
              <w:t>3</w:t>
            </w:r>
            <w:r>
              <w:rPr>
                <w:rFonts w:ascii="仿宋" w:hAnsi="仿宋" w:eastAsia="仿宋"/>
                <w:sz w:val="24"/>
                <w:szCs w:val="24"/>
                <w:highlight w:val="none"/>
              </w:rPr>
              <w:t>000元，无养护日志的按照每天100元进行处罚；无自检报告每次扣</w:t>
            </w:r>
            <w:r>
              <w:rPr>
                <w:rFonts w:hint="eastAsia" w:ascii="仿宋" w:hAnsi="仿宋" w:eastAsia="仿宋"/>
                <w:sz w:val="24"/>
                <w:szCs w:val="24"/>
                <w:highlight w:val="none"/>
              </w:rPr>
              <w:t>5000</w:t>
            </w:r>
            <w:r>
              <w:rPr>
                <w:rFonts w:ascii="仿宋" w:hAnsi="仿宋" w:eastAsia="仿宋"/>
                <w:sz w:val="24"/>
                <w:szCs w:val="24"/>
                <w:highlight w:val="none"/>
              </w:rPr>
              <w:t>元</w:t>
            </w:r>
          </w:p>
        </w:tc>
        <w:tc>
          <w:tcPr>
            <w:tcW w:w="252" w:type="pct"/>
            <w:noWrap w:val="0"/>
            <w:vAlign w:val="top"/>
          </w:tcPr>
          <w:p w14:paraId="5236A98B">
            <w:pPr>
              <w:rPr>
                <w:rFonts w:ascii="仿宋" w:hAnsi="仿宋" w:eastAsia="仿宋"/>
                <w:sz w:val="24"/>
                <w:szCs w:val="24"/>
                <w:highlight w:val="none"/>
              </w:rPr>
            </w:pPr>
          </w:p>
        </w:tc>
      </w:tr>
      <w:tr w14:paraId="18F3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43B537CE">
            <w:pPr>
              <w:rPr>
                <w:rFonts w:ascii="仿宋" w:hAnsi="仿宋" w:eastAsia="仿宋"/>
                <w:sz w:val="24"/>
                <w:szCs w:val="24"/>
                <w:highlight w:val="none"/>
              </w:rPr>
            </w:pPr>
          </w:p>
        </w:tc>
        <w:tc>
          <w:tcPr>
            <w:tcW w:w="444" w:type="pct"/>
            <w:vMerge w:val="continue"/>
            <w:noWrap w:val="0"/>
            <w:vAlign w:val="top"/>
          </w:tcPr>
          <w:p w14:paraId="745DBC94">
            <w:pPr>
              <w:rPr>
                <w:rFonts w:ascii="仿宋" w:hAnsi="仿宋" w:eastAsia="仿宋"/>
                <w:sz w:val="24"/>
                <w:szCs w:val="24"/>
                <w:highlight w:val="none"/>
              </w:rPr>
            </w:pPr>
          </w:p>
        </w:tc>
        <w:tc>
          <w:tcPr>
            <w:tcW w:w="648" w:type="pct"/>
            <w:noWrap w:val="0"/>
            <w:vAlign w:val="center"/>
          </w:tcPr>
          <w:p w14:paraId="2B35BFF1">
            <w:pPr>
              <w:rPr>
                <w:rFonts w:ascii="仿宋" w:hAnsi="仿宋" w:eastAsia="仿宋"/>
                <w:sz w:val="24"/>
                <w:szCs w:val="24"/>
                <w:highlight w:val="none"/>
              </w:rPr>
            </w:pPr>
            <w:r>
              <w:rPr>
                <w:rFonts w:ascii="仿宋" w:hAnsi="仿宋" w:eastAsia="仿宋"/>
                <w:sz w:val="24"/>
                <w:szCs w:val="24"/>
                <w:highlight w:val="none"/>
              </w:rPr>
              <w:t>执行力</w:t>
            </w:r>
          </w:p>
        </w:tc>
        <w:tc>
          <w:tcPr>
            <w:tcW w:w="2158" w:type="pct"/>
            <w:noWrap w:val="0"/>
            <w:vAlign w:val="top"/>
          </w:tcPr>
          <w:p w14:paraId="7EB55619">
            <w:pPr>
              <w:widowControl/>
              <w:numPr>
                <w:ilvl w:val="0"/>
                <w:numId w:val="4"/>
              </w:numPr>
              <w:jc w:val="left"/>
              <w:rPr>
                <w:rFonts w:ascii="仿宋" w:hAnsi="仿宋" w:eastAsia="仿宋"/>
                <w:sz w:val="24"/>
                <w:szCs w:val="24"/>
                <w:highlight w:val="none"/>
              </w:rPr>
            </w:pPr>
            <w:r>
              <w:rPr>
                <w:rFonts w:ascii="仿宋" w:hAnsi="仿宋" w:eastAsia="仿宋"/>
                <w:sz w:val="24"/>
                <w:szCs w:val="24"/>
                <w:highlight w:val="none"/>
              </w:rPr>
              <w:t>群众投诉、媒体披露、领导及上级部门通报问题，整改不到位扣10分</w:t>
            </w:r>
            <w:r>
              <w:rPr>
                <w:rFonts w:hint="eastAsia" w:ascii="仿宋" w:hAnsi="仿宋" w:eastAsia="仿宋"/>
                <w:sz w:val="24"/>
                <w:szCs w:val="24"/>
                <w:highlight w:val="none"/>
              </w:rPr>
              <w:t>；</w:t>
            </w:r>
          </w:p>
          <w:p w14:paraId="77D9C272">
            <w:pPr>
              <w:widowControl/>
              <w:numPr>
                <w:ilvl w:val="0"/>
                <w:numId w:val="4"/>
              </w:numPr>
              <w:jc w:val="left"/>
              <w:rPr>
                <w:rFonts w:ascii="仿宋" w:hAnsi="仿宋" w:eastAsia="仿宋"/>
                <w:sz w:val="24"/>
                <w:szCs w:val="24"/>
                <w:highlight w:val="none"/>
              </w:rPr>
            </w:pPr>
            <w:r>
              <w:rPr>
                <w:rFonts w:ascii="仿宋" w:hAnsi="仿宋" w:eastAsia="仿宋"/>
                <w:sz w:val="24"/>
                <w:szCs w:val="24"/>
                <w:highlight w:val="none"/>
              </w:rPr>
              <w:t>对生态环境局及监理安排的日常工作不能够及时完成、有推诿扯皮现象扣5分。</w:t>
            </w:r>
          </w:p>
          <w:p w14:paraId="6257E790">
            <w:pPr>
              <w:widowControl/>
              <w:numPr>
                <w:ilvl w:val="0"/>
                <w:numId w:val="4"/>
              </w:numPr>
              <w:jc w:val="left"/>
              <w:rPr>
                <w:rFonts w:ascii="仿宋" w:hAnsi="仿宋" w:eastAsia="仿宋"/>
                <w:sz w:val="24"/>
                <w:szCs w:val="24"/>
                <w:highlight w:val="none"/>
              </w:rPr>
            </w:pPr>
            <w:r>
              <w:rPr>
                <w:rFonts w:ascii="仿宋" w:hAnsi="仿宋" w:eastAsia="仿宋"/>
                <w:sz w:val="24"/>
                <w:szCs w:val="24"/>
                <w:highlight w:val="none"/>
              </w:rPr>
              <w:t>在重大活动、突发事件及其它临时性任务中，不能按时完成任务，扣15分；</w:t>
            </w:r>
          </w:p>
          <w:p w14:paraId="075E82D9">
            <w:pPr>
              <w:rPr>
                <w:rFonts w:ascii="仿宋" w:hAnsi="仿宋" w:eastAsia="仿宋"/>
                <w:sz w:val="24"/>
                <w:szCs w:val="24"/>
                <w:highlight w:val="none"/>
              </w:rPr>
            </w:pPr>
            <w:r>
              <w:rPr>
                <w:rFonts w:ascii="仿宋" w:hAnsi="仿宋" w:eastAsia="仿宋"/>
                <w:sz w:val="24"/>
                <w:szCs w:val="24"/>
                <w:highlight w:val="none"/>
              </w:rPr>
              <w:t>4、严格遵守市级园林绿化工作相关要求及行业管理规范，未落实或落实不到位每项扣10分。</w:t>
            </w:r>
          </w:p>
        </w:tc>
        <w:tc>
          <w:tcPr>
            <w:tcW w:w="1192" w:type="pct"/>
            <w:noWrap w:val="0"/>
            <w:vAlign w:val="top"/>
          </w:tcPr>
          <w:p w14:paraId="4ACCD5FD">
            <w:pPr>
              <w:rPr>
                <w:rFonts w:ascii="仿宋" w:hAnsi="仿宋" w:eastAsia="仿宋"/>
                <w:sz w:val="24"/>
                <w:szCs w:val="24"/>
                <w:highlight w:val="none"/>
              </w:rPr>
            </w:pPr>
            <w:r>
              <w:rPr>
                <w:rFonts w:ascii="仿宋" w:hAnsi="仿宋" w:eastAsia="仿宋"/>
                <w:sz w:val="24"/>
                <w:szCs w:val="24"/>
                <w:highlight w:val="none"/>
              </w:rPr>
              <w:t>对建设单位、监理单位下发的指令不予执行或推诿扯皮的按照</w:t>
            </w:r>
            <w:r>
              <w:rPr>
                <w:rFonts w:hint="eastAsia" w:ascii="仿宋" w:hAnsi="仿宋" w:eastAsia="仿宋"/>
                <w:sz w:val="24"/>
                <w:szCs w:val="24"/>
                <w:highlight w:val="none"/>
              </w:rPr>
              <w:t>3</w:t>
            </w:r>
            <w:r>
              <w:rPr>
                <w:rFonts w:ascii="仿宋" w:hAnsi="仿宋" w:eastAsia="仿宋"/>
                <w:sz w:val="24"/>
                <w:szCs w:val="24"/>
                <w:highlight w:val="none"/>
              </w:rPr>
              <w:t>000元/次标准进行处罚，被群众投诉、媒体披露、领导及上级部门通报问题，整改不力的按照</w:t>
            </w:r>
            <w:r>
              <w:rPr>
                <w:rFonts w:hint="eastAsia" w:ascii="仿宋" w:hAnsi="仿宋" w:eastAsia="仿宋"/>
                <w:sz w:val="24"/>
                <w:szCs w:val="24"/>
                <w:highlight w:val="none"/>
              </w:rPr>
              <w:t>10</w:t>
            </w:r>
            <w:r>
              <w:rPr>
                <w:rFonts w:ascii="仿宋" w:hAnsi="仿宋" w:eastAsia="仿宋"/>
                <w:sz w:val="24"/>
                <w:szCs w:val="24"/>
                <w:highlight w:val="none"/>
              </w:rPr>
              <w:t>000元/次进行扣款；重大活动，项目经理现场未值守每次扣款</w:t>
            </w:r>
            <w:r>
              <w:rPr>
                <w:rFonts w:hint="eastAsia" w:ascii="仿宋" w:hAnsi="仿宋" w:eastAsia="仿宋"/>
                <w:sz w:val="24"/>
                <w:szCs w:val="24"/>
                <w:highlight w:val="none"/>
              </w:rPr>
              <w:t>5000</w:t>
            </w:r>
            <w:r>
              <w:rPr>
                <w:rFonts w:ascii="仿宋" w:hAnsi="仿宋" w:eastAsia="仿宋"/>
                <w:sz w:val="24"/>
                <w:szCs w:val="24"/>
                <w:highlight w:val="none"/>
              </w:rPr>
              <w:t>元</w:t>
            </w:r>
            <w:r>
              <w:rPr>
                <w:rFonts w:hint="eastAsia" w:ascii="仿宋" w:hAnsi="仿宋" w:eastAsia="仿宋"/>
                <w:sz w:val="24"/>
                <w:szCs w:val="24"/>
                <w:highlight w:val="none"/>
              </w:rPr>
              <w:t>，</w:t>
            </w:r>
            <w:r>
              <w:rPr>
                <w:rFonts w:ascii="仿宋" w:hAnsi="仿宋" w:eastAsia="仿宋"/>
                <w:sz w:val="24"/>
                <w:szCs w:val="24"/>
                <w:highlight w:val="none"/>
              </w:rPr>
              <w:t>对建设单位安排事项执行不力的每次扣款</w:t>
            </w:r>
            <w:r>
              <w:rPr>
                <w:rFonts w:hint="eastAsia" w:ascii="仿宋" w:hAnsi="仿宋" w:eastAsia="仿宋"/>
                <w:sz w:val="24"/>
                <w:szCs w:val="24"/>
                <w:highlight w:val="none"/>
              </w:rPr>
              <w:t>5000</w:t>
            </w:r>
            <w:r>
              <w:rPr>
                <w:rFonts w:ascii="仿宋" w:hAnsi="仿宋" w:eastAsia="仿宋"/>
                <w:sz w:val="24"/>
                <w:szCs w:val="24"/>
                <w:highlight w:val="none"/>
              </w:rPr>
              <w:t>元。</w:t>
            </w:r>
          </w:p>
        </w:tc>
        <w:tc>
          <w:tcPr>
            <w:tcW w:w="252" w:type="pct"/>
            <w:noWrap w:val="0"/>
            <w:vAlign w:val="top"/>
          </w:tcPr>
          <w:p w14:paraId="5A1B59E7">
            <w:pPr>
              <w:rPr>
                <w:rFonts w:ascii="仿宋" w:hAnsi="仿宋" w:eastAsia="仿宋"/>
                <w:sz w:val="24"/>
                <w:szCs w:val="24"/>
                <w:highlight w:val="none"/>
              </w:rPr>
            </w:pPr>
          </w:p>
        </w:tc>
      </w:tr>
      <w:tr w14:paraId="4545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6D01673B">
            <w:pPr>
              <w:rPr>
                <w:rFonts w:ascii="仿宋" w:hAnsi="仿宋" w:eastAsia="仿宋"/>
                <w:sz w:val="24"/>
                <w:szCs w:val="24"/>
                <w:highlight w:val="none"/>
              </w:rPr>
            </w:pPr>
          </w:p>
        </w:tc>
        <w:tc>
          <w:tcPr>
            <w:tcW w:w="444" w:type="pct"/>
            <w:vMerge w:val="continue"/>
            <w:noWrap w:val="0"/>
            <w:vAlign w:val="top"/>
          </w:tcPr>
          <w:p w14:paraId="16AA8BC9">
            <w:pPr>
              <w:rPr>
                <w:rFonts w:ascii="仿宋" w:hAnsi="仿宋" w:eastAsia="仿宋"/>
                <w:sz w:val="24"/>
                <w:szCs w:val="24"/>
                <w:highlight w:val="none"/>
              </w:rPr>
            </w:pPr>
          </w:p>
        </w:tc>
        <w:tc>
          <w:tcPr>
            <w:tcW w:w="648" w:type="pct"/>
            <w:noWrap w:val="0"/>
            <w:vAlign w:val="center"/>
          </w:tcPr>
          <w:p w14:paraId="3577935B">
            <w:pPr>
              <w:rPr>
                <w:rFonts w:ascii="仿宋" w:hAnsi="仿宋" w:eastAsia="仿宋"/>
                <w:sz w:val="24"/>
                <w:szCs w:val="24"/>
                <w:highlight w:val="none"/>
              </w:rPr>
            </w:pPr>
            <w:r>
              <w:rPr>
                <w:rFonts w:ascii="仿宋" w:hAnsi="仿宋" w:eastAsia="仿宋"/>
                <w:sz w:val="24"/>
                <w:szCs w:val="24"/>
                <w:highlight w:val="none"/>
              </w:rPr>
              <w:t>资产管理</w:t>
            </w:r>
          </w:p>
        </w:tc>
        <w:tc>
          <w:tcPr>
            <w:tcW w:w="2158" w:type="pct"/>
            <w:noWrap w:val="0"/>
            <w:vAlign w:val="center"/>
          </w:tcPr>
          <w:p w14:paraId="54F0E86C">
            <w:pPr>
              <w:rPr>
                <w:rFonts w:ascii="仿宋" w:hAnsi="仿宋" w:eastAsia="仿宋"/>
                <w:sz w:val="24"/>
                <w:szCs w:val="24"/>
                <w:highlight w:val="none"/>
              </w:rPr>
            </w:pPr>
            <w:r>
              <w:rPr>
                <w:rFonts w:ascii="仿宋" w:hAnsi="仿宋" w:eastAsia="仿宋"/>
                <w:sz w:val="24"/>
                <w:szCs w:val="24"/>
                <w:highlight w:val="none"/>
              </w:rPr>
              <w:t>1、每年进行一次苗木盘点，做好绿苗木资产增减的登记工作，做好新接绿地苗木清单、绿地图纸等相关资料的保管工作。未登记的每次扣除5分，资料缺失的每次扣除3分。</w:t>
            </w:r>
          </w:p>
          <w:p w14:paraId="16161B93">
            <w:pPr>
              <w:rPr>
                <w:rFonts w:ascii="仿宋" w:hAnsi="仿宋" w:eastAsia="仿宋"/>
                <w:sz w:val="24"/>
                <w:szCs w:val="24"/>
                <w:highlight w:val="none"/>
              </w:rPr>
            </w:pPr>
            <w:r>
              <w:rPr>
                <w:rFonts w:ascii="仿宋" w:hAnsi="仿宋" w:eastAsia="仿宋"/>
                <w:sz w:val="24"/>
                <w:szCs w:val="24"/>
                <w:highlight w:val="none"/>
              </w:rPr>
              <w:t>2、对主要景观树、胸径超过30公分大规格苗木实施建档、挂牌管理，未实施的每次扣5分。</w:t>
            </w:r>
          </w:p>
        </w:tc>
        <w:tc>
          <w:tcPr>
            <w:tcW w:w="1192" w:type="pct"/>
            <w:noWrap w:val="0"/>
            <w:vAlign w:val="top"/>
          </w:tcPr>
          <w:p w14:paraId="497D5DB8">
            <w:pPr>
              <w:rPr>
                <w:rFonts w:ascii="仿宋" w:hAnsi="仿宋" w:eastAsia="仿宋"/>
                <w:sz w:val="24"/>
                <w:szCs w:val="24"/>
                <w:highlight w:val="none"/>
              </w:rPr>
            </w:pPr>
            <w:r>
              <w:rPr>
                <w:rFonts w:ascii="仿宋" w:hAnsi="仿宋" w:eastAsia="仿宋"/>
                <w:sz w:val="24"/>
                <w:szCs w:val="24"/>
                <w:highlight w:val="none"/>
              </w:rPr>
              <w:t>1、未实施盘点的每次扣除</w:t>
            </w:r>
            <w:r>
              <w:rPr>
                <w:rFonts w:hint="eastAsia" w:ascii="仿宋" w:hAnsi="仿宋" w:eastAsia="仿宋"/>
                <w:sz w:val="24"/>
                <w:szCs w:val="24"/>
                <w:highlight w:val="none"/>
              </w:rPr>
              <w:t>2</w:t>
            </w:r>
            <w:r>
              <w:rPr>
                <w:rFonts w:ascii="仿宋" w:hAnsi="仿宋" w:eastAsia="仿宋"/>
                <w:sz w:val="24"/>
                <w:szCs w:val="24"/>
                <w:highlight w:val="none"/>
              </w:rPr>
              <w:t>万元；资产增减登记缺失的每次扣除</w:t>
            </w:r>
            <w:r>
              <w:rPr>
                <w:rFonts w:hint="eastAsia" w:ascii="仿宋" w:hAnsi="仿宋" w:eastAsia="仿宋"/>
                <w:sz w:val="24"/>
                <w:szCs w:val="24"/>
                <w:highlight w:val="none"/>
              </w:rPr>
              <w:t>5</w:t>
            </w:r>
            <w:r>
              <w:rPr>
                <w:rFonts w:ascii="仿宋" w:hAnsi="仿宋" w:eastAsia="仿宋"/>
                <w:sz w:val="24"/>
                <w:szCs w:val="24"/>
                <w:highlight w:val="none"/>
              </w:rPr>
              <w:t>00元；资料缺失每次扣除</w:t>
            </w:r>
            <w:r>
              <w:rPr>
                <w:rFonts w:hint="eastAsia" w:ascii="仿宋" w:hAnsi="仿宋" w:eastAsia="仿宋"/>
                <w:sz w:val="24"/>
                <w:szCs w:val="24"/>
                <w:highlight w:val="none"/>
              </w:rPr>
              <w:t>5000</w:t>
            </w:r>
            <w:r>
              <w:rPr>
                <w:rFonts w:ascii="仿宋" w:hAnsi="仿宋" w:eastAsia="仿宋"/>
                <w:sz w:val="24"/>
                <w:szCs w:val="24"/>
                <w:highlight w:val="none"/>
              </w:rPr>
              <w:t>元。对主景树、名贵树、规格较大（</w:t>
            </w:r>
            <w:r>
              <w:rPr>
                <w:rFonts w:hint="eastAsia" w:ascii="仿宋" w:hAnsi="仿宋" w:eastAsia="仿宋"/>
                <w:sz w:val="24"/>
                <w:szCs w:val="24"/>
                <w:highlight w:val="none"/>
              </w:rPr>
              <w:t>5</w:t>
            </w:r>
            <w:r>
              <w:rPr>
                <w:rFonts w:ascii="仿宋" w:hAnsi="仿宋" w:eastAsia="仿宋"/>
                <w:sz w:val="24"/>
                <w:szCs w:val="24"/>
                <w:highlight w:val="none"/>
              </w:rPr>
              <w:t>0cm以上）苗木未进行建档、挂牌的每株罚款</w:t>
            </w:r>
            <w:r>
              <w:rPr>
                <w:rFonts w:hint="eastAsia" w:ascii="仿宋" w:hAnsi="仿宋" w:eastAsia="仿宋"/>
                <w:sz w:val="24"/>
                <w:szCs w:val="24"/>
                <w:highlight w:val="none"/>
              </w:rPr>
              <w:t>5</w:t>
            </w:r>
            <w:r>
              <w:rPr>
                <w:rFonts w:ascii="仿宋" w:hAnsi="仿宋" w:eastAsia="仿宋"/>
                <w:sz w:val="24"/>
                <w:szCs w:val="24"/>
                <w:highlight w:val="none"/>
              </w:rPr>
              <w:t>00元。</w:t>
            </w:r>
          </w:p>
          <w:p w14:paraId="4270FD70">
            <w:pPr>
              <w:rPr>
                <w:rFonts w:ascii="仿宋" w:hAnsi="仿宋" w:eastAsia="仿宋"/>
                <w:sz w:val="24"/>
                <w:szCs w:val="24"/>
                <w:highlight w:val="none"/>
              </w:rPr>
            </w:pPr>
            <w:r>
              <w:rPr>
                <w:rFonts w:ascii="仿宋" w:hAnsi="仿宋" w:eastAsia="仿宋"/>
                <w:sz w:val="24"/>
                <w:szCs w:val="24"/>
                <w:highlight w:val="none"/>
              </w:rPr>
              <w:t>2、规范养护物资供应，无养护物资采购方案或计划一次扣</w:t>
            </w:r>
            <w:r>
              <w:rPr>
                <w:rFonts w:hint="eastAsia" w:ascii="仿宋" w:hAnsi="仿宋" w:eastAsia="仿宋"/>
                <w:sz w:val="24"/>
                <w:szCs w:val="24"/>
                <w:highlight w:val="none"/>
              </w:rPr>
              <w:t>5000</w:t>
            </w:r>
            <w:r>
              <w:rPr>
                <w:rFonts w:ascii="仿宋" w:hAnsi="仿宋" w:eastAsia="仿宋"/>
                <w:sz w:val="24"/>
                <w:szCs w:val="24"/>
                <w:highlight w:val="none"/>
              </w:rPr>
              <w:t>元，物资不足或采购缺失的按照缺失量的市场价格2倍处罚</w:t>
            </w:r>
          </w:p>
        </w:tc>
        <w:tc>
          <w:tcPr>
            <w:tcW w:w="252" w:type="pct"/>
            <w:noWrap w:val="0"/>
            <w:vAlign w:val="top"/>
          </w:tcPr>
          <w:p w14:paraId="3E49DC42">
            <w:pPr>
              <w:rPr>
                <w:rFonts w:ascii="仿宋" w:hAnsi="仿宋" w:eastAsia="仿宋"/>
                <w:sz w:val="24"/>
                <w:szCs w:val="24"/>
                <w:highlight w:val="none"/>
              </w:rPr>
            </w:pPr>
          </w:p>
        </w:tc>
      </w:tr>
    </w:tbl>
    <w:p w14:paraId="51C0033A">
      <w:pPr>
        <w:widowControl/>
        <w:spacing w:line="360" w:lineRule="auto"/>
        <w:outlineLvl w:val="9"/>
        <w:rPr>
          <w:rFonts w:hint="eastAsia" w:ascii="宋体" w:hAnsi="宋体" w:eastAsia="宋体" w:cs="宋体"/>
          <w:color w:val="auto"/>
          <w:sz w:val="24"/>
          <w:szCs w:val="24"/>
          <w:highlight w:val="none"/>
        </w:rPr>
        <w:sectPr>
          <w:pgSz w:w="16838" w:h="11905" w:orient="landscape"/>
          <w:pgMar w:top="1304" w:right="1304" w:bottom="1134" w:left="1304" w:header="851" w:footer="992" w:gutter="0"/>
          <w:pgNumType w:fmt="numberInDash"/>
          <w:cols w:space="720" w:num="1"/>
          <w:titlePg/>
          <w:docGrid w:linePitch="323" w:charSpace="0"/>
        </w:sectPr>
      </w:pPr>
    </w:p>
    <w:p w14:paraId="0AF3A0C0">
      <w:pPr>
        <w:widowControl/>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附件六：西安浐灞国际港绿化养护管理手册</w:t>
      </w:r>
    </w:p>
    <w:p w14:paraId="6A8BCAEA">
      <w:pPr>
        <w:spacing w:line="360" w:lineRule="auto"/>
        <w:ind w:firstLine="482" w:firstLineChars="200"/>
        <w:jc w:val="center"/>
        <w:outlineLvl w:val="9"/>
        <w:rPr>
          <w:rFonts w:hint="eastAsia" w:ascii="宋体" w:hAnsi="宋体" w:eastAsia="宋体" w:cs="宋体"/>
          <w:b/>
          <w:color w:val="auto"/>
          <w:sz w:val="24"/>
          <w:szCs w:val="24"/>
          <w:highlight w:val="none"/>
        </w:rPr>
      </w:pPr>
    </w:p>
    <w:p w14:paraId="640DF1B5">
      <w:pPr>
        <w:spacing w:line="360" w:lineRule="auto"/>
        <w:ind w:firstLine="562" w:firstLineChars="20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西安浐灞国际港绿化养护管理手册</w:t>
      </w:r>
    </w:p>
    <w:p w14:paraId="7383C0D6">
      <w:pPr>
        <w:spacing w:line="360" w:lineRule="auto"/>
        <w:ind w:firstLine="480" w:firstLineChars="200"/>
        <w:jc w:val="center"/>
        <w:outlineLvl w:val="9"/>
        <w:rPr>
          <w:rFonts w:hint="eastAsia" w:ascii="宋体" w:hAnsi="宋体" w:eastAsia="宋体" w:cs="宋体"/>
          <w:color w:val="auto"/>
          <w:sz w:val="24"/>
          <w:szCs w:val="24"/>
          <w:highlight w:val="none"/>
        </w:rPr>
      </w:pPr>
    </w:p>
    <w:p w14:paraId="70C60E82">
      <w:pPr>
        <w:spacing w:line="360" w:lineRule="auto"/>
        <w:ind w:firstLine="480" w:firstLineChars="200"/>
        <w:jc w:val="center"/>
        <w:outlineLvl w:val="9"/>
        <w:rPr>
          <w:rFonts w:hint="eastAsia" w:ascii="宋体" w:hAnsi="宋体" w:eastAsia="宋体" w:cs="宋体"/>
          <w:color w:val="auto"/>
          <w:sz w:val="24"/>
          <w:szCs w:val="24"/>
          <w:highlight w:val="none"/>
        </w:rPr>
      </w:pPr>
    </w:p>
    <w:p w14:paraId="0F4E8901">
      <w:pPr>
        <w:spacing w:line="360" w:lineRule="auto"/>
        <w:ind w:firstLine="480" w:firstLineChars="20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    录</w:t>
      </w:r>
    </w:p>
    <w:p w14:paraId="1977F0EC">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1.项目部建设要求...............................................</w:t>
      </w:r>
    </w:p>
    <w:p w14:paraId="7CDEFFCF">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2.养护进场交接标准.............................................</w:t>
      </w:r>
    </w:p>
    <w:p w14:paraId="1F685A9D">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3.养护单元划分及管理人员配备标准...............................</w:t>
      </w:r>
    </w:p>
    <w:p w14:paraId="1195E116">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4.养护队伍建设.................................................</w:t>
      </w:r>
    </w:p>
    <w:p w14:paraId="1135D58B">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5.养护质量执行标准. ...........................................</w:t>
      </w:r>
    </w:p>
    <w:p w14:paraId="1CE2F9BC">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6.养护资料管理标准............................................</w:t>
      </w:r>
    </w:p>
    <w:p w14:paraId="1C0FFDE6">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7.精细化养护管理工作标准......................................</w:t>
      </w:r>
    </w:p>
    <w:p w14:paraId="7C482EF1">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8.绿地占用管理........................................ ........</w:t>
      </w:r>
    </w:p>
    <w:p w14:paraId="2BF8AEE9">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9.资产管理要求.................................................</w:t>
      </w:r>
    </w:p>
    <w:p w14:paraId="5174B1FB">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10.绿化养护工作考核.......................................</w:t>
      </w:r>
    </w:p>
    <w:p w14:paraId="33E0FA65">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11.养护费用支付办理............................................</w:t>
      </w:r>
    </w:p>
    <w:p w14:paraId="4025FDEB">
      <w:pPr>
        <w:spacing w:line="360" w:lineRule="auto"/>
        <w:ind w:firstLine="480" w:firstLineChars="200"/>
        <w:jc w:val="distribute"/>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12.绿地退场移交要求...........................................</w:t>
      </w:r>
    </w:p>
    <w:p w14:paraId="058C55E7">
      <w:pPr>
        <w:spacing w:line="360" w:lineRule="auto"/>
        <w:ind w:firstLine="480" w:firstLineChars="200"/>
        <w:jc w:val="left"/>
        <w:outlineLvl w:val="9"/>
        <w:rPr>
          <w:rFonts w:hint="eastAsia" w:ascii="宋体" w:hAnsi="宋体" w:eastAsia="宋体" w:cs="宋体"/>
          <w:color w:val="auto"/>
          <w:sz w:val="24"/>
          <w:szCs w:val="24"/>
          <w:highlight w:val="none"/>
        </w:rPr>
      </w:pPr>
    </w:p>
    <w:p w14:paraId="27F1E29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一、项目部建设要求</w:t>
      </w:r>
    </w:p>
    <w:p w14:paraId="46320CB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单位必须按照合同形成独立建制，组建养护工程项目部，建立健全各项规章制度上墙；按照合同承诺配备项目部全员到岗到位；合理设置管理机构；健全质量、安全管理体系；设立专职巡查员制度；加强安全、技术交底工作；</w:t>
      </w:r>
    </w:p>
    <w:p w14:paraId="15BE7A9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接受建设单位、监理单位的指令；及时上报安全、措施、质量方案，经批准后实施；</w:t>
      </w:r>
    </w:p>
    <w:p w14:paraId="7B46D67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二、养护进场交接标准</w:t>
      </w:r>
    </w:p>
    <w:p w14:paraId="1FF8AAF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1、资料交接：接收绿地基础资料档案：项目设计方案、竣工图纸（纸质版2套及电子版）、绿化苗木清单、土壤主要理化性状、如现场与竣工图出现较大差异需提供现场变更相关资料；</w:t>
      </w:r>
    </w:p>
    <w:p w14:paraId="190D306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现场交接：对照绿地竣工图纸、苗木清单及工程量清单对绿地苗木数量进行盘点、接收，对竣工图与现场进行核对、对设施完整及运行情况进行核对、对电源、水源进行交接，对照《园林绿化养护标准》及《园林绿化工程施工及验收规范》对现场问题进行梳理，对绿地接收绿地进行评价。</w:t>
      </w:r>
    </w:p>
    <w:p w14:paraId="2398E31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三、养护单元划分及管理人员配备标准</w:t>
      </w:r>
    </w:p>
    <w:p w14:paraId="7BE263E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养护单位进场后，要科学划分养护单元，要求每养护单元面积约为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0万㎡，并建立标段养护管理体系。</w:t>
      </w:r>
    </w:p>
    <w:p w14:paraId="11B497C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养护单位应足额配备专业养护人员，绿化养护管理单位必须向项目部配备项目经理1名，标段技术负责1名，专职安全员1名，资料员1名。每一个养护单元配备1名单元负责人或单元技术负责人（负责单元日常管理和技术指导工作），配1名巡查人员（负责单元日常巡查工作），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万㎡配备1名养护组长（负责小组人员管理和工作落实）。一级养护绿地</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000㎡/人，二级养护绿地1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000㎡/人，防护林带20000㎡/人，要求养护工作人员年龄男工不得超过60岁，女工不超55岁，男女工人比例控制在</w:t>
      </w:r>
      <w:r>
        <w:rPr>
          <w:rFonts w:hint="eastAsia" w:ascii="宋体" w:hAnsi="宋体" w:eastAsia="宋体" w:cs="宋体"/>
          <w:color w:val="FF0000"/>
          <w:sz w:val="24"/>
          <w:szCs w:val="24"/>
          <w:highlight w:val="none"/>
          <w:lang w:val="en-US" w:eastAsia="zh-CN"/>
        </w:rPr>
        <w:t>5</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val="en-US" w:eastAsia="zh-CN"/>
        </w:rPr>
        <w:t>5</w:t>
      </w:r>
      <w:r>
        <w:rPr>
          <w:rFonts w:hint="eastAsia" w:ascii="宋体" w:hAnsi="宋体" w:eastAsia="宋体" w:cs="宋体"/>
          <w:color w:val="FF0000"/>
          <w:sz w:val="24"/>
          <w:szCs w:val="24"/>
          <w:highlight w:val="none"/>
        </w:rPr>
        <w:t>比例</w:t>
      </w:r>
      <w:r>
        <w:rPr>
          <w:rFonts w:hint="eastAsia" w:ascii="宋体" w:hAnsi="宋体" w:eastAsia="宋体" w:cs="宋体"/>
          <w:color w:val="auto"/>
          <w:sz w:val="24"/>
          <w:szCs w:val="24"/>
          <w:highlight w:val="none"/>
        </w:rPr>
        <w:t>，技术工人占比不低于总人数的1/3。</w:t>
      </w:r>
    </w:p>
    <w:p w14:paraId="596611D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经理和标段技术负责人应有绿化养护中级工程师以上资质，单元负责人和技术负责人应具备高级绿化工应具备的绿化养护相关要求、知识、技能；养护组长应有具备中级绿化工应具备的绿化养护相关要求知识、技能；养护技术工人应具备园林行业职业技能标准中初级绿化工应具备的绿化养护相关知识。</w:t>
      </w:r>
    </w:p>
    <w:p w14:paraId="2ABAE32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3.项目经理及项目技术人员对所承揽养护区域，做到每周巡查一次；专职安全员及专职管理员，做到每天巡查一次；养护项目部每周将巡查结果汇总上报建设单位及监理部。</w:t>
      </w:r>
    </w:p>
    <w:p w14:paraId="7B57945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项目部经理、项目技术人员及主要管理人员每月在岗时间不得少于本月养护时间的80%；标段负责人每月在岗时间不得少于本月养护时间的90%；建设单位及监理部对现场巡视检查时，养护项目部管理人员接到通知后必须半小时到场。</w:t>
      </w:r>
    </w:p>
    <w:p w14:paraId="428D28F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机械配备：根据园林机械设备的安全性、适应性、可靠性、环保性等配备具备完成承揽的园林绿化养护项目所需的相关机械设备（枝剪、平剪、高枝剪、高空剪、油锯、铲、锄、梯子、打孔机、绿篱机、割灌机、草坪机、电动喷雾剂、洒水车、电动三轮高压冲洗车、快速保洁车、电动垃圾转运车、高空升降车、吊车、巡查车等），养护工具选用需优先选用电动、环保型工具。</w:t>
      </w:r>
    </w:p>
    <w:p w14:paraId="074C289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要求项目部必须至少配备一辆高空升降车、吊车，每标段必须配备一辆巡查车。</w:t>
      </w:r>
    </w:p>
    <w:p w14:paraId="7D6FAC1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四、养护队伍建设</w:t>
      </w:r>
    </w:p>
    <w:p w14:paraId="56E7A1B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养护单位应制定人员培训计划，每周针对工作中的重点、难点工作进行每周培训，让一线工作人员充分了解工作技术要点，作业标准到位；每月邀请专业人员或专业老师进行月度专业技能培训，提升整体队伍专业素养，并将培训计划纳入养护工作方案。</w:t>
      </w:r>
    </w:p>
    <w:p w14:paraId="649AF0C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2.养护单位应认真贯彻、落实中央、省、市及管委会各类会议精神和文件要求，养护单位要加强人员教育，严禁工作人员出现违背国家政策、中央精神的言论、行为。</w:t>
      </w:r>
    </w:p>
    <w:p w14:paraId="39C3293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3.所有项目部及养护标段管理人员工作期间严谨溜岗、串岗，如有请假，需建设单位及监理审批，养护单元管理人员及班组长及工人请假由项目部审批并报监理进行报备。</w:t>
      </w:r>
    </w:p>
    <w:p w14:paraId="11CC4DD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五、养护质量执行标准</w:t>
      </w:r>
    </w:p>
    <w:p w14:paraId="5D0C95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按照《园林绿化养护标准》CJJ287-2018、《西安市绿化养护管理标准养护》执行，公园广场、一级道路沿线绿地按照一级养护标准执行，二、按照二级养护标准执行，三级道路绿地按照三级养护标准执行，林带等偏远绿地按照林带养护标准执行。</w:t>
      </w:r>
    </w:p>
    <w:p w14:paraId="74E46FF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（一）一类绿地养护质量标准 </w:t>
      </w:r>
    </w:p>
    <w:p w14:paraId="2CDA92B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1.绿化养护技术措施完善，管理得当，植物配置科学合理，达到黄土不露天。</w:t>
      </w:r>
    </w:p>
    <w:p w14:paraId="487F8BB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2.园林植物 </w:t>
      </w:r>
    </w:p>
    <w:p w14:paraId="3489847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园林树木树冠完整美观，分枝点合适，枝条粗壮，无枯枝死杈；主侧枝分布匀称、数量适宜、修剪科学合理；内膛不乱，通风透光。花灌木开花及时，株形丰满，花后修剪及时合理。绿篱、色块等修剪及时，枝叶茂密，整齐一致，整型树木造型雅观。行道树无缺株，绿地内无死树。</w:t>
      </w:r>
    </w:p>
    <w:p w14:paraId="1A7C878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落叶树新梢生长健壮，叶片大小、颜色正常。在一般条件下，无黄叶、焦叶、卷叶，正常叶片保存率在95%以上。针叶树针叶宿存3年以上，结果枝条在10 %以下。  </w:t>
      </w:r>
    </w:p>
    <w:p w14:paraId="6C62BFC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（3）花坛、花带轮廓清晰，整齐美观，色彩艳丽，无残缺，无残花败叶。 </w:t>
      </w:r>
    </w:p>
    <w:p w14:paraId="163CD3A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（4）草坪及地被植物整齐，覆盖率99 %以上，草坪内无杂草。草坪绿色期：冷季型草不得少于300天；暖季型草不得少于270天。 </w:t>
      </w:r>
    </w:p>
    <w:p w14:paraId="6BCAE22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（5）病虫害控制及时，园林树木无蛀干害虫的活卵、活虫；园林树木病虫害平均被害株数不得超过1％。叶片上无虫粪、虫网。被虫咬的叶片每株不得超过2%。 </w:t>
      </w:r>
    </w:p>
    <w:p w14:paraId="0895297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3.垂直绿化应根据不同植物的攀缘特点，及时采取相应的牵引、设置网架等技术措施，视攀缘植物生长习性，覆盖率不得低于90%。开花的攀缘植物应适时开花，且花繁色艳。 </w:t>
      </w:r>
    </w:p>
    <w:p w14:paraId="798410E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4.绿地整洁，无杂物、无白色污染（树挂），对绿化生产垃圾（如树枝、树叶、草屑等）、绿地内水面杂物，重点地区随产随清，其它地区日产日清，做到巡视保洁。 </w:t>
      </w:r>
    </w:p>
    <w:p w14:paraId="24EB17E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5.栏杆、园路、桌椅、路灯、井盖和牌示等园林设施完整、安全，维护及时。 </w:t>
      </w:r>
    </w:p>
    <w:p w14:paraId="0D14071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6.绿地完整，无堆物、堆料、搭棚，树干上无钉拴刻画等现象。 </w:t>
      </w:r>
    </w:p>
    <w:p w14:paraId="53728F7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（二）二类绿地养护质量标准 </w:t>
      </w:r>
    </w:p>
    <w:p w14:paraId="684D3A1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1.绿化养护技术措施比较完善，管理基本得当，植物配置合理，基本达到黄土不露天。</w:t>
      </w:r>
    </w:p>
    <w:p w14:paraId="65E4028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2.园林植物 </w:t>
      </w:r>
    </w:p>
    <w:p w14:paraId="0FB45C2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（1）园林树木树冠基本完整，主侧枝分布均称、数量适宜、修剪合理，内膛不乱，通风透光。花灌木开花及时、正常，花后修剪及时。绿篱、色块枝叶正常，整齐一致。行道树无缺株，绿地内无死树。 </w:t>
      </w:r>
    </w:p>
    <w:p w14:paraId="1F3A40B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（2）落叶树新梢生长正常，叶片大小、颜色正常，在一般条件下，黄叶、焦叶、卷叶和带虫尿、虫网的叶片不得超过5%，正常叶片保存率在90%以上。针叶树针叶宿存2年以上，结果枝条不超过20%。</w:t>
      </w:r>
    </w:p>
    <w:p w14:paraId="2FE7257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花坛、花带轮廓清晰，整齐美观，适时开花，无残缺 。 </w:t>
      </w:r>
    </w:p>
    <w:p w14:paraId="44795A9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（4）草坪及地被植物整齐一致，覆盖率95%以上，除缀花草坪外草坪内杂草率不得超过2%。草坪绿色期：冷季型草不得少于270天，暖季型草不得少于240天。 </w:t>
      </w:r>
    </w:p>
    <w:p w14:paraId="35290A1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（5）病虫害控制及时，园林树木有蛀干害虫危害的株数不得超过1%；园林树木病虫害平均被害株数不得超过3％。叶上无虫粪，被虫咬的叶片每株不得超过5%。 </w:t>
      </w:r>
    </w:p>
    <w:p w14:paraId="08CFE34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3.垂直绿化应根据不同植物的攀缘特点，采取相应的牵引、设置网架等技术措施，视攀缘植物生长习性，覆盖率不得低于80%，开花的攀缘植物能适时开花。 </w:t>
      </w:r>
    </w:p>
    <w:p w14:paraId="1FD250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4.绿地整洁，无杂物、无白色污染（树挂），绿化生产垃圾（如树枝、树叶、草屑等）、绿地内水面杂物应日产日清，做到保洁及时。 </w:t>
      </w:r>
    </w:p>
    <w:p w14:paraId="0623EF4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5.栏杆、园路、桌椅、路灯、井盖和牌示等园林设施完整、安全，基本做到维护及时。 </w:t>
      </w:r>
    </w:p>
    <w:p w14:paraId="557A839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6.绿地完整，无堆物、堆料、搭棚，树干上无钉拴刻画等现象。</w:t>
      </w:r>
    </w:p>
    <w:p w14:paraId="3FAD7A9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 三）三类绿地养护质量标准 </w:t>
      </w:r>
    </w:p>
    <w:p w14:paraId="67708B5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1.绿化养护技术措施基本完善，植物配置基本合理，裸露土地不明显。</w:t>
      </w:r>
    </w:p>
    <w:p w14:paraId="4EBDF13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园林植物 </w:t>
      </w:r>
    </w:p>
    <w:p w14:paraId="08DBFD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（1）生长正常。新建绿地各种植物四年内达到正常形态。 </w:t>
      </w:r>
    </w:p>
    <w:p w14:paraId="71ED054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（2）园林树木树冠基本正常，修剪及时，无明显枯枝死叉。分枝点合适，枝条粗壮，行道树缺株率不超过1%，绿地内无死树。 </w:t>
      </w:r>
    </w:p>
    <w:p w14:paraId="5817811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（3）落叶树新梢生长基本正常，叶片大小、颜色正常，在正常条件下，有黄叶、焦叶、卷叶和带虫尿、虫网叶片的株数不得超过10%，正常叶片保存率在85%以上。针叶树针叶宿存1年以上，结果枝条不超过50%。</w:t>
      </w:r>
    </w:p>
    <w:p w14:paraId="612909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（4）花坛、花带轮廓基本清晰、整齐美观，无残缺。</w:t>
      </w:r>
    </w:p>
    <w:p w14:paraId="2192A94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（5）草坪及地被植物整齐一致，覆盖率90%以上，除缀花草坪外草坪内杂草率不得超过5%。草坪绿色期：冷季型草不得少于240天，暖季型草不得少于210天。 </w:t>
      </w:r>
    </w:p>
    <w:p w14:paraId="621C9E3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病虫害控制比较及时，园林树木有蛀干害虫危害的竹数不得超过3%；在园林树木主干、主枝上平均每100c㎡介壳虫的活虫数不得超过3头，较细枝条上平均每30cm不得超过8头，且平均被害株数不得超过5％。被虫咬的叶片每株不得超过8%。 </w:t>
      </w:r>
    </w:p>
    <w:p w14:paraId="34A2D46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3.垂直绿化能根据不同植物的攀缘特点，采取相应的技术措施，视攀缘植物生长习性，覆盖率不得低于70%。开花的攀缘植物能适时开花。 </w:t>
      </w:r>
    </w:p>
    <w:p w14:paraId="185911C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绿地基本整洁，无明显杂物，无白色污染（树挂），绿化生产垃圾（如树枝、树叶、草屑等）、绿地内水面杂物能日产日清，能做到保洁及时。 </w:t>
      </w:r>
    </w:p>
    <w:p w14:paraId="5B6A6A1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栏杆、园路、桌椅、路灯、井盖和牌示等园林设施基本完整，能进行维护。</w:t>
      </w:r>
    </w:p>
    <w:p w14:paraId="7CF9BF7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绿地基本完整，无明显堆物、堆料、搭棚、树干上无钉拴刻画等现象。行道树下距树干2米范围内无明显的堆物、堆料、圈栏或搭棚设摊等影响树木生长和养护管理的现象。 </w:t>
      </w:r>
    </w:p>
    <w:p w14:paraId="57062EA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（四）防护林带绿地养护质量标准</w:t>
      </w:r>
    </w:p>
    <w:p w14:paraId="77B9103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1.绿化养护技术措施基本完善，裸露土地不明显。</w:t>
      </w:r>
    </w:p>
    <w:p w14:paraId="04CDDBD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园林植物 </w:t>
      </w:r>
    </w:p>
    <w:p w14:paraId="54B4313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（1）园林树木树冠基本正常，修剪及时，无明显枯枝死叉。分枝点合适，枝条粗壮，绿地内无死树。 </w:t>
      </w:r>
    </w:p>
    <w:p w14:paraId="6949E8B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（2）落叶树新梢生长基本正常，叶片大小、颜色正常，在正常条件下，有黄叶、焦叶、卷叶和带虫尿、虫网叶片的株数不得超过15%，正常叶片保存率在85%以上。针叶树针叶宿存1年以上，结果枝条不超过50%。</w:t>
      </w:r>
    </w:p>
    <w:p w14:paraId="5822C8F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（3）草坪及地被植物整齐一致，覆盖率90%以上，冷季型草不得少于240天。 </w:t>
      </w:r>
    </w:p>
    <w:p w14:paraId="05265F0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（4）病虫害控制比较及时，园林树木有蛀干害虫危害的数量不得超过5%；园林树木病虫害平均被害株数不得超过5％。被虫咬的叶片每株不得超过8%。 </w:t>
      </w:r>
    </w:p>
    <w:p w14:paraId="6C1189C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绿地基本整洁，无明显杂物，无白色污染（树挂），绿化生产垃圾（如树枝、树叶、草屑等）、绿地内水面杂物能日产日清，能做到保洁及时。 </w:t>
      </w:r>
    </w:p>
    <w:p w14:paraId="23C0CD0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绿地基本完整，无明显堆物、堆料、搭棚、树干上无钉拴刻画等现象。 </w:t>
      </w:r>
    </w:p>
    <w:p w14:paraId="2AC684D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六、养护资料管理标准</w:t>
      </w:r>
    </w:p>
    <w:p w14:paraId="58FB24B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应建立完成的绿地养护技术档案，档案包括绿地基本情况（面积、植物种类、规格、数量）、土壤主要理化性状、竣工图、养护日志（台账）、重大事件记录、新技术新工艺的应用，绿化养护方案、极端天气安全应急预案、安全生产管控及交底、养护技术交底、分项验收资料。</w:t>
      </w:r>
    </w:p>
    <w:p w14:paraId="5C77F33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七、精细化养护管理工作标准</w:t>
      </w:r>
    </w:p>
    <w:p w14:paraId="6CC3EBD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养护单位应加强绿地精细化管理，建立巡查、发现、处置、反馈的闭合管理体系，项目经理负责对生态环境局、监理单位交办、巡查发现问题及自查问题整改过程进行跟踪、督办，工作要求应符合以下要求：</w:t>
      </w:r>
    </w:p>
    <w:p w14:paraId="1800357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1.城市公园绿地及附属设施维护</w:t>
      </w:r>
    </w:p>
    <w:p w14:paraId="30C0C1C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（1）死缺株植物补植</w:t>
      </w:r>
    </w:p>
    <w:p w14:paraId="21CECDE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时限要求：巡查发现问题后立即登记受理并立即采取植物补植，草坪、地被、绿篱自启动整改之日起3日内完成补植工作，问题销号。桥灌木根据苗木采购数量、品种、季节等因素合理确定补栽时限。</w:t>
      </w:r>
    </w:p>
    <w:p w14:paraId="6BB5A64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质量要求：补植后的种植密度、品种、规格与原绿化效果一致，不得随意变更。</w:t>
      </w:r>
    </w:p>
    <w:p w14:paraId="3393984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道路绿化维护作业时，应有安全技术措施，确保施工人员安全；现场警示标志完整，易辨识，夜间施工设置警示灯等安全防护措施，保障行人、车辆行驶安全；现场苗木、设备整齐、有序，维护完成后及时清理环境卫生。</w:t>
      </w:r>
    </w:p>
    <w:p w14:paraId="4BCC9A7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2.行道树修剪</w:t>
      </w:r>
    </w:p>
    <w:p w14:paraId="7FC9D41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时限要求：行道树修剪工作应根据植物生长特效及年度修剪计划有序实施；</w:t>
      </w:r>
    </w:p>
    <w:p w14:paraId="60295F8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质量要求：树冠完整、规格整齐、分支点高度保持一致。</w:t>
      </w:r>
    </w:p>
    <w:p w14:paraId="2AEFDEB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安全及文明施工要求：设置隔离设施，确保施工人员安全；现场施工人员应配备高空作业相关安全防范设备，修剪完成后及时清理绿化垃圾。</w:t>
      </w:r>
    </w:p>
    <w:p w14:paraId="6408A50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（3）病虫害防治</w:t>
      </w:r>
    </w:p>
    <w:p w14:paraId="2D0B85A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时限要求：巡查发现问题后立即登记受理并立即采取防治措施，自启动整改之日起2日内完成防治工作，并持续跟踪记录防治效果，每周汇报防治情况。</w:t>
      </w:r>
    </w:p>
    <w:p w14:paraId="528ECAD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质量要求：基本无有害生物危害状、整体枝叶受害率≤8%、树干受害率≤5%。</w:t>
      </w:r>
    </w:p>
    <w:p w14:paraId="1CE8571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病虫害防治应采取生物防治及药物防治相结合的方式，道路绿化及行道树病虫害防治作业时应设置隔离设施，并避开早晚上下班高峰期实施确保行人及车辆安全，作业人员佩戴口罩、手套等防护措施。</w:t>
      </w:r>
    </w:p>
    <w:p w14:paraId="0133A13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（4）时花补植更换</w:t>
      </w:r>
    </w:p>
    <w:p w14:paraId="3188A81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时限要求：巡查发现问题后立即登记受理并立即采取补植更换，自启动整改之日起2日内完成补植，问题销号；</w:t>
      </w:r>
    </w:p>
    <w:p w14:paraId="3283F94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质量要求：缺株倒伏的花苗≤3%，基本无枯叶残花。</w:t>
      </w:r>
    </w:p>
    <w:p w14:paraId="62F7EAB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安全及文明施工要求：设置隔离设施，确保施工人员安全；现场警示标志完整易辨识，夜间施工设置警示灯；现场花卉、材料整齐有序。</w:t>
      </w:r>
    </w:p>
    <w:p w14:paraId="06CF2A1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（5）公园绿地附属设施维护（游路、侧石、小品、雕塑、公园水电设施、灯具、标识牌等）</w:t>
      </w:r>
    </w:p>
    <w:p w14:paraId="5BBBDDF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巡查发现问题后立即登记受理并立即采取警示、维护等临时措施，日常小修维护自启动整改之日起1日内完成修复并开放交通，问题销号；中修、大修及改善工程根据设施类型及其他要求合理确定工期。</w:t>
      </w:r>
    </w:p>
    <w:p w14:paraId="62CDF3A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质量要求：修复后与原设施类型效果一致。</w:t>
      </w:r>
    </w:p>
    <w:p w14:paraId="7715D073">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安全及文明施工要求：设置隔离设施，确保施工人员安全；现场警示标志完整易辨识，夜间施工设置警示灯；现场材料、设备整齐有序。</w:t>
      </w:r>
    </w:p>
    <w:p w14:paraId="64EC8B0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（6）绿地保洁（绿化生产垃圾及日常垃圾杂物捡拾）</w:t>
      </w:r>
    </w:p>
    <w:p w14:paraId="4FE1C8D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时限要求：重点地段要求绿化生产垃圾随产随清，其它绿地日产日清；绿地落叶、杂物保洁每日1次；绿地内砖块、塑料袋等白色垃圾落地时间不超15分钟。</w:t>
      </w:r>
    </w:p>
    <w:p w14:paraId="6D95BF3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质量要求：绿地干净整洁、垃圾捡拾及时</w:t>
      </w:r>
    </w:p>
    <w:p w14:paraId="5AA7CB6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安全及文明施工要求：工作人员穿反光背心、保洁车辆要求无损坏，符合安全使用要求。</w:t>
      </w:r>
    </w:p>
    <w:p w14:paraId="123C341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（7）绿化应急管理工作（极端天气树木歪斜、树木断枝等影响安全问题）</w:t>
      </w:r>
    </w:p>
    <w:p w14:paraId="6F2A2F2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时限要求：出现极端大风天气1小时巡查一次，中雨、中风天气2小时巡查一次，发现突发情况30分钟到场处理。</w:t>
      </w:r>
    </w:p>
    <w:p w14:paraId="07A1E33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安全及文明施工要求：设置隔离设施，确保施工人员安全；现场警示标志完整易辨识，夜间施工设置警示灯；现场材料、设备整齐有序。</w:t>
      </w:r>
    </w:p>
    <w:p w14:paraId="568C841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（8）抗旱保苗应急工作</w:t>
      </w:r>
    </w:p>
    <w:p w14:paraId="4EB26C0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时限要求：启动抗旱应急工作2天内</w:t>
      </w:r>
    </w:p>
    <w:p w14:paraId="6353EAD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工作要求：积极完善各类浇灌设施，增加节水浇灌设施，对无浇灌系统覆盖区域，按照3万平米绿地配备1辆8吨以上水车标准配备抗旱浇灌水车。</w:t>
      </w:r>
    </w:p>
    <w:p w14:paraId="073ABCAA">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八、绿地占用管理</w:t>
      </w:r>
    </w:p>
    <w:p w14:paraId="6E21BA7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任何单位或个人，临时或永久占用绿地需办理绿地占用手续或生态环境局下发的绿地占用通知，对于因市政应急强险的或安全应急需要占用绿地的可在占用同时向绿地行业主管部门电话报备，随后补办占用手续；</w:t>
      </w:r>
    </w:p>
    <w:p w14:paraId="1F6E5E1C">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单位在收到占用绿地手续或占用通知后，需与占用单位办理场地移交单，明确占用范围，占用时间及苗木、设施数量，需要占用单位恢复的明确后续恢复要求、时限，绿地移交单需由绿地管理单位、生态环境局、绿地占用单位、占用工程行政管理部门四方签字盖章。</w:t>
      </w:r>
    </w:p>
    <w:p w14:paraId="287C88F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九、资产管理要求</w:t>
      </w:r>
    </w:p>
    <w:p w14:paraId="28A189E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1、绿化养护单位负责责任绿地内，绿化苗木、设施资产管理工作；负责制定设施、设备年度维修计划；负责苗木移植的监管工作，做好数量统计和情况记录，确保绿化资产完整，苗木去向明确；</w:t>
      </w:r>
    </w:p>
    <w:p w14:paraId="3DC08FB4">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每年进行一次资产盘点，确保资产底数清楚；</w:t>
      </w:r>
    </w:p>
    <w:p w14:paraId="300282A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2、因管理原因造成的苗木缺失，由养护单位负责赔偿，因管理缺失，设施设备破损、失修造成的设施无法使用的由由养护单位负责维修；</w:t>
      </w:r>
    </w:p>
    <w:p w14:paraId="5254629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植物组团内因长期生长过程中植物竞争，部分弱势苗木逐年退化的苗木或树木腐烂易造成安全隐患的，由养护单位负责排查，对确需清理的由养护单位申报，监理、生态环境局审批后，进行清理，并建立资产销毁台账，对清理、销毁过程资料进行留存。</w:t>
      </w:r>
    </w:p>
    <w:p w14:paraId="160DC7A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4、对植物组团内因长期生长，植物相互影响，组团关系、层次混乱或绿地植物退化影响景观效果，养护单位负责排查，拿出移栽或更新调整方案，由监理、生态环境局审批后，派发工作任务单，予以实施。</w:t>
      </w:r>
    </w:p>
    <w:p w14:paraId="1CDD6D2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十、绿化养护工作考核</w:t>
      </w:r>
    </w:p>
    <w:p w14:paraId="6F1F33F1">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生态环境局每月对养护单位各养护单元绿化养护工作检查、考评，并对考评结果及处罚情况进行通报，处罚扣款直接从季度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2D2D404E">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2、生态环境局每月初召开月度绿化养护例会会议，总结、通报考评结果、安排下一步工作。</w:t>
      </w:r>
    </w:p>
    <w:p w14:paraId="38333ED5">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十一、养护费用支付办理</w:t>
      </w:r>
    </w:p>
    <w:p w14:paraId="38A9D642">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养护单位应按照合同约定进行进度款支付申请，根据月度考核、工作完成情况及月度处罚情况，对支付费用进行审核，审核时间一般不超过3个工作日；</w:t>
      </w:r>
    </w:p>
    <w:p w14:paraId="133BB0D0">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十二、绿地退场移交要求</w:t>
      </w:r>
    </w:p>
    <w:p w14:paraId="56843496">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料移交：移交绿地基础资料包括：项目方案、竣工图纸（纸质版2套及电子版）、绿苗木清单、土壤主要理化性状、如现场与竣工图不符需提供现场变更相关资料、养护措施、养护日志（台账）、重大事件处理、新技术新工艺的应用；</w:t>
      </w:r>
    </w:p>
    <w:p w14:paraId="1ED3524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2、对照绿地竣工图纸、苗木清单及工程量清单对绿地苗木数量进行接收盘点、对竣工图与现场进行核对、对设施完整及运行情况进行核对、对电源、水源进行交接。</w:t>
      </w:r>
    </w:p>
    <w:p w14:paraId="72C93BEA">
      <w:pPr>
        <w:spacing w:line="360" w:lineRule="auto"/>
        <w:ind w:firstLine="480" w:firstLineChars="200"/>
        <w:outlineLvl w:val="9"/>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3、对照《园林绿化养护标准》及《园林绿化工程施工及验收规范》对现场养护情况进行交接检查，对绿地养护情况进行评价，对现场问题较大的由养护单位负责整改到位。</w:t>
      </w:r>
    </w:p>
    <w:p w14:paraId="72BECD88">
      <w:pPr>
        <w:pStyle w:val="2"/>
        <w:rPr>
          <w:rFonts w:hint="eastAsia" w:ascii="宋体" w:hAnsi="宋体" w:eastAsia="宋体" w:cs="宋体"/>
          <w:highlight w:val="none"/>
        </w:rPr>
      </w:pPr>
    </w:p>
    <w:p w14:paraId="21C00417">
      <w:pPr>
        <w:pStyle w:val="2"/>
        <w:rPr>
          <w:rFonts w:hint="eastAsia" w:ascii="宋体" w:hAnsi="宋体" w:eastAsia="宋体" w:cs="宋体"/>
          <w:highlight w:val="none"/>
        </w:rPr>
      </w:pPr>
    </w:p>
    <w:p w14:paraId="1B04CF5E">
      <w:pPr>
        <w:pStyle w:val="2"/>
        <w:rPr>
          <w:rFonts w:hint="eastAsia" w:ascii="宋体" w:hAnsi="宋体" w:eastAsia="宋体" w:cs="宋体"/>
          <w:highlight w:val="none"/>
        </w:rPr>
      </w:pPr>
    </w:p>
    <w:p w14:paraId="36080186">
      <w:pPr>
        <w:pStyle w:val="2"/>
        <w:rPr>
          <w:rFonts w:hint="eastAsia" w:ascii="宋体" w:hAnsi="宋体" w:eastAsia="宋体" w:cs="宋体"/>
          <w:highlight w:val="none"/>
        </w:rPr>
      </w:pPr>
    </w:p>
    <w:p w14:paraId="31C2E05C">
      <w:pPr>
        <w:pStyle w:val="2"/>
        <w:rPr>
          <w:rFonts w:hint="eastAsia" w:ascii="宋体" w:hAnsi="宋体" w:eastAsia="宋体" w:cs="宋体"/>
          <w:highlight w:val="none"/>
        </w:rPr>
      </w:pPr>
    </w:p>
    <w:p w14:paraId="32E277A6">
      <w:pPr>
        <w:pStyle w:val="2"/>
        <w:rPr>
          <w:rFonts w:hint="eastAsia" w:ascii="宋体" w:hAnsi="宋体" w:eastAsia="宋体" w:cs="宋体"/>
          <w:highlight w:val="none"/>
        </w:rPr>
      </w:pPr>
    </w:p>
    <w:p w14:paraId="0376B6B1">
      <w:pPr>
        <w:pStyle w:val="2"/>
        <w:rPr>
          <w:rFonts w:hint="eastAsia" w:ascii="宋体" w:hAnsi="宋体" w:eastAsia="宋体" w:cs="宋体"/>
          <w:highlight w:val="none"/>
        </w:rPr>
      </w:pPr>
    </w:p>
    <w:p w14:paraId="4E8E7DA1">
      <w:pPr>
        <w:pStyle w:val="2"/>
        <w:rPr>
          <w:rFonts w:hint="eastAsia" w:ascii="宋体" w:hAnsi="宋体" w:eastAsia="宋体" w:cs="宋体"/>
          <w:highlight w:val="none"/>
        </w:rPr>
      </w:pPr>
    </w:p>
    <w:p w14:paraId="47F45087">
      <w:pPr>
        <w:pStyle w:val="2"/>
        <w:rPr>
          <w:rFonts w:hint="eastAsia" w:ascii="宋体" w:hAnsi="宋体" w:eastAsia="宋体" w:cs="宋体"/>
          <w:highlight w:val="none"/>
        </w:rPr>
      </w:pPr>
    </w:p>
    <w:p w14:paraId="2DC84CF1">
      <w:pPr>
        <w:pStyle w:val="2"/>
        <w:rPr>
          <w:rFonts w:hint="eastAsia" w:ascii="宋体" w:hAnsi="宋体" w:eastAsia="宋体" w:cs="宋体"/>
          <w:highlight w:val="none"/>
        </w:rPr>
      </w:pPr>
    </w:p>
    <w:p w14:paraId="23A2AD6C">
      <w:pPr>
        <w:pStyle w:val="2"/>
        <w:rPr>
          <w:rFonts w:hint="eastAsia" w:ascii="宋体" w:hAnsi="宋体" w:eastAsia="宋体" w:cs="宋体"/>
          <w:highlight w:val="none"/>
        </w:rPr>
      </w:pPr>
    </w:p>
    <w:p w14:paraId="04E61F43"/>
    <w:sectPr>
      <w:pgSz w:w="11906" w:h="16838"/>
      <w:pgMar w:top="1134"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DBFF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1B022E">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41B022E">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9787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A98730">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7A98730">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C459D">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01E7A">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1D601E7A">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A1E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F5E21A">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CF5E21A">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DFB5C">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4E8A56">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4E8A56">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ED10C">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3C5FF">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B3C5FF">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BA013"/>
    <w:multiLevelType w:val="singleLevel"/>
    <w:tmpl w:val="8D7BA013"/>
    <w:lvl w:ilvl="0" w:tentative="0">
      <w:start w:val="1"/>
      <w:numFmt w:val="decimal"/>
      <w:suff w:val="nothing"/>
      <w:lvlText w:val="%1、"/>
      <w:lvlJc w:val="left"/>
      <w:pPr>
        <w:ind w:left="0" w:firstLine="0"/>
      </w:pPr>
    </w:lvl>
  </w:abstractNum>
  <w:abstractNum w:abstractNumId="1">
    <w:nsid w:val="A9D9FA3E"/>
    <w:multiLevelType w:val="singleLevel"/>
    <w:tmpl w:val="A9D9FA3E"/>
    <w:lvl w:ilvl="0" w:tentative="0">
      <w:start w:val="1"/>
      <w:numFmt w:val="decimal"/>
      <w:suff w:val="nothing"/>
      <w:lvlText w:val="%1、"/>
      <w:lvlJc w:val="left"/>
    </w:lvl>
  </w:abstractNum>
  <w:abstractNum w:abstractNumId="2">
    <w:nsid w:val="D722CA62"/>
    <w:multiLevelType w:val="singleLevel"/>
    <w:tmpl w:val="D722CA62"/>
    <w:lvl w:ilvl="0" w:tentative="0">
      <w:start w:val="3"/>
      <w:numFmt w:val="decimal"/>
      <w:suff w:val="nothing"/>
      <w:lvlText w:val="（%1）"/>
      <w:lvlJc w:val="left"/>
    </w:lvl>
  </w:abstractNum>
  <w:abstractNum w:abstractNumId="3">
    <w:nsid w:val="75FA3E8E"/>
    <w:multiLevelType w:val="singleLevel"/>
    <w:tmpl w:val="75FA3E8E"/>
    <w:lvl w:ilvl="0" w:tentative="0">
      <w:start w:val="1"/>
      <w:numFmt w:val="decimal"/>
      <w:suff w:val="nothing"/>
      <w:lvlText w:val="%1、"/>
      <w:lvlJc w:val="left"/>
      <w:pPr>
        <w:ind w:left="0" w:firstLine="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146CF"/>
    <w:rsid w:val="3F21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customStyle="1" w:styleId="7">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2026-07-08T09:53:00Z</dcterms:created>
  <dc:creator>哆啦</dc:creator>
  <cp:lastModifiedBy>哆啦</cp:lastModifiedBy>
  <dcterms:modified xsi:type="dcterms:W3CDTF">2026-07-08T09:54:52Z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BAF043F906D043F78DFBA0F2C4B0727B_11</vt:lpwstr>
  </property>
  <property fmtid="{D5CDD505-2E9C-101B-9397-08002B2CF9AE}" pid="4" name="KSOTemplateDocerSaveRecord">
    <vt:lpwstr>eyJoZGlkIjoiMjA4OWRlZGM1ODAwNDJhMTNmNjUzY2IwODY1ZTNjNjIiLCJ1c2VySWQiOiI1OTYzODM3NjIifQ==</vt:lpwstr>
  </property>
</Properties>
</file>