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4C3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  <w:t>第2包：分项报价明细表</w:t>
      </w:r>
      <w:bookmarkEnd w:id="0"/>
    </w:p>
    <w:p w14:paraId="7492144E">
      <w:pPr>
        <w:keepNext w:val="0"/>
        <w:keepLines w:val="0"/>
        <w:pageBreakBefore w:val="0"/>
        <w:widowControl/>
        <w:numPr>
          <w:ilvl w:val="0"/>
          <w:numId w:val="0"/>
        </w:numPr>
        <w:wordWrap/>
        <w:overflowPunct/>
        <w:topLinePunct w:val="0"/>
        <w:bidi w:val="0"/>
        <w:snapToGrid w:val="0"/>
        <w:spacing w:line="312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2026-2027年部分市政道路绿化养护服务项目（第2包）</w:t>
      </w:r>
    </w:p>
    <w:p w14:paraId="18364618">
      <w:pPr>
        <w:keepNext w:val="0"/>
        <w:keepLines w:val="0"/>
        <w:pageBreakBefore w:val="0"/>
        <w:widowControl/>
        <w:numPr>
          <w:ilvl w:val="0"/>
          <w:numId w:val="0"/>
        </w:numPr>
        <w:wordWrap/>
        <w:overflowPunct/>
        <w:topLinePunct w:val="0"/>
        <w:bidi w:val="0"/>
        <w:snapToGrid w:val="0"/>
        <w:spacing w:line="312" w:lineRule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CGZC-2026-062  </w:t>
      </w:r>
    </w:p>
    <w:tbl>
      <w:tblPr>
        <w:tblStyle w:val="2"/>
        <w:tblW w:w="499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2497"/>
        <w:gridCol w:w="1346"/>
        <w:gridCol w:w="1763"/>
        <w:gridCol w:w="1623"/>
        <w:gridCol w:w="1346"/>
        <w:gridCol w:w="545"/>
      </w:tblGrid>
      <w:tr w14:paraId="14AC6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2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3B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养护服务名称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431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暂定面积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（㎡）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6D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全费用单价限价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（元/㎡/年）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EED2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单项费用</w:t>
            </w:r>
          </w:p>
          <w:p w14:paraId="5BEF3A2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（元/季度）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A13F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单项费用</w:t>
            </w:r>
          </w:p>
          <w:p w14:paraId="3615E91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（元/年）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5C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34372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AA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6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绿地养护服务</w:t>
            </w:r>
          </w:p>
          <w:p w14:paraId="51C53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（一级绿地）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C6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396000.00 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D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A58C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8EFA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27DF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2909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94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B7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绿地养护服务</w:t>
            </w:r>
          </w:p>
          <w:p w14:paraId="01BB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（二级绿地）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14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798000.00 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9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329A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5A85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B761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0B5DA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45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4A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防护林带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DB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116000.00 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C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D231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28FA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B634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476A5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A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79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预留金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72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1项</w:t>
            </w:r>
          </w:p>
        </w:tc>
        <w:tc>
          <w:tcPr>
            <w:tcW w:w="268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C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TW"/>
              </w:rPr>
              <w:t>107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8500.00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TW"/>
              </w:rPr>
              <w:t>元/年</w:t>
            </w:r>
          </w:p>
        </w:tc>
      </w:tr>
      <w:tr w14:paraId="1E54F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6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4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养护费用合计（元）</w:t>
            </w:r>
          </w:p>
        </w:tc>
        <w:tc>
          <w:tcPr>
            <w:tcW w:w="33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2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19EA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6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78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投标报价（总计）（元）</w:t>
            </w:r>
          </w:p>
        </w:tc>
        <w:tc>
          <w:tcPr>
            <w:tcW w:w="33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A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38C1C9BE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312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4677290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312" w:lineRule="auto"/>
        <w:jc w:val="both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 1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.投标报价总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计金额须与开标一览表中投标报价金额一致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05B0A572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312" w:lineRule="auto"/>
        <w:ind w:firstLine="482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投标报价不得高于本项目最高限价，供应商所报全费用单价不得高于“第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内容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”中列明的全费用单价限价，否则按无效处理。</w:t>
      </w:r>
    </w:p>
    <w:p w14:paraId="4793E02E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312" w:lineRule="auto"/>
        <w:ind w:firstLine="482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以上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面积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暂定面积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，项目实施过程中以实际工作量作为结算依据。</w:t>
      </w:r>
    </w:p>
    <w:p w14:paraId="0A1BA29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482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4.预留金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TW" w:eastAsia="zh-CN"/>
        </w:rPr>
        <w:t>费用为不可竞争费用，供应商须按给定费用填报。</w:t>
      </w:r>
    </w:p>
    <w:p w14:paraId="742FBB79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312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5DDDDE8A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312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投标人名称（</w:t>
      </w:r>
      <w:r>
        <w:rPr>
          <w:rFonts w:hint="eastAsia" w:ascii="宋体" w:hAnsi="宋体" w:cs="宋体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  </w:t>
      </w:r>
    </w:p>
    <w:p w14:paraId="28A07810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312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</w:t>
      </w:r>
    </w:p>
    <w:p w14:paraId="66AE105E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312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</w:t>
      </w:r>
    </w:p>
    <w:p w14:paraId="7C0015E3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3160E4"/>
    <w:rsid w:val="1631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2026-07-08T09:59:00Z</dcterms:created>
  <dc:creator>哆啦</dc:creator>
  <cp:lastModifiedBy>哆啦</cp:lastModifiedBy>
  <dcterms:modified xsi:type="dcterms:W3CDTF">2026-07-08T09:59:57Z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B0E239A73FE54E5BA02AE7286BC2F5DD_11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