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0C5865">
      <w:pPr>
        <w:snapToGrid w:val="0"/>
        <w:spacing w:line="360" w:lineRule="auto"/>
        <w:rPr>
          <w:rFonts w:hint="eastAsia" w:ascii="仿宋" w:hAnsi="仿宋" w:eastAsia="仿宋" w:cs="仿宋"/>
          <w:sz w:val="28"/>
          <w:szCs w:val="28"/>
        </w:rPr>
      </w:pPr>
    </w:p>
    <w:p w14:paraId="33C50D9E">
      <w:pPr>
        <w:snapToGrid w:val="0"/>
        <w:spacing w:line="360" w:lineRule="auto"/>
        <w:rPr>
          <w:rFonts w:hint="eastAsia" w:ascii="仿宋" w:hAnsi="仿宋" w:eastAsia="仿宋" w:cs="仿宋"/>
          <w:sz w:val="28"/>
          <w:szCs w:val="28"/>
        </w:rPr>
      </w:pPr>
      <w:r>
        <w:rPr>
          <w:rFonts w:hint="eastAsia" w:ascii="仿宋" w:hAnsi="仿宋" w:eastAsia="仿宋" w:cs="仿宋"/>
          <w:sz w:val="28"/>
          <w:szCs w:val="28"/>
        </w:rPr>
        <w:t xml:space="preserve">项目编号：        </w:t>
      </w:r>
    </w:p>
    <w:p w14:paraId="29A82A36">
      <w:pPr>
        <w:snapToGrid w:val="0"/>
        <w:spacing w:line="360" w:lineRule="auto"/>
        <w:rPr>
          <w:rFonts w:hint="eastAsia" w:ascii="仿宋" w:hAnsi="仿宋" w:eastAsia="仿宋" w:cs="仿宋"/>
          <w:sz w:val="28"/>
          <w:szCs w:val="28"/>
        </w:rPr>
      </w:pPr>
    </w:p>
    <w:p w14:paraId="33681BDB">
      <w:pPr>
        <w:snapToGrid w:val="0"/>
        <w:spacing w:line="360" w:lineRule="auto"/>
        <w:rPr>
          <w:rFonts w:hint="eastAsia" w:ascii="仿宋" w:hAnsi="仿宋" w:eastAsia="仿宋" w:cs="仿宋"/>
          <w:sz w:val="28"/>
          <w:szCs w:val="28"/>
        </w:rPr>
      </w:pPr>
    </w:p>
    <w:p w14:paraId="3C0169EA">
      <w:pPr>
        <w:snapToGrid w:val="0"/>
        <w:spacing w:line="360" w:lineRule="auto"/>
        <w:rPr>
          <w:rFonts w:hint="eastAsia" w:ascii="仿宋" w:hAnsi="仿宋" w:eastAsia="仿宋" w:cs="仿宋"/>
          <w:sz w:val="52"/>
          <w:szCs w:val="52"/>
        </w:rPr>
      </w:pPr>
      <w:r>
        <w:rPr>
          <w:rFonts w:hint="eastAsia" w:ascii="仿宋" w:hAnsi="仿宋" w:eastAsia="仿宋" w:cs="仿宋"/>
          <w:sz w:val="28"/>
          <w:szCs w:val="28"/>
        </w:rPr>
        <w:t xml:space="preserve"> </w:t>
      </w:r>
    </w:p>
    <w:p w14:paraId="1D49092E">
      <w:pPr>
        <w:pStyle w:val="17"/>
        <w:spacing w:line="360" w:lineRule="auto"/>
        <w:jc w:val="center"/>
        <w:rPr>
          <w:rFonts w:hint="eastAsia" w:ascii="仿宋" w:hAnsi="仿宋" w:eastAsia="仿宋" w:cs="仿宋"/>
          <w:b/>
          <w:sz w:val="52"/>
          <w:szCs w:val="52"/>
        </w:rPr>
      </w:pPr>
      <w:r>
        <w:rPr>
          <w:rFonts w:hint="eastAsia" w:ascii="仿宋" w:hAnsi="仿宋" w:eastAsia="仿宋" w:cs="仿宋"/>
          <w:b/>
          <w:sz w:val="52"/>
          <w:szCs w:val="52"/>
          <w:lang w:eastAsia="zh-CN"/>
        </w:rPr>
        <w:t>辅警服装采购</w:t>
      </w:r>
      <w:r>
        <w:rPr>
          <w:rFonts w:hint="eastAsia" w:ascii="仿宋" w:hAnsi="仿宋" w:eastAsia="仿宋" w:cs="仿宋"/>
          <w:b/>
          <w:sz w:val="52"/>
          <w:szCs w:val="52"/>
        </w:rPr>
        <w:t>项目</w:t>
      </w:r>
    </w:p>
    <w:p w14:paraId="15F1F504">
      <w:pPr>
        <w:pStyle w:val="17"/>
        <w:spacing w:line="360" w:lineRule="auto"/>
        <w:jc w:val="center"/>
        <w:rPr>
          <w:rFonts w:hint="eastAsia" w:ascii="仿宋" w:hAnsi="仿宋" w:eastAsia="仿宋" w:cs="仿宋"/>
          <w:b/>
          <w:bCs/>
          <w:lang w:eastAsia="zh-CN"/>
        </w:rPr>
      </w:pPr>
    </w:p>
    <w:p w14:paraId="7E5162FB">
      <w:pPr>
        <w:snapToGrid w:val="0"/>
        <w:spacing w:line="360" w:lineRule="auto"/>
        <w:jc w:val="center"/>
        <w:rPr>
          <w:rFonts w:hint="eastAsia" w:ascii="仿宋" w:hAnsi="仿宋" w:eastAsia="仿宋" w:cs="仿宋"/>
          <w:b/>
          <w:sz w:val="44"/>
          <w:szCs w:val="44"/>
        </w:rPr>
      </w:pPr>
    </w:p>
    <w:p w14:paraId="134F30CC">
      <w:pPr>
        <w:snapToGrid w:val="0"/>
        <w:spacing w:line="360" w:lineRule="auto"/>
        <w:jc w:val="center"/>
        <w:rPr>
          <w:rFonts w:hint="eastAsia" w:ascii="仿宋" w:hAnsi="仿宋" w:eastAsia="仿宋" w:cs="仿宋"/>
          <w:b/>
          <w:sz w:val="56"/>
          <w:szCs w:val="56"/>
        </w:rPr>
      </w:pPr>
      <w:r>
        <w:rPr>
          <w:rFonts w:hint="eastAsia" w:ascii="仿宋" w:hAnsi="仿宋" w:eastAsia="仿宋" w:cs="仿宋"/>
          <w:b/>
          <w:sz w:val="56"/>
          <w:szCs w:val="56"/>
        </w:rPr>
        <w:t>供 货 合 同</w:t>
      </w:r>
    </w:p>
    <w:p w14:paraId="600FAE17">
      <w:pPr>
        <w:snapToGrid w:val="0"/>
        <w:spacing w:line="360" w:lineRule="auto"/>
        <w:rPr>
          <w:rFonts w:hint="eastAsia" w:ascii="仿宋" w:hAnsi="仿宋" w:eastAsia="仿宋" w:cs="仿宋"/>
          <w:sz w:val="32"/>
          <w:szCs w:val="32"/>
        </w:rPr>
      </w:pPr>
    </w:p>
    <w:p w14:paraId="54969A18">
      <w:pPr>
        <w:snapToGrid w:val="0"/>
        <w:spacing w:line="360" w:lineRule="auto"/>
        <w:ind w:firstLine="843" w:firstLineChars="400"/>
        <w:rPr>
          <w:rFonts w:hint="eastAsia" w:ascii="仿宋" w:hAnsi="仿宋" w:eastAsia="仿宋" w:cs="仿宋"/>
          <w:b/>
        </w:rPr>
      </w:pPr>
    </w:p>
    <w:p w14:paraId="30A28095">
      <w:pPr>
        <w:snapToGrid w:val="0"/>
        <w:spacing w:line="360" w:lineRule="auto"/>
        <w:ind w:firstLine="843" w:firstLineChars="400"/>
        <w:rPr>
          <w:rFonts w:hint="eastAsia" w:ascii="仿宋" w:hAnsi="仿宋" w:eastAsia="仿宋" w:cs="仿宋"/>
          <w:b/>
        </w:rPr>
      </w:pPr>
    </w:p>
    <w:p w14:paraId="652BA340">
      <w:pPr>
        <w:snapToGrid w:val="0"/>
        <w:spacing w:line="360" w:lineRule="auto"/>
        <w:ind w:firstLine="843" w:firstLineChars="400"/>
        <w:rPr>
          <w:rFonts w:hint="eastAsia" w:ascii="仿宋" w:hAnsi="仿宋" w:eastAsia="仿宋" w:cs="仿宋"/>
          <w:b/>
        </w:rPr>
      </w:pPr>
    </w:p>
    <w:p w14:paraId="5622C742">
      <w:pPr>
        <w:snapToGrid w:val="0"/>
        <w:spacing w:line="360" w:lineRule="auto"/>
        <w:ind w:firstLine="843" w:firstLineChars="400"/>
        <w:rPr>
          <w:rFonts w:hint="eastAsia" w:ascii="仿宋" w:hAnsi="仿宋" w:eastAsia="仿宋" w:cs="仿宋"/>
          <w:b/>
        </w:rPr>
      </w:pPr>
    </w:p>
    <w:p w14:paraId="0F43163B">
      <w:pPr>
        <w:snapToGrid w:val="0"/>
        <w:spacing w:line="360" w:lineRule="auto"/>
        <w:ind w:firstLine="1124" w:firstLineChars="400"/>
        <w:rPr>
          <w:rFonts w:hint="eastAsia" w:ascii="仿宋" w:hAnsi="仿宋" w:eastAsia="仿宋" w:cs="仿宋"/>
          <w:b/>
          <w:sz w:val="28"/>
          <w:szCs w:val="28"/>
        </w:rPr>
      </w:pPr>
      <w:r>
        <w:rPr>
          <w:rFonts w:hint="eastAsia" w:ascii="仿宋" w:hAnsi="仿宋" w:eastAsia="仿宋" w:cs="仿宋"/>
          <w:b/>
          <w:sz w:val="28"/>
          <w:szCs w:val="28"/>
        </w:rPr>
        <w:t>甲  方：</w:t>
      </w:r>
      <w:r>
        <w:rPr>
          <w:rFonts w:hint="eastAsia" w:ascii="仿宋" w:hAnsi="仿宋" w:eastAsia="仿宋" w:cs="仿宋"/>
          <w:b/>
          <w:sz w:val="28"/>
          <w:szCs w:val="28"/>
          <w:u w:val="single"/>
        </w:rPr>
        <w:t xml:space="preserve">                                  </w:t>
      </w:r>
    </w:p>
    <w:p w14:paraId="1BB89473">
      <w:pPr>
        <w:pStyle w:val="17"/>
        <w:spacing w:line="360" w:lineRule="auto"/>
        <w:rPr>
          <w:rFonts w:hint="eastAsia" w:ascii="仿宋" w:hAnsi="仿宋" w:eastAsia="仿宋" w:cs="仿宋"/>
          <w:sz w:val="28"/>
          <w:szCs w:val="28"/>
        </w:rPr>
      </w:pPr>
    </w:p>
    <w:p w14:paraId="1323D067">
      <w:pPr>
        <w:snapToGrid w:val="0"/>
        <w:spacing w:line="360" w:lineRule="auto"/>
        <w:ind w:firstLine="1124" w:firstLineChars="400"/>
        <w:rPr>
          <w:rFonts w:hint="eastAsia" w:ascii="仿宋" w:hAnsi="仿宋" w:eastAsia="仿宋" w:cs="仿宋"/>
          <w:sz w:val="28"/>
          <w:szCs w:val="28"/>
        </w:rPr>
      </w:pPr>
      <w:r>
        <w:rPr>
          <w:rFonts w:hint="eastAsia" w:ascii="仿宋" w:hAnsi="仿宋" w:eastAsia="仿宋" w:cs="仿宋"/>
          <w:b/>
          <w:sz w:val="28"/>
          <w:szCs w:val="28"/>
        </w:rPr>
        <w:t xml:space="preserve">乙  方： </w:t>
      </w:r>
      <w:r>
        <w:rPr>
          <w:rFonts w:hint="eastAsia" w:ascii="仿宋" w:hAnsi="仿宋" w:eastAsia="仿宋" w:cs="仿宋"/>
          <w:b/>
          <w:sz w:val="28"/>
          <w:szCs w:val="28"/>
          <w:u w:val="single"/>
        </w:rPr>
        <w:t xml:space="preserve">                                </w:t>
      </w:r>
    </w:p>
    <w:p w14:paraId="5FFEC3FA">
      <w:pPr>
        <w:snapToGrid w:val="0"/>
        <w:spacing w:line="360" w:lineRule="auto"/>
        <w:jc w:val="center"/>
        <w:rPr>
          <w:rFonts w:hint="eastAsia" w:ascii="仿宋" w:hAnsi="仿宋" w:eastAsia="仿宋" w:cs="仿宋"/>
          <w:sz w:val="28"/>
          <w:szCs w:val="28"/>
        </w:rPr>
      </w:pPr>
    </w:p>
    <w:p w14:paraId="4BB12F60">
      <w:pPr>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二〇二</w:t>
      </w:r>
      <w:r>
        <w:rPr>
          <w:rFonts w:hint="eastAsia" w:ascii="仿宋" w:hAnsi="仿宋" w:eastAsia="仿宋" w:cs="仿宋"/>
          <w:sz w:val="28"/>
          <w:szCs w:val="28"/>
          <w:lang w:val="en-US" w:eastAsia="zh-CN"/>
        </w:rPr>
        <w:t>六</w:t>
      </w:r>
      <w:r>
        <w:rPr>
          <w:rFonts w:hint="eastAsia" w:ascii="仿宋" w:hAnsi="仿宋" w:eastAsia="仿宋" w:cs="仿宋"/>
          <w:sz w:val="28"/>
          <w:szCs w:val="28"/>
        </w:rPr>
        <w:t>年  月</w:t>
      </w:r>
    </w:p>
    <w:p w14:paraId="677362BE">
      <w:pPr>
        <w:pStyle w:val="14"/>
        <w:snapToGrid w:val="0"/>
        <w:spacing w:after="0" w:line="360" w:lineRule="auto"/>
        <w:jc w:val="left"/>
        <w:rPr>
          <w:rFonts w:hint="eastAsia" w:ascii="仿宋" w:hAnsi="仿宋" w:eastAsia="仿宋" w:cs="仿宋"/>
          <w:sz w:val="20"/>
          <w:szCs w:val="20"/>
        </w:rPr>
      </w:pPr>
      <w:r>
        <w:rPr>
          <w:rFonts w:hint="eastAsia" w:ascii="仿宋" w:hAnsi="仿宋" w:eastAsia="仿宋" w:cs="仿宋"/>
        </w:rPr>
        <w:br w:type="page"/>
      </w:r>
      <w:r>
        <w:rPr>
          <w:rFonts w:hint="eastAsia" w:ascii="仿宋" w:hAnsi="仿宋" w:eastAsia="仿宋" w:cs="仿宋"/>
          <w:lang w:val="en-US" w:eastAsia="zh-CN"/>
        </w:rPr>
        <w:t xml:space="preserve">    </w:t>
      </w:r>
      <w:r>
        <w:rPr>
          <w:rFonts w:hint="eastAsia" w:ascii="仿宋" w:hAnsi="仿宋" w:eastAsia="仿宋" w:cs="仿宋"/>
          <w:sz w:val="20"/>
          <w:szCs w:val="20"/>
        </w:rPr>
        <w:t>甲方：</w:t>
      </w:r>
    </w:p>
    <w:p w14:paraId="50A0104E">
      <w:pPr>
        <w:pStyle w:val="14"/>
        <w:snapToGrid w:val="0"/>
        <w:spacing w:after="0"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 xml:space="preserve">乙方：                                      </w:t>
      </w:r>
    </w:p>
    <w:p w14:paraId="279E4ECA">
      <w:pPr>
        <w:pStyle w:val="14"/>
        <w:snapToGrid w:val="0"/>
        <w:spacing w:after="0"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依据《中华人民共和国民法典》、《中华人民共和国政府采购法》等相关法律法规，以及</w:t>
      </w:r>
      <w:r>
        <w:rPr>
          <w:rFonts w:hint="eastAsia" w:ascii="仿宋" w:hAnsi="仿宋" w:eastAsia="仿宋" w:cs="仿宋"/>
          <w:sz w:val="20"/>
          <w:szCs w:val="20"/>
          <w:lang w:eastAsia="zh-CN"/>
        </w:rPr>
        <w:t>辅警服装</w:t>
      </w:r>
      <w:r>
        <w:rPr>
          <w:rFonts w:hint="eastAsia" w:ascii="仿宋" w:hAnsi="仿宋" w:eastAsia="仿宋" w:cs="仿宋"/>
          <w:sz w:val="20"/>
          <w:szCs w:val="20"/>
        </w:rPr>
        <w:t>项目（项目编号：SCZJ2026-JT-1357-001）的《</w:t>
      </w:r>
      <w:r>
        <w:rPr>
          <w:rFonts w:hint="eastAsia" w:ascii="仿宋" w:hAnsi="仿宋" w:eastAsia="仿宋" w:cs="仿宋"/>
          <w:sz w:val="20"/>
          <w:szCs w:val="20"/>
          <w:lang w:eastAsia="zh-CN"/>
        </w:rPr>
        <w:t>竞争性谈判文件</w:t>
      </w:r>
      <w:r>
        <w:rPr>
          <w:rFonts w:hint="eastAsia" w:ascii="仿宋" w:hAnsi="仿宋" w:eastAsia="仿宋" w:cs="仿宋"/>
          <w:sz w:val="20"/>
          <w:szCs w:val="20"/>
        </w:rPr>
        <w:t>》，乙方的《</w:t>
      </w:r>
      <w:r>
        <w:rPr>
          <w:rFonts w:hint="eastAsia" w:ascii="仿宋" w:hAnsi="仿宋" w:eastAsia="仿宋" w:cs="仿宋"/>
          <w:sz w:val="20"/>
          <w:szCs w:val="20"/>
          <w:lang w:eastAsia="zh-CN"/>
        </w:rPr>
        <w:t>竞争性谈判响应文件</w:t>
      </w:r>
      <w:r>
        <w:rPr>
          <w:rFonts w:hint="eastAsia" w:ascii="仿宋" w:hAnsi="仿宋" w:eastAsia="仿宋" w:cs="仿宋"/>
          <w:sz w:val="20"/>
          <w:szCs w:val="20"/>
        </w:rPr>
        <w:t>》及《成交通知书》，甲、乙双方同意签订本合同。本项目的《</w:t>
      </w:r>
      <w:r>
        <w:rPr>
          <w:rFonts w:hint="eastAsia" w:ascii="仿宋" w:hAnsi="仿宋" w:eastAsia="仿宋" w:cs="仿宋"/>
          <w:sz w:val="20"/>
          <w:szCs w:val="20"/>
          <w:lang w:eastAsia="zh-CN"/>
        </w:rPr>
        <w:t>竞争性谈判文件</w:t>
      </w:r>
      <w:r>
        <w:rPr>
          <w:rFonts w:hint="eastAsia" w:ascii="仿宋" w:hAnsi="仿宋" w:eastAsia="仿宋" w:cs="仿宋"/>
          <w:sz w:val="20"/>
          <w:szCs w:val="20"/>
        </w:rPr>
        <w:t>》、《</w:t>
      </w:r>
      <w:r>
        <w:rPr>
          <w:rFonts w:hint="eastAsia" w:ascii="仿宋" w:hAnsi="仿宋" w:eastAsia="仿宋" w:cs="仿宋"/>
          <w:sz w:val="20"/>
          <w:szCs w:val="20"/>
          <w:lang w:eastAsia="zh-CN"/>
        </w:rPr>
        <w:t>竞争性谈判响应文件</w:t>
      </w:r>
      <w:r>
        <w:rPr>
          <w:rFonts w:hint="eastAsia" w:ascii="仿宋" w:hAnsi="仿宋" w:eastAsia="仿宋" w:cs="仿宋"/>
          <w:sz w:val="20"/>
          <w:szCs w:val="20"/>
        </w:rPr>
        <w:t>》、《成交通知书》等均为本合同的组成部分。</w:t>
      </w:r>
    </w:p>
    <w:p w14:paraId="7F4155AC">
      <w:pPr>
        <w:spacing w:line="360" w:lineRule="auto"/>
        <w:rPr>
          <w:rFonts w:hint="eastAsia" w:ascii="仿宋" w:hAnsi="仿宋" w:eastAsia="仿宋" w:cs="仿宋"/>
          <w:b/>
          <w:sz w:val="20"/>
          <w:szCs w:val="20"/>
        </w:rPr>
      </w:pPr>
      <w:r>
        <w:rPr>
          <w:rFonts w:hint="eastAsia" w:ascii="仿宋" w:hAnsi="仿宋" w:eastAsia="仿宋" w:cs="仿宋"/>
          <w:b/>
          <w:sz w:val="20"/>
          <w:szCs w:val="20"/>
        </w:rPr>
        <w:t>一、项目概况</w:t>
      </w:r>
    </w:p>
    <w:p w14:paraId="0880B3D4">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1、项目名称：</w:t>
      </w:r>
      <w:r>
        <w:rPr>
          <w:rFonts w:hint="eastAsia" w:ascii="仿宋" w:hAnsi="仿宋" w:eastAsia="仿宋" w:cs="仿宋"/>
          <w:sz w:val="20"/>
          <w:szCs w:val="20"/>
          <w:u w:val="single"/>
        </w:rPr>
        <w:t xml:space="preserve">                              </w:t>
      </w:r>
      <w:r>
        <w:rPr>
          <w:rFonts w:hint="eastAsia" w:ascii="仿宋" w:hAnsi="仿宋" w:eastAsia="仿宋" w:cs="仿宋"/>
          <w:sz w:val="20"/>
          <w:szCs w:val="20"/>
        </w:rPr>
        <w:t>；</w:t>
      </w:r>
    </w:p>
    <w:p w14:paraId="4C7F87BC">
      <w:pPr>
        <w:adjustRightInd w:val="0"/>
        <w:snapToGrid w:val="0"/>
        <w:spacing w:line="360" w:lineRule="auto"/>
        <w:ind w:firstLine="400" w:firstLineChars="200"/>
        <w:rPr>
          <w:rFonts w:hint="eastAsia" w:ascii="仿宋" w:hAnsi="仿宋" w:eastAsia="仿宋" w:cs="仿宋"/>
          <w:b/>
          <w:sz w:val="20"/>
          <w:szCs w:val="20"/>
        </w:rPr>
      </w:pPr>
      <w:r>
        <w:rPr>
          <w:rFonts w:hint="eastAsia" w:ascii="仿宋" w:hAnsi="仿宋" w:eastAsia="仿宋" w:cs="仿宋"/>
          <w:sz w:val="20"/>
          <w:szCs w:val="20"/>
        </w:rPr>
        <w:t>2、项目地点：</w:t>
      </w:r>
      <w:r>
        <w:rPr>
          <w:rFonts w:hint="eastAsia" w:ascii="仿宋" w:hAnsi="仿宋" w:eastAsia="仿宋" w:cs="仿宋"/>
          <w:sz w:val="20"/>
          <w:szCs w:val="20"/>
          <w:u w:val="single"/>
        </w:rPr>
        <w:t xml:space="preserve">                              </w:t>
      </w:r>
      <w:r>
        <w:rPr>
          <w:rFonts w:hint="eastAsia" w:ascii="仿宋" w:hAnsi="仿宋" w:eastAsia="仿宋" w:cs="仿宋"/>
          <w:sz w:val="20"/>
          <w:szCs w:val="20"/>
        </w:rPr>
        <w:t>；</w:t>
      </w:r>
    </w:p>
    <w:p w14:paraId="53870838">
      <w:pPr>
        <w:snapToGrid w:val="0"/>
        <w:spacing w:line="360" w:lineRule="auto"/>
        <w:rPr>
          <w:rFonts w:hint="eastAsia" w:ascii="仿宋" w:hAnsi="仿宋" w:eastAsia="仿宋" w:cs="仿宋"/>
          <w:b/>
          <w:sz w:val="20"/>
          <w:szCs w:val="20"/>
        </w:rPr>
      </w:pPr>
      <w:r>
        <w:rPr>
          <w:rFonts w:hint="eastAsia" w:ascii="仿宋" w:hAnsi="仿宋" w:eastAsia="仿宋" w:cs="仿宋"/>
          <w:b/>
          <w:sz w:val="20"/>
          <w:szCs w:val="20"/>
        </w:rPr>
        <w:t>二、合同价款</w:t>
      </w:r>
    </w:p>
    <w:p w14:paraId="3893A14E">
      <w:pPr>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所报产品单价清单：</w:t>
      </w:r>
    </w:p>
    <w:tbl>
      <w:tblPr>
        <w:tblStyle w:val="22"/>
        <w:tblW w:w="7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
        <w:gridCol w:w="1017"/>
        <w:gridCol w:w="963"/>
        <w:gridCol w:w="1275"/>
        <w:gridCol w:w="1080"/>
        <w:gridCol w:w="1290"/>
        <w:gridCol w:w="1290"/>
      </w:tblGrid>
      <w:tr w14:paraId="0D94B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jc w:val="center"/>
        </w:trPr>
        <w:tc>
          <w:tcPr>
            <w:tcW w:w="894" w:type="dxa"/>
            <w:vAlign w:val="center"/>
          </w:tcPr>
          <w:p w14:paraId="12A0041B">
            <w:pPr>
              <w:adjustRightInd w:val="0"/>
              <w:snapToGrid w:val="0"/>
              <w:jc w:val="center"/>
              <w:rPr>
                <w:rFonts w:hint="eastAsia" w:ascii="仿宋" w:hAnsi="仿宋" w:eastAsia="仿宋" w:cs="仿宋"/>
                <w:sz w:val="20"/>
                <w:szCs w:val="20"/>
              </w:rPr>
            </w:pPr>
            <w:r>
              <w:rPr>
                <w:rFonts w:hint="eastAsia" w:ascii="仿宋" w:hAnsi="仿宋" w:eastAsia="仿宋" w:cs="仿宋"/>
                <w:sz w:val="20"/>
                <w:szCs w:val="20"/>
              </w:rPr>
              <w:t>序号</w:t>
            </w:r>
          </w:p>
        </w:tc>
        <w:tc>
          <w:tcPr>
            <w:tcW w:w="1017" w:type="dxa"/>
            <w:vAlign w:val="center"/>
          </w:tcPr>
          <w:p w14:paraId="1FCA4053">
            <w:pPr>
              <w:adjustRightInd w:val="0"/>
              <w:snapToGrid w:val="0"/>
              <w:jc w:val="center"/>
              <w:rPr>
                <w:rFonts w:hint="eastAsia" w:ascii="仿宋" w:hAnsi="仿宋" w:eastAsia="仿宋" w:cs="仿宋"/>
                <w:sz w:val="20"/>
                <w:szCs w:val="20"/>
              </w:rPr>
            </w:pPr>
            <w:r>
              <w:rPr>
                <w:rFonts w:hint="eastAsia" w:ascii="仿宋" w:hAnsi="仿宋" w:eastAsia="仿宋" w:cs="仿宋"/>
                <w:sz w:val="20"/>
                <w:szCs w:val="20"/>
              </w:rPr>
              <w:t>名称</w:t>
            </w:r>
          </w:p>
        </w:tc>
        <w:tc>
          <w:tcPr>
            <w:tcW w:w="963" w:type="dxa"/>
            <w:vAlign w:val="center"/>
          </w:tcPr>
          <w:p w14:paraId="2D1272B1">
            <w:pPr>
              <w:adjustRightInd w:val="0"/>
              <w:snapToGrid w:val="0"/>
              <w:jc w:val="center"/>
              <w:rPr>
                <w:rFonts w:hint="eastAsia" w:ascii="仿宋" w:hAnsi="仿宋" w:eastAsia="仿宋" w:cs="仿宋"/>
                <w:sz w:val="20"/>
                <w:szCs w:val="20"/>
              </w:rPr>
            </w:pPr>
            <w:r>
              <w:rPr>
                <w:rFonts w:hint="eastAsia" w:ascii="仿宋" w:hAnsi="仿宋" w:eastAsia="仿宋" w:cs="仿宋"/>
                <w:sz w:val="20"/>
                <w:szCs w:val="20"/>
              </w:rPr>
              <w:t>品牌</w:t>
            </w:r>
          </w:p>
        </w:tc>
        <w:tc>
          <w:tcPr>
            <w:tcW w:w="1275" w:type="dxa"/>
            <w:vAlign w:val="center"/>
          </w:tcPr>
          <w:p w14:paraId="37C6AF2B">
            <w:pPr>
              <w:adjustRightInd w:val="0"/>
              <w:snapToGrid w:val="0"/>
              <w:jc w:val="center"/>
              <w:rPr>
                <w:rFonts w:hint="eastAsia" w:ascii="仿宋" w:hAnsi="仿宋" w:eastAsia="仿宋" w:cs="仿宋"/>
                <w:sz w:val="20"/>
                <w:szCs w:val="20"/>
              </w:rPr>
            </w:pPr>
            <w:r>
              <w:rPr>
                <w:rFonts w:hint="eastAsia" w:ascii="仿宋" w:hAnsi="仿宋" w:eastAsia="仿宋" w:cs="仿宋"/>
                <w:sz w:val="20"/>
                <w:szCs w:val="20"/>
              </w:rPr>
              <w:t>规格型号</w:t>
            </w:r>
          </w:p>
        </w:tc>
        <w:tc>
          <w:tcPr>
            <w:tcW w:w="1080" w:type="dxa"/>
            <w:vAlign w:val="center"/>
          </w:tcPr>
          <w:p w14:paraId="55FCEE80">
            <w:pPr>
              <w:adjustRightInd w:val="0"/>
              <w:snapToGrid w:val="0"/>
              <w:jc w:val="center"/>
              <w:rPr>
                <w:rFonts w:hint="eastAsia" w:ascii="仿宋" w:hAnsi="仿宋" w:eastAsia="仿宋" w:cs="仿宋"/>
                <w:sz w:val="20"/>
                <w:szCs w:val="20"/>
              </w:rPr>
            </w:pPr>
            <w:r>
              <w:rPr>
                <w:rFonts w:hint="eastAsia" w:ascii="仿宋" w:hAnsi="仿宋" w:eastAsia="仿宋" w:cs="仿宋"/>
                <w:sz w:val="20"/>
                <w:szCs w:val="20"/>
              </w:rPr>
              <w:t>单位</w:t>
            </w:r>
          </w:p>
        </w:tc>
        <w:tc>
          <w:tcPr>
            <w:tcW w:w="1290" w:type="dxa"/>
            <w:vAlign w:val="center"/>
          </w:tcPr>
          <w:p w14:paraId="3E86B3CF">
            <w:pPr>
              <w:adjustRightInd w:val="0"/>
              <w:snapToGrid w:val="0"/>
              <w:jc w:val="center"/>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数量</w:t>
            </w:r>
          </w:p>
        </w:tc>
        <w:tc>
          <w:tcPr>
            <w:tcW w:w="1290" w:type="dxa"/>
            <w:vAlign w:val="center"/>
          </w:tcPr>
          <w:p w14:paraId="6356854E">
            <w:pPr>
              <w:adjustRightInd w:val="0"/>
              <w:snapToGrid w:val="0"/>
              <w:jc w:val="center"/>
              <w:rPr>
                <w:rFonts w:hint="eastAsia" w:ascii="仿宋" w:hAnsi="仿宋" w:eastAsia="仿宋" w:cs="仿宋"/>
                <w:sz w:val="20"/>
                <w:szCs w:val="20"/>
              </w:rPr>
            </w:pPr>
            <w:r>
              <w:rPr>
                <w:rFonts w:hint="eastAsia" w:ascii="仿宋" w:hAnsi="仿宋" w:eastAsia="仿宋" w:cs="仿宋"/>
                <w:sz w:val="20"/>
                <w:szCs w:val="20"/>
              </w:rPr>
              <w:t>单价</w:t>
            </w:r>
          </w:p>
          <w:p w14:paraId="0944F541">
            <w:pPr>
              <w:adjustRightInd w:val="0"/>
              <w:snapToGrid w:val="0"/>
              <w:jc w:val="center"/>
              <w:rPr>
                <w:rFonts w:hint="eastAsia" w:ascii="仿宋" w:hAnsi="仿宋" w:eastAsia="仿宋" w:cs="仿宋"/>
                <w:sz w:val="20"/>
                <w:szCs w:val="20"/>
              </w:rPr>
            </w:pPr>
            <w:r>
              <w:rPr>
                <w:rFonts w:hint="eastAsia" w:ascii="仿宋" w:hAnsi="仿宋" w:eastAsia="仿宋" w:cs="仿宋"/>
                <w:sz w:val="20"/>
                <w:szCs w:val="20"/>
              </w:rPr>
              <w:t>（元）</w:t>
            </w:r>
          </w:p>
        </w:tc>
      </w:tr>
      <w:tr w14:paraId="60A70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exact"/>
          <w:jc w:val="center"/>
        </w:trPr>
        <w:tc>
          <w:tcPr>
            <w:tcW w:w="894" w:type="dxa"/>
            <w:vAlign w:val="center"/>
          </w:tcPr>
          <w:p w14:paraId="1C7F1DD9">
            <w:pPr>
              <w:adjustRightInd w:val="0"/>
              <w:snapToGrid w:val="0"/>
              <w:jc w:val="center"/>
              <w:rPr>
                <w:rFonts w:hint="eastAsia" w:ascii="仿宋" w:hAnsi="仿宋" w:eastAsia="仿宋" w:cs="仿宋"/>
                <w:sz w:val="20"/>
                <w:szCs w:val="20"/>
              </w:rPr>
            </w:pPr>
          </w:p>
        </w:tc>
        <w:tc>
          <w:tcPr>
            <w:tcW w:w="1017" w:type="dxa"/>
            <w:vAlign w:val="center"/>
          </w:tcPr>
          <w:p w14:paraId="53A8DD1B">
            <w:pPr>
              <w:adjustRightInd w:val="0"/>
              <w:snapToGrid w:val="0"/>
              <w:jc w:val="center"/>
              <w:rPr>
                <w:rFonts w:hint="eastAsia" w:ascii="仿宋" w:hAnsi="仿宋" w:eastAsia="仿宋" w:cs="仿宋"/>
                <w:sz w:val="20"/>
                <w:szCs w:val="20"/>
              </w:rPr>
            </w:pPr>
          </w:p>
        </w:tc>
        <w:tc>
          <w:tcPr>
            <w:tcW w:w="963" w:type="dxa"/>
            <w:vAlign w:val="center"/>
          </w:tcPr>
          <w:p w14:paraId="10373565">
            <w:pPr>
              <w:adjustRightInd w:val="0"/>
              <w:snapToGrid w:val="0"/>
              <w:jc w:val="center"/>
              <w:rPr>
                <w:rFonts w:hint="eastAsia" w:ascii="仿宋" w:hAnsi="仿宋" w:eastAsia="仿宋" w:cs="仿宋"/>
                <w:sz w:val="20"/>
                <w:szCs w:val="20"/>
              </w:rPr>
            </w:pPr>
          </w:p>
        </w:tc>
        <w:tc>
          <w:tcPr>
            <w:tcW w:w="1275" w:type="dxa"/>
            <w:vAlign w:val="center"/>
          </w:tcPr>
          <w:p w14:paraId="31081C57">
            <w:pPr>
              <w:adjustRightInd w:val="0"/>
              <w:snapToGrid w:val="0"/>
              <w:jc w:val="center"/>
              <w:rPr>
                <w:rFonts w:hint="eastAsia" w:ascii="仿宋" w:hAnsi="仿宋" w:eastAsia="仿宋" w:cs="仿宋"/>
                <w:sz w:val="20"/>
                <w:szCs w:val="20"/>
              </w:rPr>
            </w:pPr>
          </w:p>
        </w:tc>
        <w:tc>
          <w:tcPr>
            <w:tcW w:w="1080" w:type="dxa"/>
            <w:vAlign w:val="center"/>
          </w:tcPr>
          <w:p w14:paraId="27590718">
            <w:pPr>
              <w:adjustRightInd w:val="0"/>
              <w:snapToGrid w:val="0"/>
              <w:jc w:val="center"/>
              <w:rPr>
                <w:rFonts w:hint="eastAsia" w:ascii="仿宋" w:hAnsi="仿宋" w:eastAsia="仿宋" w:cs="仿宋"/>
                <w:sz w:val="20"/>
                <w:szCs w:val="20"/>
              </w:rPr>
            </w:pPr>
          </w:p>
        </w:tc>
        <w:tc>
          <w:tcPr>
            <w:tcW w:w="1290" w:type="dxa"/>
            <w:vAlign w:val="center"/>
          </w:tcPr>
          <w:p w14:paraId="1D71E56F">
            <w:pPr>
              <w:adjustRightInd w:val="0"/>
              <w:snapToGrid w:val="0"/>
              <w:jc w:val="center"/>
              <w:rPr>
                <w:rFonts w:hint="eastAsia" w:ascii="仿宋" w:hAnsi="仿宋" w:eastAsia="仿宋" w:cs="仿宋"/>
                <w:sz w:val="20"/>
                <w:szCs w:val="20"/>
              </w:rPr>
            </w:pPr>
          </w:p>
        </w:tc>
        <w:tc>
          <w:tcPr>
            <w:tcW w:w="1290" w:type="dxa"/>
            <w:vAlign w:val="center"/>
          </w:tcPr>
          <w:p w14:paraId="31AC5B13">
            <w:pPr>
              <w:adjustRightInd w:val="0"/>
              <w:snapToGrid w:val="0"/>
              <w:jc w:val="center"/>
              <w:rPr>
                <w:rFonts w:hint="eastAsia" w:ascii="仿宋" w:hAnsi="仿宋" w:eastAsia="仿宋" w:cs="仿宋"/>
                <w:sz w:val="20"/>
                <w:szCs w:val="20"/>
              </w:rPr>
            </w:pPr>
          </w:p>
        </w:tc>
      </w:tr>
      <w:tr w14:paraId="6F8E4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exact"/>
          <w:jc w:val="center"/>
        </w:trPr>
        <w:tc>
          <w:tcPr>
            <w:tcW w:w="894" w:type="dxa"/>
            <w:vAlign w:val="center"/>
          </w:tcPr>
          <w:p w14:paraId="025F061B">
            <w:pPr>
              <w:adjustRightInd w:val="0"/>
              <w:snapToGrid w:val="0"/>
              <w:jc w:val="center"/>
              <w:rPr>
                <w:rFonts w:hint="eastAsia" w:ascii="仿宋" w:hAnsi="仿宋" w:eastAsia="仿宋" w:cs="仿宋"/>
                <w:sz w:val="20"/>
                <w:szCs w:val="20"/>
              </w:rPr>
            </w:pPr>
          </w:p>
        </w:tc>
        <w:tc>
          <w:tcPr>
            <w:tcW w:w="1017" w:type="dxa"/>
            <w:vAlign w:val="center"/>
          </w:tcPr>
          <w:p w14:paraId="1279F4A1">
            <w:pPr>
              <w:adjustRightInd w:val="0"/>
              <w:snapToGrid w:val="0"/>
              <w:jc w:val="center"/>
              <w:rPr>
                <w:rFonts w:hint="eastAsia" w:ascii="仿宋" w:hAnsi="仿宋" w:eastAsia="仿宋" w:cs="仿宋"/>
                <w:sz w:val="20"/>
                <w:szCs w:val="20"/>
              </w:rPr>
            </w:pPr>
          </w:p>
        </w:tc>
        <w:tc>
          <w:tcPr>
            <w:tcW w:w="963" w:type="dxa"/>
            <w:vAlign w:val="center"/>
          </w:tcPr>
          <w:p w14:paraId="6BAA8E84">
            <w:pPr>
              <w:adjustRightInd w:val="0"/>
              <w:snapToGrid w:val="0"/>
              <w:jc w:val="center"/>
              <w:rPr>
                <w:rFonts w:hint="eastAsia" w:ascii="仿宋" w:hAnsi="仿宋" w:eastAsia="仿宋" w:cs="仿宋"/>
                <w:sz w:val="20"/>
                <w:szCs w:val="20"/>
              </w:rPr>
            </w:pPr>
          </w:p>
        </w:tc>
        <w:tc>
          <w:tcPr>
            <w:tcW w:w="1275" w:type="dxa"/>
            <w:vAlign w:val="center"/>
          </w:tcPr>
          <w:p w14:paraId="092A607B">
            <w:pPr>
              <w:adjustRightInd w:val="0"/>
              <w:snapToGrid w:val="0"/>
              <w:jc w:val="center"/>
              <w:rPr>
                <w:rFonts w:hint="eastAsia" w:ascii="仿宋" w:hAnsi="仿宋" w:eastAsia="仿宋" w:cs="仿宋"/>
                <w:sz w:val="20"/>
                <w:szCs w:val="20"/>
              </w:rPr>
            </w:pPr>
          </w:p>
        </w:tc>
        <w:tc>
          <w:tcPr>
            <w:tcW w:w="1080" w:type="dxa"/>
            <w:vAlign w:val="center"/>
          </w:tcPr>
          <w:p w14:paraId="320094A2">
            <w:pPr>
              <w:adjustRightInd w:val="0"/>
              <w:snapToGrid w:val="0"/>
              <w:jc w:val="center"/>
              <w:rPr>
                <w:rFonts w:hint="eastAsia" w:ascii="仿宋" w:hAnsi="仿宋" w:eastAsia="仿宋" w:cs="仿宋"/>
                <w:sz w:val="20"/>
                <w:szCs w:val="20"/>
              </w:rPr>
            </w:pPr>
          </w:p>
        </w:tc>
        <w:tc>
          <w:tcPr>
            <w:tcW w:w="1290" w:type="dxa"/>
            <w:vAlign w:val="center"/>
          </w:tcPr>
          <w:p w14:paraId="5B52DC72">
            <w:pPr>
              <w:adjustRightInd w:val="0"/>
              <w:snapToGrid w:val="0"/>
              <w:jc w:val="center"/>
              <w:rPr>
                <w:rFonts w:hint="eastAsia" w:ascii="仿宋" w:hAnsi="仿宋" w:eastAsia="仿宋" w:cs="仿宋"/>
                <w:sz w:val="20"/>
                <w:szCs w:val="20"/>
              </w:rPr>
            </w:pPr>
          </w:p>
        </w:tc>
        <w:tc>
          <w:tcPr>
            <w:tcW w:w="1290" w:type="dxa"/>
            <w:vAlign w:val="center"/>
          </w:tcPr>
          <w:p w14:paraId="08AA0A6C">
            <w:pPr>
              <w:adjustRightInd w:val="0"/>
              <w:snapToGrid w:val="0"/>
              <w:jc w:val="center"/>
              <w:rPr>
                <w:rFonts w:hint="eastAsia" w:ascii="仿宋" w:hAnsi="仿宋" w:eastAsia="仿宋" w:cs="仿宋"/>
                <w:sz w:val="20"/>
                <w:szCs w:val="20"/>
              </w:rPr>
            </w:pPr>
          </w:p>
        </w:tc>
      </w:tr>
      <w:tr w14:paraId="6320D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exact"/>
          <w:jc w:val="center"/>
        </w:trPr>
        <w:tc>
          <w:tcPr>
            <w:tcW w:w="894" w:type="dxa"/>
            <w:vAlign w:val="center"/>
          </w:tcPr>
          <w:p w14:paraId="408E84C1">
            <w:pPr>
              <w:adjustRightInd w:val="0"/>
              <w:snapToGrid w:val="0"/>
              <w:jc w:val="center"/>
              <w:rPr>
                <w:rFonts w:hint="eastAsia" w:ascii="仿宋" w:hAnsi="仿宋" w:eastAsia="仿宋" w:cs="仿宋"/>
                <w:sz w:val="20"/>
                <w:szCs w:val="20"/>
              </w:rPr>
            </w:pPr>
          </w:p>
        </w:tc>
        <w:tc>
          <w:tcPr>
            <w:tcW w:w="1017" w:type="dxa"/>
            <w:vAlign w:val="center"/>
          </w:tcPr>
          <w:p w14:paraId="3687AFC3">
            <w:pPr>
              <w:adjustRightInd w:val="0"/>
              <w:snapToGrid w:val="0"/>
              <w:jc w:val="center"/>
              <w:rPr>
                <w:rFonts w:hint="eastAsia" w:ascii="仿宋" w:hAnsi="仿宋" w:eastAsia="仿宋" w:cs="仿宋"/>
                <w:sz w:val="20"/>
                <w:szCs w:val="20"/>
              </w:rPr>
            </w:pPr>
          </w:p>
        </w:tc>
        <w:tc>
          <w:tcPr>
            <w:tcW w:w="963" w:type="dxa"/>
            <w:vAlign w:val="center"/>
          </w:tcPr>
          <w:p w14:paraId="0E6EA8E7">
            <w:pPr>
              <w:adjustRightInd w:val="0"/>
              <w:snapToGrid w:val="0"/>
              <w:jc w:val="center"/>
              <w:rPr>
                <w:rFonts w:hint="eastAsia" w:ascii="仿宋" w:hAnsi="仿宋" w:eastAsia="仿宋" w:cs="仿宋"/>
                <w:sz w:val="20"/>
                <w:szCs w:val="20"/>
              </w:rPr>
            </w:pPr>
          </w:p>
        </w:tc>
        <w:tc>
          <w:tcPr>
            <w:tcW w:w="1275" w:type="dxa"/>
            <w:vAlign w:val="center"/>
          </w:tcPr>
          <w:p w14:paraId="46527052">
            <w:pPr>
              <w:adjustRightInd w:val="0"/>
              <w:snapToGrid w:val="0"/>
              <w:jc w:val="center"/>
              <w:rPr>
                <w:rFonts w:hint="eastAsia" w:ascii="仿宋" w:hAnsi="仿宋" w:eastAsia="仿宋" w:cs="仿宋"/>
                <w:sz w:val="20"/>
                <w:szCs w:val="20"/>
              </w:rPr>
            </w:pPr>
          </w:p>
        </w:tc>
        <w:tc>
          <w:tcPr>
            <w:tcW w:w="1080" w:type="dxa"/>
            <w:vAlign w:val="center"/>
          </w:tcPr>
          <w:p w14:paraId="5401E0B7">
            <w:pPr>
              <w:adjustRightInd w:val="0"/>
              <w:snapToGrid w:val="0"/>
              <w:jc w:val="center"/>
              <w:rPr>
                <w:rFonts w:hint="eastAsia" w:ascii="仿宋" w:hAnsi="仿宋" w:eastAsia="仿宋" w:cs="仿宋"/>
                <w:sz w:val="20"/>
                <w:szCs w:val="20"/>
              </w:rPr>
            </w:pPr>
          </w:p>
        </w:tc>
        <w:tc>
          <w:tcPr>
            <w:tcW w:w="1290" w:type="dxa"/>
            <w:vAlign w:val="center"/>
          </w:tcPr>
          <w:p w14:paraId="6716C09E">
            <w:pPr>
              <w:adjustRightInd w:val="0"/>
              <w:snapToGrid w:val="0"/>
              <w:jc w:val="center"/>
              <w:rPr>
                <w:rFonts w:hint="eastAsia" w:ascii="仿宋" w:hAnsi="仿宋" w:eastAsia="仿宋" w:cs="仿宋"/>
                <w:sz w:val="20"/>
                <w:szCs w:val="20"/>
              </w:rPr>
            </w:pPr>
          </w:p>
        </w:tc>
        <w:tc>
          <w:tcPr>
            <w:tcW w:w="1290" w:type="dxa"/>
            <w:vAlign w:val="center"/>
          </w:tcPr>
          <w:p w14:paraId="2E03C09F">
            <w:pPr>
              <w:adjustRightInd w:val="0"/>
              <w:snapToGrid w:val="0"/>
              <w:jc w:val="center"/>
              <w:rPr>
                <w:rFonts w:hint="eastAsia" w:ascii="仿宋" w:hAnsi="仿宋" w:eastAsia="仿宋" w:cs="仿宋"/>
                <w:sz w:val="20"/>
                <w:szCs w:val="20"/>
              </w:rPr>
            </w:pPr>
          </w:p>
        </w:tc>
      </w:tr>
      <w:tr w14:paraId="0B61B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exact"/>
          <w:jc w:val="center"/>
        </w:trPr>
        <w:tc>
          <w:tcPr>
            <w:tcW w:w="7809" w:type="dxa"/>
            <w:gridSpan w:val="7"/>
            <w:vAlign w:val="center"/>
          </w:tcPr>
          <w:p w14:paraId="73046E8F">
            <w:pPr>
              <w:adjustRightInd w:val="0"/>
              <w:snapToGrid w:val="0"/>
              <w:jc w:val="left"/>
              <w:rPr>
                <w:rFonts w:hint="eastAsia" w:ascii="仿宋" w:hAnsi="仿宋" w:eastAsia="仿宋" w:cs="仿宋"/>
                <w:sz w:val="20"/>
                <w:szCs w:val="20"/>
              </w:rPr>
            </w:pPr>
            <w:r>
              <w:rPr>
                <w:rFonts w:hint="eastAsia" w:ascii="仿宋" w:hAnsi="仿宋" w:eastAsia="仿宋" w:cs="仿宋"/>
                <w:sz w:val="20"/>
                <w:szCs w:val="20"/>
              </w:rPr>
              <w:t xml:space="preserve">合计金额：¥          </w:t>
            </w:r>
            <w:r>
              <w:rPr>
                <w:rFonts w:hint="eastAsia" w:ascii="仿宋" w:hAnsi="仿宋" w:eastAsia="仿宋" w:cs="仿宋"/>
                <w:sz w:val="20"/>
                <w:szCs w:val="20"/>
                <w:lang w:val="en-US" w:eastAsia="zh-CN"/>
              </w:rPr>
              <w:t xml:space="preserve">     </w:t>
            </w:r>
            <w:r>
              <w:rPr>
                <w:rFonts w:hint="eastAsia" w:ascii="仿宋" w:hAnsi="仿宋" w:eastAsia="仿宋" w:cs="仿宋"/>
                <w:sz w:val="20"/>
                <w:szCs w:val="20"/>
              </w:rPr>
              <w:t xml:space="preserve">元；    </w:t>
            </w:r>
            <w:r>
              <w:rPr>
                <w:rFonts w:hint="eastAsia" w:ascii="仿宋" w:hAnsi="仿宋" w:eastAsia="仿宋" w:cs="仿宋"/>
                <w:sz w:val="20"/>
                <w:szCs w:val="20"/>
                <w:lang w:val="en-US" w:eastAsia="zh-CN"/>
              </w:rPr>
              <w:t xml:space="preserve">    </w:t>
            </w:r>
            <w:r>
              <w:rPr>
                <w:rFonts w:hint="eastAsia" w:ascii="仿宋" w:hAnsi="仿宋" w:eastAsia="仿宋" w:cs="仿宋"/>
                <w:sz w:val="20"/>
                <w:szCs w:val="20"/>
              </w:rPr>
              <w:t xml:space="preserve"> 大写：</w:t>
            </w:r>
          </w:p>
        </w:tc>
      </w:tr>
    </w:tbl>
    <w:p w14:paraId="1169E33B">
      <w:pPr>
        <w:spacing w:line="360" w:lineRule="auto"/>
        <w:rPr>
          <w:rFonts w:hint="eastAsia" w:ascii="仿宋" w:hAnsi="仿宋" w:eastAsia="仿宋" w:cs="仿宋"/>
          <w:sz w:val="20"/>
          <w:szCs w:val="20"/>
        </w:rPr>
      </w:pPr>
      <w:r>
        <w:rPr>
          <w:rFonts w:hint="eastAsia" w:ascii="仿宋" w:hAnsi="仿宋" w:eastAsia="仿宋" w:cs="仿宋"/>
          <w:sz w:val="20"/>
          <w:szCs w:val="20"/>
        </w:rPr>
        <w:t>注：此表应与</w:t>
      </w:r>
      <w:r>
        <w:rPr>
          <w:rFonts w:hint="eastAsia" w:ascii="仿宋" w:hAnsi="仿宋" w:eastAsia="仿宋" w:cs="仿宋"/>
          <w:sz w:val="20"/>
          <w:szCs w:val="20"/>
          <w:lang w:eastAsia="zh-CN"/>
        </w:rPr>
        <w:t>竞争性谈判文件</w:t>
      </w:r>
      <w:r>
        <w:rPr>
          <w:rFonts w:hint="eastAsia" w:ascii="仿宋" w:hAnsi="仿宋" w:eastAsia="仿宋" w:cs="仿宋"/>
          <w:sz w:val="20"/>
          <w:szCs w:val="20"/>
        </w:rPr>
        <w:t>、响应文件内容一致。</w:t>
      </w:r>
    </w:p>
    <w:p w14:paraId="263F1C36">
      <w:pPr>
        <w:spacing w:line="360" w:lineRule="auto"/>
        <w:rPr>
          <w:rFonts w:hint="eastAsia" w:ascii="仿宋" w:hAnsi="仿宋" w:eastAsia="仿宋" w:cs="仿宋"/>
          <w:b/>
          <w:sz w:val="20"/>
          <w:szCs w:val="20"/>
        </w:rPr>
      </w:pPr>
      <w:r>
        <w:rPr>
          <w:rFonts w:hint="eastAsia" w:ascii="仿宋" w:hAnsi="仿宋" w:eastAsia="仿宋" w:cs="仿宋"/>
          <w:b/>
          <w:sz w:val="20"/>
          <w:szCs w:val="20"/>
        </w:rPr>
        <w:t>三、合同结算</w:t>
      </w:r>
    </w:p>
    <w:p w14:paraId="2C61BE9E">
      <w:pPr>
        <w:snapToGrid w:val="0"/>
        <w:spacing w:line="360" w:lineRule="auto"/>
        <w:ind w:firstLine="400" w:firstLineChars="200"/>
        <w:rPr>
          <w:rFonts w:hint="eastAsia" w:ascii="仿宋" w:hAnsi="仿宋" w:eastAsia="仿宋" w:cs="仿宋"/>
          <w:b w:val="0"/>
          <w:bCs w:val="0"/>
          <w:sz w:val="20"/>
          <w:szCs w:val="20"/>
          <w:lang w:eastAsia="zh-CN"/>
        </w:rPr>
      </w:pPr>
      <w:r>
        <w:rPr>
          <w:rFonts w:hint="eastAsia" w:ascii="仿宋" w:hAnsi="仿宋" w:eastAsia="仿宋" w:cs="仿宋"/>
          <w:b w:val="0"/>
          <w:bCs w:val="0"/>
          <w:sz w:val="20"/>
          <w:szCs w:val="20"/>
          <w:lang w:eastAsia="zh-CN"/>
        </w:rPr>
        <w:t>经采购⼈验收合格后，采购⼈收到供应商交付的发票之⽇起 ，达到付款条件起15个⼯作⽇内，⽀付合同总⾦额的100.0%。</w:t>
      </w:r>
    </w:p>
    <w:p w14:paraId="44AB91DF">
      <w:pPr>
        <w:spacing w:line="360" w:lineRule="auto"/>
        <w:rPr>
          <w:rFonts w:hint="eastAsia" w:ascii="仿宋" w:hAnsi="仿宋" w:eastAsia="仿宋" w:cs="仿宋"/>
          <w:b/>
          <w:sz w:val="20"/>
          <w:szCs w:val="20"/>
        </w:rPr>
      </w:pPr>
      <w:r>
        <w:rPr>
          <w:rFonts w:hint="eastAsia" w:ascii="仿宋" w:hAnsi="仿宋" w:eastAsia="仿宋" w:cs="仿宋"/>
          <w:b/>
          <w:sz w:val="20"/>
          <w:szCs w:val="20"/>
        </w:rPr>
        <w:t>四、</w:t>
      </w:r>
      <w:bookmarkStart w:id="0" w:name="OLE_LINK19"/>
      <w:r>
        <w:rPr>
          <w:rFonts w:hint="eastAsia" w:ascii="仿宋" w:hAnsi="仿宋" w:eastAsia="仿宋" w:cs="仿宋"/>
          <w:b/>
          <w:sz w:val="20"/>
          <w:szCs w:val="20"/>
        </w:rPr>
        <w:t>交货期</w:t>
      </w:r>
      <w:bookmarkEnd w:id="0"/>
      <w:r>
        <w:rPr>
          <w:rFonts w:hint="eastAsia" w:ascii="仿宋" w:hAnsi="仿宋" w:eastAsia="仿宋" w:cs="仿宋"/>
          <w:b/>
          <w:sz w:val="20"/>
          <w:szCs w:val="20"/>
        </w:rPr>
        <w:t>、质保期、交货地点</w:t>
      </w:r>
    </w:p>
    <w:p w14:paraId="0507FE38">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1、交货期：</w:t>
      </w:r>
      <w:r>
        <w:rPr>
          <w:rFonts w:hint="eastAsia" w:ascii="仿宋" w:hAnsi="仿宋" w:eastAsia="仿宋" w:cs="仿宋"/>
          <w:sz w:val="20"/>
          <w:szCs w:val="20"/>
          <w:u w:val="single"/>
          <w:lang w:val="en-US" w:eastAsia="zh-CN"/>
        </w:rPr>
        <w:t xml:space="preserve">            </w:t>
      </w:r>
      <w:r>
        <w:rPr>
          <w:rFonts w:hint="eastAsia" w:ascii="仿宋" w:hAnsi="仿宋" w:eastAsia="仿宋" w:cs="仿宋"/>
          <w:sz w:val="20"/>
          <w:szCs w:val="20"/>
        </w:rPr>
        <w:t>；</w:t>
      </w:r>
    </w:p>
    <w:p w14:paraId="1EB05488">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2、质保期：</w:t>
      </w:r>
      <w:r>
        <w:rPr>
          <w:rFonts w:hint="eastAsia" w:ascii="仿宋" w:hAnsi="仿宋" w:eastAsia="仿宋" w:cs="仿宋"/>
          <w:sz w:val="20"/>
          <w:szCs w:val="20"/>
          <w:u w:val="single"/>
          <w:lang w:val="en-US" w:eastAsia="zh-CN"/>
        </w:rPr>
        <w:t xml:space="preserve">            </w:t>
      </w:r>
      <w:r>
        <w:rPr>
          <w:rFonts w:hint="eastAsia" w:ascii="仿宋" w:hAnsi="仿宋" w:eastAsia="仿宋" w:cs="仿宋"/>
          <w:sz w:val="20"/>
          <w:szCs w:val="20"/>
        </w:rPr>
        <w:t>；</w:t>
      </w:r>
    </w:p>
    <w:p w14:paraId="6DA7A2FF">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3、交货地点：</w:t>
      </w:r>
      <w:r>
        <w:rPr>
          <w:rFonts w:hint="eastAsia" w:ascii="仿宋" w:hAnsi="仿宋" w:eastAsia="仿宋" w:cs="仿宋"/>
          <w:sz w:val="20"/>
          <w:szCs w:val="20"/>
          <w:u w:val="single"/>
          <w:lang w:val="en-US" w:eastAsia="zh-CN"/>
        </w:rPr>
        <w:t xml:space="preserve">               </w:t>
      </w:r>
      <w:r>
        <w:rPr>
          <w:rFonts w:hint="eastAsia" w:ascii="仿宋" w:hAnsi="仿宋" w:eastAsia="仿宋" w:cs="仿宋"/>
          <w:sz w:val="20"/>
          <w:szCs w:val="20"/>
          <w:u w:val="single"/>
        </w:rPr>
        <w:t>。</w:t>
      </w:r>
    </w:p>
    <w:p w14:paraId="5324F650">
      <w:pPr>
        <w:spacing w:line="360" w:lineRule="auto"/>
        <w:rPr>
          <w:rFonts w:hint="eastAsia" w:ascii="仿宋" w:hAnsi="仿宋" w:eastAsia="仿宋" w:cs="仿宋"/>
          <w:b/>
          <w:bCs/>
          <w:sz w:val="20"/>
          <w:szCs w:val="20"/>
        </w:rPr>
      </w:pPr>
      <w:r>
        <w:rPr>
          <w:rFonts w:hint="eastAsia" w:ascii="仿宋" w:hAnsi="仿宋" w:eastAsia="仿宋" w:cs="仿宋"/>
          <w:b/>
          <w:bCs/>
          <w:sz w:val="20"/>
          <w:szCs w:val="20"/>
        </w:rPr>
        <w:t>五、双方承诺</w:t>
      </w:r>
    </w:p>
    <w:p w14:paraId="4C0A47A2">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1、乙方向甲方承诺，按照本合同约定提供相关服务。</w:t>
      </w:r>
    </w:p>
    <w:p w14:paraId="416AF342">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2、甲方向乙方承诺，按照本合同约定支付服务款项。</w:t>
      </w:r>
    </w:p>
    <w:p w14:paraId="3F0309E9">
      <w:pPr>
        <w:adjustRightInd w:val="0"/>
        <w:snapToGrid w:val="0"/>
        <w:spacing w:line="360" w:lineRule="auto"/>
        <w:rPr>
          <w:rFonts w:hint="eastAsia" w:ascii="仿宋" w:hAnsi="仿宋" w:eastAsia="仿宋" w:cs="仿宋"/>
          <w:b/>
          <w:sz w:val="20"/>
          <w:szCs w:val="20"/>
        </w:rPr>
      </w:pPr>
      <w:r>
        <w:rPr>
          <w:rFonts w:hint="eastAsia" w:ascii="仿宋" w:hAnsi="仿宋" w:eastAsia="仿宋" w:cs="仿宋"/>
          <w:b/>
          <w:sz w:val="20"/>
          <w:szCs w:val="20"/>
        </w:rPr>
        <w:t>六、内容及要求：</w:t>
      </w:r>
    </w:p>
    <w:p w14:paraId="56F07BAE">
      <w:pPr>
        <w:pStyle w:val="16"/>
        <w:ind w:left="0" w:leftChars="0" w:firstLine="400" w:firstLineChars="200"/>
        <w:rPr>
          <w:rFonts w:hint="eastAsia" w:ascii="仿宋" w:hAnsi="仿宋" w:eastAsia="仿宋" w:cs="仿宋"/>
          <w:sz w:val="20"/>
          <w:szCs w:val="20"/>
        </w:rPr>
      </w:pPr>
      <w:r>
        <w:rPr>
          <w:rFonts w:hint="eastAsia" w:ascii="仿宋" w:hAnsi="仿宋" w:eastAsia="仿宋" w:cs="仿宋"/>
          <w:sz w:val="20"/>
          <w:szCs w:val="20"/>
        </w:rPr>
        <w:t>即交付的产品、服务内容与响应文件、</w:t>
      </w:r>
      <w:r>
        <w:rPr>
          <w:rFonts w:hint="eastAsia" w:ascii="仿宋" w:hAnsi="仿宋" w:eastAsia="仿宋" w:cs="仿宋"/>
          <w:sz w:val="20"/>
          <w:szCs w:val="20"/>
          <w:lang w:eastAsia="zh-CN"/>
        </w:rPr>
        <w:t>竞争性谈判文件</w:t>
      </w:r>
      <w:r>
        <w:rPr>
          <w:rFonts w:hint="eastAsia" w:ascii="仿宋" w:hAnsi="仿宋" w:eastAsia="仿宋" w:cs="仿宋"/>
          <w:sz w:val="20"/>
          <w:szCs w:val="20"/>
        </w:rPr>
        <w:t>等所指明的，或者与本合同所指明的产品、服务内容相一致。</w:t>
      </w:r>
    </w:p>
    <w:p w14:paraId="3CDAF56D">
      <w:pPr>
        <w:numPr>
          <w:ilvl w:val="0"/>
          <w:numId w:val="1"/>
        </w:numPr>
        <w:spacing w:line="360" w:lineRule="auto"/>
        <w:rPr>
          <w:rFonts w:hint="eastAsia" w:ascii="仿宋" w:hAnsi="仿宋" w:eastAsia="仿宋" w:cs="仿宋"/>
          <w:b/>
          <w:sz w:val="20"/>
          <w:szCs w:val="20"/>
        </w:rPr>
      </w:pPr>
      <w:r>
        <w:rPr>
          <w:rFonts w:hint="eastAsia" w:ascii="仿宋" w:hAnsi="仿宋" w:eastAsia="仿宋" w:cs="仿宋"/>
          <w:b/>
          <w:sz w:val="20"/>
          <w:szCs w:val="20"/>
        </w:rPr>
        <w:t>包装要求</w:t>
      </w:r>
    </w:p>
    <w:p w14:paraId="2EF79D03">
      <w:pPr>
        <w:numPr>
          <w:ilvl w:val="0"/>
          <w:numId w:val="0"/>
        </w:numPr>
        <w:spacing w:line="360" w:lineRule="auto"/>
        <w:ind w:firstLine="400" w:firstLineChars="200"/>
        <w:rPr>
          <w:rFonts w:hint="eastAsia" w:ascii="仿宋" w:hAnsi="仿宋" w:eastAsia="仿宋" w:cs="仿宋"/>
          <w:kern w:val="2"/>
          <w:sz w:val="20"/>
          <w:szCs w:val="20"/>
          <w:lang w:val="en-US" w:eastAsia="zh-CN" w:bidi="ar-SA"/>
          <w14:ligatures w14:val="none"/>
        </w:rPr>
      </w:pPr>
      <w:r>
        <w:rPr>
          <w:rFonts w:hint="eastAsia" w:ascii="仿宋" w:hAnsi="仿宋" w:eastAsia="仿宋" w:cs="仿宋"/>
          <w:kern w:val="2"/>
          <w:sz w:val="20"/>
          <w:szCs w:val="20"/>
          <w:lang w:val="en-US" w:eastAsia="zh-CN" w:bidi="ar-SA"/>
          <w14:ligatures w14:val="none"/>
        </w:rPr>
        <w:t xml:space="preserve">涉及的商品包装和快递包装，均应符合《商品包装政府采购需求标准（试⾏）》《快递包装政府采购需求标准（试⾏）》的要求，包装应适应于远距离运输、防潮、防震、防锈和防野蛮装卸，以确保货物安全⽆损运抵指定地点。 </w:t>
      </w:r>
    </w:p>
    <w:p w14:paraId="23B0C9B7">
      <w:pPr>
        <w:numPr>
          <w:ilvl w:val="0"/>
          <w:numId w:val="1"/>
        </w:numPr>
        <w:spacing w:line="360" w:lineRule="auto"/>
        <w:rPr>
          <w:rFonts w:hint="eastAsia" w:ascii="仿宋" w:hAnsi="仿宋" w:eastAsia="仿宋" w:cs="仿宋"/>
          <w:b/>
          <w:sz w:val="20"/>
          <w:szCs w:val="20"/>
        </w:rPr>
      </w:pPr>
      <w:r>
        <w:rPr>
          <w:rFonts w:hint="eastAsia" w:ascii="仿宋" w:hAnsi="仿宋" w:eastAsia="仿宋" w:cs="仿宋"/>
          <w:b/>
          <w:sz w:val="20"/>
          <w:szCs w:val="20"/>
        </w:rPr>
        <w:t>甲方的权利与义务</w:t>
      </w:r>
    </w:p>
    <w:p w14:paraId="2826027A">
      <w:pPr>
        <w:adjustRightInd w:val="0"/>
        <w:snapToGrid w:val="0"/>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1.甲方在收到服装通知后，应按</w:t>
      </w:r>
      <w:r>
        <w:rPr>
          <w:rFonts w:hint="eastAsia" w:ascii="仿宋" w:hAnsi="仿宋" w:eastAsia="仿宋" w:cs="仿宋"/>
          <w:sz w:val="20"/>
          <w:szCs w:val="20"/>
          <w:lang w:eastAsia="zh-CN"/>
        </w:rPr>
        <w:t>谈判文件</w:t>
      </w:r>
      <w:r>
        <w:rPr>
          <w:rFonts w:hint="eastAsia" w:ascii="仿宋" w:hAnsi="仿宋" w:eastAsia="仿宋" w:cs="仿宋"/>
          <w:sz w:val="20"/>
          <w:szCs w:val="20"/>
        </w:rPr>
        <w:t>的需求进行核实，如发现不符合合同规定或短缺，及时提出，甲方在收到货后，组织人员按提供的技术参数指标进行验收。</w:t>
      </w:r>
    </w:p>
    <w:p w14:paraId="240459C9">
      <w:pPr>
        <w:numPr>
          <w:ilvl w:val="0"/>
          <w:numId w:val="1"/>
        </w:numPr>
        <w:spacing w:line="360" w:lineRule="auto"/>
        <w:rPr>
          <w:rFonts w:hint="eastAsia" w:ascii="仿宋" w:hAnsi="仿宋" w:eastAsia="仿宋" w:cs="仿宋"/>
          <w:b/>
          <w:sz w:val="20"/>
          <w:szCs w:val="20"/>
        </w:rPr>
      </w:pPr>
      <w:r>
        <w:rPr>
          <w:rFonts w:hint="eastAsia" w:ascii="仿宋" w:hAnsi="仿宋" w:eastAsia="仿宋" w:cs="仿宋"/>
          <w:b/>
          <w:sz w:val="20"/>
          <w:szCs w:val="20"/>
        </w:rPr>
        <w:t>乙方的权利与义务</w:t>
      </w:r>
    </w:p>
    <w:p w14:paraId="3BE2B492">
      <w:pPr>
        <w:adjustRightInd w:val="0"/>
        <w:snapToGrid w:val="0"/>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1.乙方负责在合同约定的时间内供货完成并达到验收标准。</w:t>
      </w:r>
    </w:p>
    <w:p w14:paraId="49BE64AD">
      <w:pPr>
        <w:adjustRightInd w:val="0"/>
        <w:snapToGrid w:val="0"/>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2.乙方所提供的服装必须满足采购需求，运输和制作过程中的安全由乙方负责。</w:t>
      </w:r>
    </w:p>
    <w:p w14:paraId="44842983">
      <w:pPr>
        <w:numPr>
          <w:ilvl w:val="0"/>
          <w:numId w:val="1"/>
        </w:numPr>
        <w:spacing w:line="360" w:lineRule="auto"/>
        <w:rPr>
          <w:rFonts w:hint="eastAsia" w:ascii="仿宋" w:hAnsi="仿宋" w:eastAsia="仿宋" w:cs="仿宋"/>
          <w:b/>
          <w:sz w:val="20"/>
          <w:szCs w:val="20"/>
        </w:rPr>
      </w:pPr>
      <w:r>
        <w:rPr>
          <w:rFonts w:hint="eastAsia" w:ascii="仿宋" w:hAnsi="仿宋" w:eastAsia="仿宋" w:cs="仿宋"/>
          <w:b/>
          <w:sz w:val="20"/>
          <w:szCs w:val="20"/>
        </w:rPr>
        <w:t>运输</w:t>
      </w:r>
    </w:p>
    <w:p w14:paraId="6AD07A58">
      <w:pPr>
        <w:adjustRightInd w:val="0"/>
        <w:snapToGrid w:val="0"/>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（一）乙方负责所有服装的运输，确保采购服装完整到达甲方指定地点。运杂费用已包含在合同总价内。</w:t>
      </w:r>
    </w:p>
    <w:p w14:paraId="101190DB">
      <w:pPr>
        <w:adjustRightInd w:val="0"/>
        <w:snapToGrid w:val="0"/>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（二）运输方式由乙方自行选择，但必须保证按期交付所有采购服装。</w:t>
      </w:r>
    </w:p>
    <w:p w14:paraId="2B0BB5B6">
      <w:pPr>
        <w:numPr>
          <w:ilvl w:val="0"/>
          <w:numId w:val="1"/>
        </w:numPr>
        <w:spacing w:line="360" w:lineRule="auto"/>
        <w:rPr>
          <w:rFonts w:hint="eastAsia" w:ascii="仿宋" w:hAnsi="仿宋" w:eastAsia="仿宋" w:cs="仿宋"/>
          <w:b/>
          <w:sz w:val="20"/>
          <w:szCs w:val="20"/>
        </w:rPr>
      </w:pPr>
      <w:r>
        <w:rPr>
          <w:rFonts w:hint="eastAsia" w:ascii="仿宋" w:hAnsi="仿宋" w:eastAsia="仿宋" w:cs="仿宋"/>
          <w:b/>
          <w:sz w:val="20"/>
          <w:szCs w:val="20"/>
        </w:rPr>
        <w:t>质量保证</w:t>
      </w:r>
    </w:p>
    <w:p w14:paraId="056C4D1A">
      <w:pPr>
        <w:adjustRightInd w:val="0"/>
        <w:snapToGrid w:val="0"/>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一）乙方承诺服装质量保证期间服装出现任何质量问题，乙方应在甲方向乙方发出修改、更换通知当日内为甲方修改或更换。乙方未按前述要求修改或更换的，甲方自行或委托第三方修改或更换的费用在质保金内扣除，不足部分由乙方支付。</w:t>
      </w:r>
    </w:p>
    <w:p w14:paraId="62579C0A">
      <w:pPr>
        <w:adjustRightInd w:val="0"/>
        <w:snapToGrid w:val="0"/>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（二）服装质量保证期满乙方仍负责对服装进行修改，维修只收取材料费，不收人工费。</w:t>
      </w:r>
    </w:p>
    <w:p w14:paraId="743C6166">
      <w:pPr>
        <w:adjustRightInd w:val="0"/>
        <w:snapToGrid w:val="0"/>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（三）对已过前款约定的质保期，但未超过服装本身的质量保证期的，乙方应按照服装本身的质量保证期承担责任。</w:t>
      </w:r>
    </w:p>
    <w:p w14:paraId="1EE4BC21">
      <w:pPr>
        <w:numPr>
          <w:ilvl w:val="0"/>
          <w:numId w:val="1"/>
        </w:numPr>
        <w:spacing w:line="360" w:lineRule="auto"/>
        <w:rPr>
          <w:rFonts w:hint="eastAsia" w:ascii="仿宋" w:hAnsi="仿宋" w:eastAsia="仿宋" w:cs="仿宋"/>
          <w:b/>
          <w:sz w:val="20"/>
          <w:szCs w:val="20"/>
        </w:rPr>
      </w:pPr>
      <w:r>
        <w:rPr>
          <w:rFonts w:hint="eastAsia" w:ascii="仿宋" w:hAnsi="仿宋" w:eastAsia="仿宋" w:cs="仿宋"/>
          <w:b/>
          <w:sz w:val="20"/>
          <w:szCs w:val="20"/>
        </w:rPr>
        <w:t>技术标准、质量标准及其他要求</w:t>
      </w:r>
    </w:p>
    <w:p w14:paraId="0000603C">
      <w:pPr>
        <w:adjustRightInd w:val="0"/>
        <w:snapToGrid w:val="0"/>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（一）所选材料必须保证质量可靠、进货渠道正规，服装面料、成衣符合国家、行业标准合格品要求。</w:t>
      </w:r>
    </w:p>
    <w:p w14:paraId="2AD5DB29">
      <w:pPr>
        <w:adjustRightInd w:val="0"/>
        <w:snapToGrid w:val="0"/>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（二）所提供的服装符合国家现行标准和相应的技术规范，这些标准和技术规范应为合同签订之日为止最新公布发行的标准和技术规范。</w:t>
      </w:r>
    </w:p>
    <w:p w14:paraId="7801418A">
      <w:pPr>
        <w:adjustRightInd w:val="0"/>
        <w:snapToGrid w:val="0"/>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w:t>
      </w:r>
      <w:r>
        <w:rPr>
          <w:rFonts w:hint="eastAsia" w:ascii="仿宋" w:hAnsi="仿宋" w:eastAsia="仿宋" w:cs="仿宋"/>
          <w:sz w:val="20"/>
          <w:szCs w:val="20"/>
          <w:lang w:val="en-US" w:eastAsia="zh-CN"/>
        </w:rPr>
        <w:t>三</w:t>
      </w:r>
      <w:r>
        <w:rPr>
          <w:rFonts w:hint="eastAsia" w:ascii="仿宋" w:hAnsi="仿宋" w:eastAsia="仿宋" w:cs="仿宋"/>
          <w:sz w:val="20"/>
          <w:szCs w:val="20"/>
        </w:rPr>
        <w:t>）具有良好的外观，适合工作人员的使用。</w:t>
      </w:r>
    </w:p>
    <w:p w14:paraId="18168BBD">
      <w:pPr>
        <w:adjustRightInd w:val="0"/>
        <w:snapToGrid w:val="0"/>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w:t>
      </w:r>
      <w:r>
        <w:rPr>
          <w:rFonts w:hint="eastAsia" w:ascii="仿宋" w:hAnsi="仿宋" w:eastAsia="仿宋" w:cs="仿宋"/>
          <w:sz w:val="20"/>
          <w:szCs w:val="20"/>
          <w:lang w:val="en-US" w:eastAsia="zh-CN"/>
        </w:rPr>
        <w:t>四</w:t>
      </w:r>
      <w:r>
        <w:rPr>
          <w:rFonts w:hint="eastAsia" w:ascii="仿宋" w:hAnsi="仿宋" w:eastAsia="仿宋" w:cs="仿宋"/>
          <w:sz w:val="20"/>
          <w:szCs w:val="20"/>
        </w:rPr>
        <w:t>）乙方提供的服装，若发生侵权而产生的一切后果，由乙方负责，甲方保留索赔权力。</w:t>
      </w:r>
    </w:p>
    <w:p w14:paraId="63689B3C">
      <w:pPr>
        <w:numPr>
          <w:ilvl w:val="0"/>
          <w:numId w:val="1"/>
        </w:numPr>
        <w:spacing w:line="360" w:lineRule="auto"/>
        <w:rPr>
          <w:rFonts w:hint="eastAsia" w:ascii="仿宋" w:hAnsi="仿宋" w:eastAsia="仿宋" w:cs="仿宋"/>
          <w:b/>
          <w:sz w:val="20"/>
          <w:szCs w:val="20"/>
        </w:rPr>
      </w:pPr>
      <w:r>
        <w:rPr>
          <w:rFonts w:hint="eastAsia" w:ascii="仿宋" w:hAnsi="仿宋" w:eastAsia="仿宋" w:cs="仿宋"/>
          <w:b/>
          <w:sz w:val="20"/>
          <w:szCs w:val="20"/>
        </w:rPr>
        <w:t>售后服务</w:t>
      </w:r>
    </w:p>
    <w:p w14:paraId="6A32E038">
      <w:pPr>
        <w:adjustRightInd w:val="0"/>
        <w:snapToGrid w:val="0"/>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乙方所供服装发生质量问题，接到甲方通知后，应于当日派出专业的人员到产品现场进行解决，发生的全部费用由乙方承担。</w:t>
      </w:r>
    </w:p>
    <w:p w14:paraId="02E86DB9">
      <w:pPr>
        <w:numPr>
          <w:ilvl w:val="0"/>
          <w:numId w:val="1"/>
        </w:numPr>
        <w:spacing w:line="360" w:lineRule="auto"/>
        <w:rPr>
          <w:rFonts w:hint="eastAsia" w:ascii="仿宋" w:hAnsi="仿宋" w:eastAsia="仿宋" w:cs="仿宋"/>
          <w:b/>
          <w:sz w:val="20"/>
          <w:szCs w:val="20"/>
        </w:rPr>
      </w:pPr>
      <w:r>
        <w:rPr>
          <w:rFonts w:hint="eastAsia" w:ascii="仿宋" w:hAnsi="仿宋" w:eastAsia="仿宋" w:cs="仿宋"/>
          <w:b/>
          <w:sz w:val="20"/>
          <w:szCs w:val="20"/>
        </w:rPr>
        <w:t>验收</w:t>
      </w:r>
    </w:p>
    <w:p w14:paraId="17881197">
      <w:pPr>
        <w:adjustRightInd w:val="0"/>
        <w:snapToGrid w:val="0"/>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（一）到货验收：服装到货后，由甲方与乙方共同进行外观验收，验收内容包括，外包装的完好性，服装品牌、规格、数量与合同要求的一致性。</w:t>
      </w:r>
    </w:p>
    <w:p w14:paraId="10DC7E66">
      <w:pPr>
        <w:adjustRightInd w:val="0"/>
        <w:snapToGrid w:val="0"/>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（二）验收依据：</w:t>
      </w:r>
    </w:p>
    <w:p w14:paraId="12A53842">
      <w:pPr>
        <w:adjustRightInd w:val="0"/>
        <w:snapToGrid w:val="0"/>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1.本合同及附加文本；</w:t>
      </w:r>
    </w:p>
    <w:p w14:paraId="696CA422">
      <w:pPr>
        <w:adjustRightInd w:val="0"/>
        <w:snapToGrid w:val="0"/>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2.</w:t>
      </w:r>
      <w:r>
        <w:rPr>
          <w:rFonts w:hint="eastAsia" w:ascii="仿宋" w:hAnsi="仿宋" w:eastAsia="仿宋" w:cs="仿宋"/>
          <w:sz w:val="20"/>
          <w:szCs w:val="20"/>
          <w:lang w:eastAsia="zh-CN"/>
        </w:rPr>
        <w:t>谈判文件</w:t>
      </w:r>
      <w:r>
        <w:rPr>
          <w:rFonts w:hint="eastAsia" w:ascii="仿宋" w:hAnsi="仿宋" w:eastAsia="仿宋" w:cs="仿宋"/>
          <w:sz w:val="20"/>
          <w:szCs w:val="20"/>
        </w:rPr>
        <w:t>、成交供应商的响应文件、样品及澄清函（如有）；</w:t>
      </w:r>
    </w:p>
    <w:p w14:paraId="0ECA46A9">
      <w:pPr>
        <w:adjustRightInd w:val="0"/>
        <w:snapToGrid w:val="0"/>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3.国家相应的标准、规范。</w:t>
      </w:r>
    </w:p>
    <w:p w14:paraId="32966A2C">
      <w:pPr>
        <w:numPr>
          <w:ilvl w:val="0"/>
          <w:numId w:val="1"/>
        </w:numPr>
        <w:spacing w:line="360" w:lineRule="auto"/>
        <w:rPr>
          <w:rFonts w:hint="eastAsia" w:ascii="仿宋" w:hAnsi="仿宋" w:eastAsia="仿宋" w:cs="仿宋"/>
          <w:b/>
          <w:sz w:val="20"/>
          <w:szCs w:val="20"/>
        </w:rPr>
      </w:pPr>
      <w:r>
        <w:rPr>
          <w:rFonts w:hint="eastAsia" w:ascii="仿宋" w:hAnsi="仿宋" w:eastAsia="仿宋" w:cs="仿宋"/>
          <w:b/>
          <w:sz w:val="20"/>
          <w:szCs w:val="20"/>
        </w:rPr>
        <w:t>违约责任</w:t>
      </w:r>
    </w:p>
    <w:p w14:paraId="73218B90">
      <w:pPr>
        <w:adjustRightInd w:val="0"/>
        <w:snapToGrid w:val="0"/>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（一）按《政府采购法》、《民法典》中的相关条款执行。</w:t>
      </w:r>
    </w:p>
    <w:p w14:paraId="68E207FD">
      <w:pPr>
        <w:adjustRightInd w:val="0"/>
        <w:snapToGrid w:val="0"/>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（二）乙方逾期交货物的，每逾期一日，乙方应向甲方支付本合同总价款3‰的违约金，乙方逾期超过15日，甲方有权单方解除本合同，并要求乙方承担本合同总价款30%的违约金。</w:t>
      </w:r>
    </w:p>
    <w:p w14:paraId="1D84886B">
      <w:pPr>
        <w:adjustRightInd w:val="0"/>
        <w:snapToGrid w:val="0"/>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三）乙方未按合同要求提供货物或质量不能满足要求，乙方必须无条件更换，提高技术，完善质量，否则，甲方有权解除合同，要求乙方承担本合同总价款30%的违约金，并对乙方的违约行为报监管机构进行相应的处罚。</w:t>
      </w:r>
    </w:p>
    <w:p w14:paraId="2495664A">
      <w:pPr>
        <w:adjustRightInd w:val="0"/>
        <w:snapToGrid w:val="0"/>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四）本合同下乙方违约给甲方造成损失的，乙方除违约金外还应赔偿由此给甲方造成的全部损失，范围包括给甲方造成的实际损失、可预期利益，以及甲方因维权所产生的诉讼费、律师费、公证费、保全费、差旅费等全部相关费用。</w:t>
      </w:r>
    </w:p>
    <w:p w14:paraId="3B357857">
      <w:pPr>
        <w:adjustRightInd w:val="0"/>
        <w:snapToGrid w:val="0"/>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（五）任何一方因不可抗力原因不能履行协议时，应尽快通知对方，双方均设法补偿。如仍无法履约协议，可协商延缓或撤销协议，双方责任免除。</w:t>
      </w:r>
    </w:p>
    <w:p w14:paraId="7A275B69">
      <w:pPr>
        <w:numPr>
          <w:ilvl w:val="0"/>
          <w:numId w:val="1"/>
        </w:numPr>
        <w:spacing w:line="360" w:lineRule="auto"/>
        <w:rPr>
          <w:rFonts w:hint="eastAsia" w:ascii="仿宋" w:hAnsi="仿宋" w:eastAsia="仿宋" w:cs="仿宋"/>
          <w:b/>
          <w:sz w:val="20"/>
          <w:szCs w:val="20"/>
        </w:rPr>
      </w:pPr>
      <w:r>
        <w:rPr>
          <w:rFonts w:hint="eastAsia" w:ascii="仿宋" w:hAnsi="仿宋" w:eastAsia="仿宋" w:cs="仿宋"/>
          <w:b/>
          <w:sz w:val="20"/>
          <w:szCs w:val="20"/>
        </w:rPr>
        <w:t>合同争议解决的方式</w:t>
      </w:r>
    </w:p>
    <w:p w14:paraId="3C1D978B">
      <w:pPr>
        <w:adjustRightInd w:val="0"/>
        <w:snapToGrid w:val="0"/>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本合同在履行过程中发生的争议，由甲、乙双方当事人协商解决，协商不成的按下列 第（二）种方式解决：</w:t>
      </w:r>
    </w:p>
    <w:p w14:paraId="4C242F1E">
      <w:pPr>
        <w:adjustRightInd w:val="0"/>
        <w:snapToGrid w:val="0"/>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（一）提交西安仲裁委员会仲裁；</w:t>
      </w:r>
    </w:p>
    <w:p w14:paraId="174C00DF">
      <w:pPr>
        <w:adjustRightInd w:val="0"/>
        <w:snapToGrid w:val="0"/>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（二）依法向甲方所在地人民法院起诉。</w:t>
      </w:r>
    </w:p>
    <w:p w14:paraId="4E08CBD4">
      <w:pPr>
        <w:numPr>
          <w:ilvl w:val="0"/>
          <w:numId w:val="1"/>
        </w:numPr>
        <w:spacing w:line="360" w:lineRule="auto"/>
        <w:rPr>
          <w:rFonts w:hint="eastAsia" w:ascii="仿宋" w:hAnsi="仿宋" w:eastAsia="仿宋" w:cs="仿宋"/>
          <w:b/>
          <w:sz w:val="20"/>
          <w:szCs w:val="20"/>
        </w:rPr>
      </w:pPr>
      <w:r>
        <w:rPr>
          <w:rFonts w:hint="eastAsia" w:ascii="仿宋" w:hAnsi="仿宋" w:eastAsia="仿宋" w:cs="仿宋"/>
          <w:b/>
          <w:sz w:val="20"/>
          <w:szCs w:val="20"/>
        </w:rPr>
        <w:t>合同生效</w:t>
      </w:r>
      <w:bookmarkStart w:id="1" w:name="_GoBack"/>
    </w:p>
    <w:bookmarkEnd w:id="1"/>
    <w:p w14:paraId="1FACA9B1">
      <w:pPr>
        <w:adjustRightInd w:val="0"/>
        <w:snapToGrid w:val="0"/>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（一）本合同须经甲、乙双方的法定代表人（授权代理人）在合同书上签字并加盖本单位公章后正式生效。</w:t>
      </w:r>
    </w:p>
    <w:p w14:paraId="7D5DA2E3">
      <w:pPr>
        <w:adjustRightInd w:val="0"/>
        <w:snapToGrid w:val="0"/>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（二）合同生效后，甲、乙双方须严格执行本合同条款的规定，全面履行合同，违者按《中华人民共和国民法典》的有关规定承担相应责任。</w:t>
      </w:r>
    </w:p>
    <w:p w14:paraId="2EA2C596">
      <w:pPr>
        <w:adjustRightInd w:val="0"/>
        <w:snapToGrid w:val="0"/>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（三）本合同一式伍份，甲乙双方各执贰份，招标代理备案留存壹份。</w:t>
      </w:r>
    </w:p>
    <w:p w14:paraId="44463668">
      <w:pPr>
        <w:adjustRightInd w:val="0"/>
        <w:snapToGrid w:val="0"/>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（四）本合同如有未尽事宜，甲、乙双方协商解决。。</w:t>
      </w:r>
    </w:p>
    <w:p w14:paraId="54A200F5">
      <w:pPr>
        <w:snapToGrid w:val="0"/>
        <w:spacing w:line="360" w:lineRule="auto"/>
        <w:rPr>
          <w:rFonts w:hint="eastAsia" w:ascii="仿宋" w:hAnsi="仿宋" w:eastAsia="仿宋" w:cs="仿宋"/>
          <w:sz w:val="20"/>
          <w:szCs w:val="20"/>
        </w:rPr>
      </w:pPr>
    </w:p>
    <w:p w14:paraId="660B944A">
      <w:pPr>
        <w:tabs>
          <w:tab w:val="left" w:pos="980"/>
        </w:tabs>
        <w:kinsoku w:val="0"/>
        <w:snapToGrid w:val="0"/>
        <w:spacing w:line="360" w:lineRule="auto"/>
        <w:ind w:firstLine="400" w:firstLineChars="200"/>
        <w:rPr>
          <w:rFonts w:hint="eastAsia" w:ascii="仿宋" w:hAnsi="仿宋" w:eastAsia="仿宋" w:cs="仿宋"/>
          <w:sz w:val="20"/>
          <w:szCs w:val="20"/>
        </w:rPr>
      </w:pPr>
    </w:p>
    <w:p w14:paraId="6544BA31">
      <w:pPr>
        <w:tabs>
          <w:tab w:val="left" w:pos="980"/>
        </w:tabs>
        <w:kinsoku w:val="0"/>
        <w:snapToGrid w:val="0"/>
        <w:spacing w:line="360" w:lineRule="auto"/>
        <w:ind w:firstLine="400" w:firstLineChars="200"/>
        <w:rPr>
          <w:rFonts w:hint="eastAsia" w:ascii="仿宋" w:hAnsi="仿宋" w:eastAsia="仿宋" w:cs="仿宋"/>
          <w:sz w:val="20"/>
          <w:szCs w:val="20"/>
        </w:rPr>
      </w:pPr>
    </w:p>
    <w:p w14:paraId="18A7C571">
      <w:pPr>
        <w:tabs>
          <w:tab w:val="left" w:pos="980"/>
        </w:tabs>
        <w:kinsoku w:val="0"/>
        <w:snapToGrid w:val="0"/>
        <w:spacing w:line="360" w:lineRule="auto"/>
        <w:ind w:firstLine="400" w:firstLineChars="200"/>
        <w:rPr>
          <w:rFonts w:hint="eastAsia" w:ascii="仿宋" w:hAnsi="仿宋" w:eastAsia="仿宋" w:cs="仿宋"/>
          <w:sz w:val="20"/>
          <w:szCs w:val="20"/>
        </w:rPr>
      </w:pPr>
    </w:p>
    <w:p w14:paraId="774E3925">
      <w:pPr>
        <w:tabs>
          <w:tab w:val="left" w:pos="980"/>
        </w:tabs>
        <w:kinsoku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 xml:space="preserve">采购人：   （盖章）                供应商：   （盖章）    </w:t>
      </w:r>
    </w:p>
    <w:p w14:paraId="0EF32A05">
      <w:pPr>
        <w:tabs>
          <w:tab w:val="left" w:pos="980"/>
        </w:tabs>
        <w:kinsoku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 xml:space="preserve">地址：                             地址：                       </w:t>
      </w:r>
    </w:p>
    <w:p w14:paraId="219FB2BF">
      <w:pPr>
        <w:tabs>
          <w:tab w:val="left" w:pos="980"/>
        </w:tabs>
        <w:kinsoku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 xml:space="preserve">邮政编码：                         邮政编码：                  </w:t>
      </w:r>
    </w:p>
    <w:p w14:paraId="06991452">
      <w:pPr>
        <w:tabs>
          <w:tab w:val="left" w:pos="980"/>
        </w:tabs>
        <w:kinsoku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法定代表人或其授权                 法定代表人或其授权</w:t>
      </w:r>
    </w:p>
    <w:p w14:paraId="39AD337B">
      <w:pPr>
        <w:tabs>
          <w:tab w:val="left" w:pos="980"/>
        </w:tabs>
        <w:kinsoku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 xml:space="preserve">的代理人：（签字）                 的代理人：（签字）          </w:t>
      </w:r>
    </w:p>
    <w:p w14:paraId="449CB72C">
      <w:pPr>
        <w:tabs>
          <w:tab w:val="left" w:pos="980"/>
        </w:tabs>
        <w:kinsoku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 xml:space="preserve">开户银行：                         开户银行：                  </w:t>
      </w:r>
    </w:p>
    <w:p w14:paraId="4B2BE362">
      <w:pPr>
        <w:tabs>
          <w:tab w:val="left" w:pos="980"/>
        </w:tabs>
        <w:kinsoku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 xml:space="preserve">账号：                             账号：                       </w:t>
      </w:r>
    </w:p>
    <w:p w14:paraId="6DBEFC9E">
      <w:pPr>
        <w:tabs>
          <w:tab w:val="left" w:pos="980"/>
        </w:tabs>
        <w:kinsoku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 xml:space="preserve">电话：                             电话：                       </w:t>
      </w:r>
    </w:p>
    <w:p w14:paraId="52EE2751">
      <w:pPr>
        <w:tabs>
          <w:tab w:val="left" w:pos="980"/>
        </w:tabs>
        <w:kinsoku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 xml:space="preserve">传真：                             传真：                       </w:t>
      </w:r>
    </w:p>
    <w:p w14:paraId="15673A40">
      <w:pPr>
        <w:tabs>
          <w:tab w:val="left" w:pos="980"/>
        </w:tabs>
        <w:kinsoku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 xml:space="preserve">电子邮箱：                         电子邮箱：                  </w:t>
      </w:r>
    </w:p>
    <w:p w14:paraId="34326B56">
      <w:pPr>
        <w:tabs>
          <w:tab w:val="left" w:pos="980"/>
        </w:tabs>
        <w:kinsoku w:val="0"/>
        <w:snapToGrid w:val="0"/>
        <w:spacing w:line="360" w:lineRule="auto"/>
        <w:ind w:firstLine="400" w:firstLineChars="200"/>
        <w:rPr>
          <w:rFonts w:hint="eastAsia" w:ascii="仿宋" w:hAnsi="仿宋" w:eastAsia="仿宋" w:cs="仿宋"/>
          <w:sz w:val="20"/>
          <w:szCs w:val="20"/>
        </w:rPr>
      </w:pPr>
    </w:p>
    <w:p w14:paraId="0D4CA407">
      <w:pPr>
        <w:tabs>
          <w:tab w:val="left" w:pos="980"/>
        </w:tabs>
        <w:kinsoku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 xml:space="preserve">鉴证方：   （盖章）            </w:t>
      </w:r>
    </w:p>
    <w:p w14:paraId="503D5597">
      <w:pPr>
        <w:tabs>
          <w:tab w:val="left" w:pos="980"/>
        </w:tabs>
        <w:kinsoku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 xml:space="preserve">地 址：                        </w:t>
      </w:r>
    </w:p>
    <w:p w14:paraId="5C0972C5">
      <w:pPr>
        <w:tabs>
          <w:tab w:val="left" w:pos="980"/>
        </w:tabs>
        <w:kinsoku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 xml:space="preserve">邮政编码：                              </w:t>
      </w:r>
    </w:p>
    <w:p w14:paraId="7184E580">
      <w:pPr>
        <w:snapToGrid w:val="0"/>
        <w:spacing w:line="360" w:lineRule="auto"/>
        <w:ind w:firstLine="400" w:firstLineChars="200"/>
        <w:rPr>
          <w:rFonts w:hint="eastAsia" w:ascii="仿宋" w:hAnsi="仿宋" w:eastAsia="仿宋" w:cs="仿宋"/>
          <w:sz w:val="24"/>
        </w:rPr>
      </w:pPr>
      <w:r>
        <w:rPr>
          <w:rFonts w:hint="eastAsia" w:ascii="仿宋" w:hAnsi="仿宋" w:eastAsia="仿宋" w:cs="仿宋"/>
          <w:sz w:val="20"/>
          <w:szCs w:val="20"/>
        </w:rPr>
        <w:t xml:space="preserve">电话：  </w:t>
      </w:r>
      <w:r>
        <w:rPr>
          <w:rFonts w:hint="eastAsia" w:ascii="仿宋" w:hAnsi="仿宋" w:eastAsia="仿宋" w:cs="仿宋"/>
          <w:sz w:val="24"/>
        </w:rPr>
        <w:t xml:space="preserve">   </w:t>
      </w:r>
    </w:p>
    <w:p w14:paraId="12655BF6">
      <w:pPr>
        <w:pStyle w:val="47"/>
        <w:rPr>
          <w:rFonts w:ascii="仿宋" w:hAnsi="仿宋" w:eastAsia="仿宋" w:cs="仿宋"/>
          <w:sz w:val="24"/>
          <w:szCs w:val="24"/>
        </w:rPr>
      </w:pPr>
    </w:p>
    <w:p w14:paraId="11CDBE53">
      <w:pPr>
        <w:rPr>
          <w:rFonts w:hint="eastAsi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SourceHanSerifCNVF-Bold">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DejaVuSans-Bold">
    <w:altName w:val="Segoe Print"/>
    <w:panose1 w:val="00000000000000000000"/>
    <w:charset w:val="00"/>
    <w:family w:val="auto"/>
    <w:pitch w:val="default"/>
    <w:sig w:usb0="00000000" w:usb1="00000000" w:usb2="00000000" w:usb3="00000000" w:csb0="00000000" w:csb1="00000000"/>
  </w:font>
  <w:font w:name="SourceHanSerifCNVF-Medium">
    <w:altName w:val="Segoe Print"/>
    <w:panose1 w:val="00000000000000000000"/>
    <w:charset w:val="00"/>
    <w:family w:val="auto"/>
    <w:pitch w:val="default"/>
    <w:sig w:usb0="00000000" w:usb1="00000000" w:usb2="00000000" w:usb3="00000000" w:csb0="00000000" w:csb1="00000000"/>
  </w:font>
  <w:font w:name="DejaVuSans">
    <w:altName w:val="Segoe Print"/>
    <w:panose1 w:val="00000000000000000000"/>
    <w:charset w:val="00"/>
    <w:family w:val="auto"/>
    <w:pitch w:val="default"/>
    <w:sig w:usb0="00000000" w:usb1="00000000" w:usb2="00000000" w:usb3="00000000" w:csb0="00000000" w:csb1="00000000"/>
  </w:font>
  <w:font w:name="Copperplate Gothic Bold">
    <w:altName w:val="Segoe Print"/>
    <w:panose1 w:val="020E0705020206020404"/>
    <w:charset w:val="00"/>
    <w:family w:val="swiss"/>
    <w:pitch w:val="default"/>
    <w:sig w:usb0="00000000" w:usb1="00000000" w:usb2="00000000" w:usb3="00000000" w:csb0="20000001"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D4591F"/>
    <w:multiLevelType w:val="singleLevel"/>
    <w:tmpl w:val="57D4591F"/>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A0C"/>
    <w:rsid w:val="003F1342"/>
    <w:rsid w:val="003F77B3"/>
    <w:rsid w:val="006D3E04"/>
    <w:rsid w:val="00890EF3"/>
    <w:rsid w:val="00AC7A0C"/>
    <w:rsid w:val="02DC3F04"/>
    <w:rsid w:val="36764D36"/>
    <w:rsid w:val="379A16BD"/>
    <w:rsid w:val="5052092F"/>
    <w:rsid w:val="58A61E60"/>
    <w:rsid w:val="5D497478"/>
    <w:rsid w:val="63421168"/>
    <w:rsid w:val="63A26C03"/>
    <w:rsid w:val="65314B5F"/>
    <w:rsid w:val="6667518D"/>
    <w:rsid w:val="79FE105C"/>
    <w:rsid w:val="7CDB5E82"/>
    <w:rsid w:val="7F847E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styleId="6">
    <w:name w:val="heading 1"/>
    <w:basedOn w:val="1"/>
    <w:next w:val="1"/>
    <w:link w:val="24"/>
    <w:qFormat/>
    <w:uiPriority w:val="9"/>
    <w:pPr>
      <w:keepNext/>
      <w:keepLines/>
      <w:spacing w:before="480" w:after="80" w:line="278" w:lineRule="auto"/>
      <w:jc w:val="left"/>
      <w:outlineLvl w:val="0"/>
    </w:pPr>
    <w:rPr>
      <w:rFonts w:asciiTheme="majorHAnsi" w:hAnsiTheme="majorHAnsi" w:eastAsiaTheme="majorEastAsia" w:cstheme="majorBidi"/>
      <w:color w:val="2F5597" w:themeColor="accent1" w:themeShade="BF"/>
      <w:sz w:val="48"/>
      <w:szCs w:val="48"/>
      <w14:ligatures w14:val="standardContextual"/>
    </w:rPr>
  </w:style>
  <w:style w:type="paragraph" w:styleId="2">
    <w:name w:val="heading 2"/>
    <w:basedOn w:val="1"/>
    <w:next w:val="3"/>
    <w:link w:val="25"/>
    <w:unhideWhenUsed/>
    <w:qFormat/>
    <w:uiPriority w:val="9"/>
    <w:pPr>
      <w:keepNext/>
      <w:keepLines/>
      <w:spacing w:before="160" w:after="80" w:line="278" w:lineRule="auto"/>
      <w:jc w:val="left"/>
      <w:outlineLvl w:val="1"/>
    </w:pPr>
    <w:rPr>
      <w:rFonts w:asciiTheme="majorHAnsi" w:hAnsiTheme="majorHAnsi" w:eastAsiaTheme="majorEastAsia" w:cstheme="majorBidi"/>
      <w:color w:val="2F5597" w:themeColor="accent1" w:themeShade="BF"/>
      <w:sz w:val="40"/>
      <w:szCs w:val="40"/>
      <w14:ligatures w14:val="standardContextual"/>
    </w:rPr>
  </w:style>
  <w:style w:type="paragraph" w:styleId="7">
    <w:name w:val="heading 3"/>
    <w:basedOn w:val="1"/>
    <w:next w:val="1"/>
    <w:link w:val="26"/>
    <w:semiHidden/>
    <w:unhideWhenUsed/>
    <w:qFormat/>
    <w:uiPriority w:val="9"/>
    <w:pPr>
      <w:keepNext/>
      <w:keepLines/>
      <w:spacing w:before="160" w:after="80" w:line="278" w:lineRule="auto"/>
      <w:jc w:val="left"/>
      <w:outlineLvl w:val="2"/>
    </w:pPr>
    <w:rPr>
      <w:rFonts w:asciiTheme="majorHAnsi" w:hAnsiTheme="majorHAnsi" w:eastAsiaTheme="majorEastAsia" w:cstheme="majorBidi"/>
      <w:color w:val="2F5597" w:themeColor="accent1" w:themeShade="BF"/>
      <w:sz w:val="32"/>
      <w:szCs w:val="32"/>
      <w14:ligatures w14:val="standardContextual"/>
    </w:rPr>
  </w:style>
  <w:style w:type="paragraph" w:styleId="8">
    <w:name w:val="heading 4"/>
    <w:basedOn w:val="1"/>
    <w:next w:val="1"/>
    <w:link w:val="27"/>
    <w:semiHidden/>
    <w:unhideWhenUsed/>
    <w:qFormat/>
    <w:uiPriority w:val="9"/>
    <w:pPr>
      <w:keepNext/>
      <w:keepLines/>
      <w:spacing w:before="80" w:after="40" w:line="278" w:lineRule="auto"/>
      <w:jc w:val="left"/>
      <w:outlineLvl w:val="3"/>
    </w:pPr>
    <w:rPr>
      <w:rFonts w:cstheme="majorBidi"/>
      <w:color w:val="2F5597" w:themeColor="accent1" w:themeShade="BF"/>
      <w:sz w:val="28"/>
      <w:szCs w:val="28"/>
      <w14:ligatures w14:val="standardContextual"/>
    </w:rPr>
  </w:style>
  <w:style w:type="paragraph" w:styleId="9">
    <w:name w:val="heading 5"/>
    <w:basedOn w:val="1"/>
    <w:next w:val="1"/>
    <w:link w:val="28"/>
    <w:semiHidden/>
    <w:unhideWhenUsed/>
    <w:qFormat/>
    <w:uiPriority w:val="9"/>
    <w:pPr>
      <w:keepNext/>
      <w:keepLines/>
      <w:spacing w:before="80" w:after="40" w:line="278" w:lineRule="auto"/>
      <w:jc w:val="left"/>
      <w:outlineLvl w:val="4"/>
    </w:pPr>
    <w:rPr>
      <w:rFonts w:cstheme="majorBidi"/>
      <w:color w:val="2F5597" w:themeColor="accent1" w:themeShade="BF"/>
      <w:sz w:val="24"/>
      <w14:ligatures w14:val="standardContextual"/>
    </w:rPr>
  </w:style>
  <w:style w:type="paragraph" w:styleId="10">
    <w:name w:val="heading 6"/>
    <w:basedOn w:val="1"/>
    <w:next w:val="1"/>
    <w:link w:val="29"/>
    <w:semiHidden/>
    <w:unhideWhenUsed/>
    <w:qFormat/>
    <w:uiPriority w:val="9"/>
    <w:pPr>
      <w:keepNext/>
      <w:keepLines/>
      <w:spacing w:before="40" w:line="278" w:lineRule="auto"/>
      <w:jc w:val="left"/>
      <w:outlineLvl w:val="5"/>
    </w:pPr>
    <w:rPr>
      <w:rFonts w:cstheme="majorBidi"/>
      <w:b/>
      <w:bCs/>
      <w:color w:val="2F5597" w:themeColor="accent1" w:themeShade="BF"/>
      <w:sz w:val="22"/>
      <w14:ligatures w14:val="standardContextual"/>
    </w:rPr>
  </w:style>
  <w:style w:type="paragraph" w:styleId="11">
    <w:name w:val="heading 7"/>
    <w:basedOn w:val="1"/>
    <w:next w:val="1"/>
    <w:link w:val="30"/>
    <w:semiHidden/>
    <w:unhideWhenUsed/>
    <w:qFormat/>
    <w:uiPriority w:val="9"/>
    <w:pPr>
      <w:keepNext/>
      <w:keepLines/>
      <w:spacing w:before="40" w:line="278" w:lineRule="auto"/>
      <w:jc w:val="left"/>
      <w:outlineLvl w:val="6"/>
    </w:pPr>
    <w:rPr>
      <w:rFonts w:cstheme="majorBidi"/>
      <w:b/>
      <w:bCs/>
      <w:color w:val="595959" w:themeColor="text1" w:themeTint="A6"/>
      <w:sz w:val="22"/>
      <w14:textFill>
        <w14:solidFill>
          <w14:schemeClr w14:val="tx1">
            <w14:lumMod w14:val="65000"/>
            <w14:lumOff w14:val="35000"/>
          </w14:schemeClr>
        </w14:solidFill>
      </w14:textFill>
      <w14:ligatures w14:val="standardContextual"/>
    </w:rPr>
  </w:style>
  <w:style w:type="paragraph" w:styleId="12">
    <w:name w:val="heading 8"/>
    <w:basedOn w:val="1"/>
    <w:next w:val="1"/>
    <w:link w:val="31"/>
    <w:semiHidden/>
    <w:unhideWhenUsed/>
    <w:qFormat/>
    <w:uiPriority w:val="9"/>
    <w:pPr>
      <w:keepNext/>
      <w:keepLines/>
      <w:spacing w:line="278" w:lineRule="auto"/>
      <w:jc w:val="left"/>
      <w:outlineLvl w:val="7"/>
    </w:pPr>
    <w:rPr>
      <w:rFonts w:cstheme="majorBidi"/>
      <w:color w:val="595959" w:themeColor="text1" w:themeTint="A6"/>
      <w:sz w:val="22"/>
      <w14:textFill>
        <w14:solidFill>
          <w14:schemeClr w14:val="tx1">
            <w14:lumMod w14:val="65000"/>
            <w14:lumOff w14:val="35000"/>
          </w14:schemeClr>
        </w14:solidFill>
      </w14:textFill>
      <w14:ligatures w14:val="standardContextual"/>
    </w:rPr>
  </w:style>
  <w:style w:type="paragraph" w:styleId="13">
    <w:name w:val="heading 9"/>
    <w:basedOn w:val="1"/>
    <w:next w:val="1"/>
    <w:link w:val="32"/>
    <w:semiHidden/>
    <w:unhideWhenUsed/>
    <w:qFormat/>
    <w:uiPriority w:val="9"/>
    <w:pPr>
      <w:keepNext/>
      <w:keepLines/>
      <w:spacing w:line="278" w:lineRule="auto"/>
      <w:jc w:val="left"/>
      <w:outlineLvl w:val="8"/>
    </w:pPr>
    <w:rPr>
      <w:rFonts w:eastAsiaTheme="majorEastAsia" w:cstheme="majorBidi"/>
      <w:color w:val="595959" w:themeColor="text1" w:themeTint="A6"/>
      <w:sz w:val="22"/>
      <w14:textFill>
        <w14:solidFill>
          <w14:schemeClr w14:val="tx1">
            <w14:lumMod w14:val="65000"/>
            <w14:lumOff w14:val="35000"/>
          </w14:schemeClr>
        </w14:solidFill>
      </w14:textFill>
      <w14:ligatures w14:val="standardContextual"/>
    </w:rPr>
  </w:style>
  <w:style w:type="character" w:default="1" w:styleId="23">
    <w:name w:val="Default Paragraph Font"/>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4"/>
    <w:qFormat/>
    <w:uiPriority w:val="99"/>
    <w:pPr>
      <w:ind w:firstLine="420"/>
    </w:pPr>
  </w:style>
  <w:style w:type="paragraph" w:styleId="4">
    <w:name w:val="Body Text First Indent 2"/>
    <w:basedOn w:val="5"/>
    <w:next w:val="1"/>
    <w:qFormat/>
    <w:uiPriority w:val="0"/>
    <w:pPr>
      <w:ind w:firstLine="420"/>
    </w:pPr>
  </w:style>
  <w:style w:type="paragraph" w:styleId="5">
    <w:name w:val="Body Text Indent"/>
    <w:basedOn w:val="1"/>
    <w:qFormat/>
    <w:uiPriority w:val="0"/>
    <w:pPr>
      <w:adjustRightInd w:val="0"/>
      <w:snapToGrid w:val="0"/>
      <w:spacing w:line="360" w:lineRule="auto"/>
      <w:ind w:firstLine="480" w:firstLineChars="200"/>
    </w:pPr>
  </w:style>
  <w:style w:type="paragraph" w:styleId="14">
    <w:name w:val="Body Text"/>
    <w:basedOn w:val="1"/>
    <w:next w:val="1"/>
    <w:link w:val="44"/>
    <w:qFormat/>
    <w:uiPriority w:val="0"/>
    <w:pPr>
      <w:spacing w:after="120"/>
    </w:pPr>
    <w:rPr>
      <w:rFonts w:ascii="Times New Roman"/>
    </w:rPr>
  </w:style>
  <w:style w:type="paragraph" w:styleId="15">
    <w:name w:val="Plain Text"/>
    <w:basedOn w:val="1"/>
    <w:link w:val="45"/>
    <w:qFormat/>
    <w:uiPriority w:val="0"/>
    <w:rPr>
      <w:rFonts w:hAnsi="Courier New"/>
    </w:rPr>
  </w:style>
  <w:style w:type="paragraph" w:styleId="16">
    <w:name w:val="Body Text Indent 2"/>
    <w:basedOn w:val="1"/>
    <w:link w:val="46"/>
    <w:qFormat/>
    <w:uiPriority w:val="99"/>
    <w:pPr>
      <w:tabs>
        <w:tab w:val="left" w:pos="5625"/>
      </w:tabs>
      <w:ind w:left="1138" w:leftChars="542"/>
    </w:pPr>
    <w:rPr>
      <w:rFonts w:ascii="Times New Roman"/>
    </w:rPr>
  </w:style>
  <w:style w:type="paragraph" w:styleId="17">
    <w:name w:val="footer"/>
    <w:basedOn w:val="1"/>
    <w:link w:val="43"/>
    <w:unhideWhenUsed/>
    <w:qFormat/>
    <w:uiPriority w:val="99"/>
    <w:pPr>
      <w:tabs>
        <w:tab w:val="center" w:pos="4153"/>
        <w:tab w:val="right" w:pos="8306"/>
      </w:tabs>
      <w:snapToGrid w:val="0"/>
      <w:spacing w:after="160"/>
      <w:jc w:val="left"/>
    </w:pPr>
    <w:rPr>
      <w:sz w:val="18"/>
      <w:szCs w:val="18"/>
      <w14:ligatures w14:val="standardContextual"/>
    </w:rPr>
  </w:style>
  <w:style w:type="paragraph" w:styleId="18">
    <w:name w:val="header"/>
    <w:basedOn w:val="1"/>
    <w:link w:val="42"/>
    <w:unhideWhenUsed/>
    <w:qFormat/>
    <w:uiPriority w:val="99"/>
    <w:pPr>
      <w:tabs>
        <w:tab w:val="center" w:pos="4153"/>
        <w:tab w:val="right" w:pos="8306"/>
      </w:tabs>
      <w:snapToGrid w:val="0"/>
      <w:spacing w:after="160"/>
      <w:jc w:val="center"/>
    </w:pPr>
    <w:rPr>
      <w:sz w:val="18"/>
      <w:szCs w:val="18"/>
      <w14:ligatures w14:val="standardContextual"/>
    </w:rPr>
  </w:style>
  <w:style w:type="paragraph" w:styleId="19">
    <w:name w:val="Subtitle"/>
    <w:basedOn w:val="1"/>
    <w:next w:val="1"/>
    <w:link w:val="34"/>
    <w:qFormat/>
    <w:uiPriority w:val="11"/>
    <w:pPr>
      <w:spacing w:after="160" w:line="278" w:lineRule="auto"/>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14:ligatures w14:val="standardContextual"/>
    </w:rPr>
  </w:style>
  <w:style w:type="paragraph" w:styleId="20">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21">
    <w:name w:val="Title"/>
    <w:basedOn w:val="1"/>
    <w:next w:val="1"/>
    <w:link w:val="33"/>
    <w:qFormat/>
    <w:uiPriority w:val="10"/>
    <w:pPr>
      <w:spacing w:after="80"/>
      <w:contextualSpacing/>
      <w:jc w:val="center"/>
    </w:pPr>
    <w:rPr>
      <w:rFonts w:asciiTheme="majorHAnsi" w:hAnsiTheme="majorHAnsi" w:eastAsiaTheme="majorEastAsia" w:cstheme="majorBidi"/>
      <w:spacing w:val="-10"/>
      <w:kern w:val="28"/>
      <w:sz w:val="56"/>
      <w:szCs w:val="56"/>
      <w14:ligatures w14:val="standardContextual"/>
    </w:rPr>
  </w:style>
  <w:style w:type="character" w:customStyle="1" w:styleId="24">
    <w:name w:val="标题 1 字符"/>
    <w:basedOn w:val="23"/>
    <w:link w:val="6"/>
    <w:qFormat/>
    <w:uiPriority w:val="9"/>
    <w:rPr>
      <w:rFonts w:asciiTheme="majorHAnsi" w:hAnsiTheme="majorHAnsi" w:eastAsiaTheme="majorEastAsia" w:cstheme="majorBidi"/>
      <w:color w:val="2F5597" w:themeColor="accent1" w:themeShade="BF"/>
      <w:sz w:val="48"/>
      <w:szCs w:val="48"/>
    </w:rPr>
  </w:style>
  <w:style w:type="character" w:customStyle="1" w:styleId="25">
    <w:name w:val="标题 2 字符"/>
    <w:basedOn w:val="23"/>
    <w:link w:val="2"/>
    <w:semiHidden/>
    <w:uiPriority w:val="9"/>
    <w:rPr>
      <w:rFonts w:asciiTheme="majorHAnsi" w:hAnsiTheme="majorHAnsi" w:eastAsiaTheme="majorEastAsia" w:cstheme="majorBidi"/>
      <w:color w:val="2F5597" w:themeColor="accent1" w:themeShade="BF"/>
      <w:sz w:val="40"/>
      <w:szCs w:val="40"/>
    </w:rPr>
  </w:style>
  <w:style w:type="character" w:customStyle="1" w:styleId="26">
    <w:name w:val="标题 3 字符"/>
    <w:basedOn w:val="23"/>
    <w:link w:val="7"/>
    <w:semiHidden/>
    <w:qFormat/>
    <w:uiPriority w:val="9"/>
    <w:rPr>
      <w:rFonts w:asciiTheme="majorHAnsi" w:hAnsiTheme="majorHAnsi" w:eastAsiaTheme="majorEastAsia" w:cstheme="majorBidi"/>
      <w:color w:val="2F5597" w:themeColor="accent1" w:themeShade="BF"/>
      <w:sz w:val="32"/>
      <w:szCs w:val="32"/>
    </w:rPr>
  </w:style>
  <w:style w:type="character" w:customStyle="1" w:styleId="27">
    <w:name w:val="标题 4 字符"/>
    <w:basedOn w:val="23"/>
    <w:link w:val="8"/>
    <w:semiHidden/>
    <w:qFormat/>
    <w:uiPriority w:val="9"/>
    <w:rPr>
      <w:rFonts w:cstheme="majorBidi"/>
      <w:color w:val="2F5597" w:themeColor="accent1" w:themeShade="BF"/>
      <w:sz w:val="28"/>
      <w:szCs w:val="28"/>
    </w:rPr>
  </w:style>
  <w:style w:type="character" w:customStyle="1" w:styleId="28">
    <w:name w:val="标题 5 字符"/>
    <w:basedOn w:val="23"/>
    <w:link w:val="9"/>
    <w:semiHidden/>
    <w:qFormat/>
    <w:uiPriority w:val="9"/>
    <w:rPr>
      <w:rFonts w:cstheme="majorBidi"/>
      <w:color w:val="2F5597" w:themeColor="accent1" w:themeShade="BF"/>
      <w:sz w:val="24"/>
    </w:rPr>
  </w:style>
  <w:style w:type="character" w:customStyle="1" w:styleId="29">
    <w:name w:val="标题 6 字符"/>
    <w:basedOn w:val="23"/>
    <w:link w:val="10"/>
    <w:semiHidden/>
    <w:qFormat/>
    <w:uiPriority w:val="9"/>
    <w:rPr>
      <w:rFonts w:cstheme="majorBidi"/>
      <w:b/>
      <w:bCs/>
      <w:color w:val="2F5597" w:themeColor="accent1" w:themeShade="BF"/>
    </w:rPr>
  </w:style>
  <w:style w:type="character" w:customStyle="1" w:styleId="30">
    <w:name w:val="标题 7 字符"/>
    <w:basedOn w:val="23"/>
    <w:link w:val="11"/>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1">
    <w:name w:val="标题 8 字符"/>
    <w:basedOn w:val="23"/>
    <w:link w:val="12"/>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2">
    <w:name w:val="标题 9 字符"/>
    <w:basedOn w:val="23"/>
    <w:link w:val="13"/>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3">
    <w:name w:val="标题 字符"/>
    <w:basedOn w:val="23"/>
    <w:link w:val="21"/>
    <w:qFormat/>
    <w:uiPriority w:val="10"/>
    <w:rPr>
      <w:rFonts w:asciiTheme="majorHAnsi" w:hAnsiTheme="majorHAnsi" w:eastAsiaTheme="majorEastAsia" w:cstheme="majorBidi"/>
      <w:spacing w:val="-10"/>
      <w:kern w:val="28"/>
      <w:sz w:val="56"/>
      <w:szCs w:val="56"/>
    </w:rPr>
  </w:style>
  <w:style w:type="character" w:customStyle="1" w:styleId="34">
    <w:name w:val="副标题 字符"/>
    <w:basedOn w:val="23"/>
    <w:link w:val="19"/>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5">
    <w:name w:val="Quote"/>
    <w:basedOn w:val="1"/>
    <w:next w:val="1"/>
    <w:link w:val="36"/>
    <w:qFormat/>
    <w:uiPriority w:val="29"/>
    <w:pPr>
      <w:spacing w:before="160" w:after="160" w:line="278" w:lineRule="auto"/>
      <w:jc w:val="center"/>
    </w:pPr>
    <w:rPr>
      <w:i/>
      <w:iCs/>
      <w:color w:val="404040" w:themeColor="text1" w:themeTint="BF"/>
      <w:sz w:val="22"/>
      <w14:textFill>
        <w14:solidFill>
          <w14:schemeClr w14:val="tx1">
            <w14:lumMod w14:val="75000"/>
            <w14:lumOff w14:val="25000"/>
          </w14:schemeClr>
        </w14:solidFill>
      </w14:textFill>
      <w14:ligatures w14:val="standardContextual"/>
    </w:rPr>
  </w:style>
  <w:style w:type="character" w:customStyle="1" w:styleId="36">
    <w:name w:val="引用 字符"/>
    <w:basedOn w:val="23"/>
    <w:link w:val="35"/>
    <w:qFormat/>
    <w:uiPriority w:val="29"/>
    <w:rPr>
      <w:i/>
      <w:iCs/>
      <w:color w:val="404040" w:themeColor="text1" w:themeTint="BF"/>
      <w14:textFill>
        <w14:solidFill>
          <w14:schemeClr w14:val="tx1">
            <w14:lumMod w14:val="75000"/>
            <w14:lumOff w14:val="25000"/>
          </w14:schemeClr>
        </w14:solidFill>
      </w14:textFill>
    </w:rPr>
  </w:style>
  <w:style w:type="paragraph" w:styleId="37">
    <w:name w:val="List Paragraph"/>
    <w:basedOn w:val="1"/>
    <w:qFormat/>
    <w:uiPriority w:val="34"/>
    <w:pPr>
      <w:spacing w:after="160" w:line="278" w:lineRule="auto"/>
      <w:ind w:left="720"/>
      <w:contextualSpacing/>
      <w:jc w:val="left"/>
    </w:pPr>
    <w:rPr>
      <w:sz w:val="22"/>
      <w14:ligatures w14:val="standardContextual"/>
    </w:rPr>
  </w:style>
  <w:style w:type="character" w:customStyle="1" w:styleId="38">
    <w:name w:val="Intense Emphasis"/>
    <w:basedOn w:val="23"/>
    <w:qFormat/>
    <w:uiPriority w:val="21"/>
    <w:rPr>
      <w:i/>
      <w:iCs/>
      <w:color w:val="2F5597" w:themeColor="accent1" w:themeShade="BF"/>
    </w:rPr>
  </w:style>
  <w:style w:type="paragraph" w:styleId="39">
    <w:name w:val="Intense Quote"/>
    <w:basedOn w:val="1"/>
    <w:next w:val="1"/>
    <w:link w:val="40"/>
    <w:qFormat/>
    <w:uiPriority w:val="30"/>
    <w:pPr>
      <w:pBdr>
        <w:top w:val="single" w:color="2F5496" w:themeColor="accent1" w:themeShade="BF" w:sz="4" w:space="10"/>
        <w:bottom w:val="single" w:color="2F5496" w:themeColor="accent1" w:themeShade="BF" w:sz="4" w:space="10"/>
      </w:pBdr>
      <w:spacing w:before="360" w:after="360" w:line="278" w:lineRule="auto"/>
      <w:ind w:left="864" w:right="864"/>
      <w:jc w:val="center"/>
    </w:pPr>
    <w:rPr>
      <w:i/>
      <w:iCs/>
      <w:color w:val="2F5597" w:themeColor="accent1" w:themeShade="BF"/>
      <w:sz w:val="22"/>
      <w14:ligatures w14:val="standardContextual"/>
    </w:rPr>
  </w:style>
  <w:style w:type="character" w:customStyle="1" w:styleId="40">
    <w:name w:val="明显引用 字符"/>
    <w:basedOn w:val="23"/>
    <w:link w:val="39"/>
    <w:qFormat/>
    <w:uiPriority w:val="30"/>
    <w:rPr>
      <w:i/>
      <w:iCs/>
      <w:color w:val="2F5597" w:themeColor="accent1" w:themeShade="BF"/>
    </w:rPr>
  </w:style>
  <w:style w:type="character" w:customStyle="1" w:styleId="41">
    <w:name w:val="Intense Reference"/>
    <w:basedOn w:val="23"/>
    <w:qFormat/>
    <w:uiPriority w:val="32"/>
    <w:rPr>
      <w:b/>
      <w:bCs/>
      <w:smallCaps/>
      <w:color w:val="2F5597" w:themeColor="accent1" w:themeShade="BF"/>
      <w:spacing w:val="5"/>
    </w:rPr>
  </w:style>
  <w:style w:type="character" w:customStyle="1" w:styleId="42">
    <w:name w:val="页眉 字符"/>
    <w:basedOn w:val="23"/>
    <w:link w:val="18"/>
    <w:qFormat/>
    <w:uiPriority w:val="99"/>
    <w:rPr>
      <w:sz w:val="18"/>
      <w:szCs w:val="18"/>
    </w:rPr>
  </w:style>
  <w:style w:type="character" w:customStyle="1" w:styleId="43">
    <w:name w:val="页脚 字符"/>
    <w:basedOn w:val="23"/>
    <w:link w:val="17"/>
    <w:qFormat/>
    <w:uiPriority w:val="99"/>
    <w:rPr>
      <w:sz w:val="18"/>
      <w:szCs w:val="18"/>
    </w:rPr>
  </w:style>
  <w:style w:type="character" w:customStyle="1" w:styleId="44">
    <w:name w:val="正文文本 字符"/>
    <w:basedOn w:val="23"/>
    <w:link w:val="14"/>
    <w:qFormat/>
    <w:uiPriority w:val="0"/>
    <w:rPr>
      <w:rFonts w:ascii="Times New Roman"/>
      <w:sz w:val="21"/>
      <w14:ligatures w14:val="none"/>
    </w:rPr>
  </w:style>
  <w:style w:type="character" w:customStyle="1" w:styleId="45">
    <w:name w:val="纯文本 字符"/>
    <w:basedOn w:val="23"/>
    <w:link w:val="15"/>
    <w:qFormat/>
    <w:uiPriority w:val="0"/>
    <w:rPr>
      <w:rFonts w:hAnsi="Courier New"/>
      <w:sz w:val="21"/>
      <w14:ligatures w14:val="none"/>
    </w:rPr>
  </w:style>
  <w:style w:type="character" w:customStyle="1" w:styleId="46">
    <w:name w:val="正文文本缩进 2 字符"/>
    <w:basedOn w:val="23"/>
    <w:link w:val="16"/>
    <w:qFormat/>
    <w:uiPriority w:val="99"/>
    <w:rPr>
      <w:rFonts w:ascii="Times New Roman"/>
      <w:sz w:val="21"/>
      <w14:ligatures w14:val="none"/>
    </w:rPr>
  </w:style>
  <w:style w:type="paragraph" w:customStyle="1" w:styleId="47">
    <w:name w:val="null3"/>
    <w:hidden/>
    <w:qFormat/>
    <w:uiPriority w:val="0"/>
    <w:pPr>
      <w:spacing w:after="0" w:line="240" w:lineRule="auto"/>
    </w:pPr>
    <w:rPr>
      <w:rFonts w:hint="eastAsia" w:asciiTheme="minorHAnsi" w:hAnsiTheme="minorHAnsi" w:eastAsiaTheme="minorEastAsia" w:cstheme="minorBidi"/>
      <w:kern w:val="0"/>
      <w:sz w:val="20"/>
      <w:szCs w:val="20"/>
      <w:lang w:val="en-US" w:eastAsia="zh-Hans" w:bidi="ar-SA"/>
      <w14:ligatures w14: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3313</Words>
  <Characters>3367</Characters>
  <Lines>74</Lines>
  <Paragraphs>166</Paragraphs>
  <TotalTime>5</TotalTime>
  <ScaleCrop>false</ScaleCrop>
  <LinksUpToDate>false</LinksUpToDate>
  <CharactersWithSpaces>4157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2025-09-16T09:49:00Z</dcterms:created>
  <dc:creator>Payne Woo</dc:creator>
  <cp:lastModifiedBy>芒果</cp:lastModifiedBy>
  <dcterms:modified xsi:type="dcterms:W3CDTF">2026-06-09T12:11:42Z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871A2B1D5ACE4476B9164D67A302D4FD_13</vt:lpwstr>
  </property>
  <property fmtid="{D5CDD505-2E9C-101B-9397-08002B2CF9AE}" pid="4" name="KSOTemplateDocerSaveRecord">
    <vt:lpwstr>eyJoZGlkIjoiMWY5ZTVmOTliNzFkNDM5MjdhMDM2NTg5ZTYzYTFkOTMiLCJ1c2VySWQiOiIyNDM0NTk5NjMifQ==</vt:lpwstr>
  </property>
</Properties>
</file>